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drawings/drawing1.xml" ContentType="application/vnd.openxmlformats-officedocument.drawingml.chartshapes+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rawings/drawing2.xml" ContentType="application/vnd.openxmlformats-officedocument.drawingml.chartshapes+xml"/>
  <Override PartName="/word/charts/chart19.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53741" w14:textId="3095A795" w:rsidR="00286569" w:rsidRPr="00286569" w:rsidRDefault="00286569" w:rsidP="008226F8">
      <w:pPr>
        <w:jc w:val="center"/>
        <w:rPr>
          <w:b/>
          <w:bCs/>
          <w:color w:val="222222"/>
          <w:sz w:val="28"/>
          <w:szCs w:val="28"/>
          <w:u w:val="single"/>
        </w:rPr>
      </w:pPr>
      <w:r>
        <w:rPr>
          <w:b/>
          <w:bCs/>
          <w:color w:val="222222"/>
          <w:sz w:val="28"/>
          <w:szCs w:val="28"/>
          <w:u w:val="single"/>
        </w:rPr>
        <w:t>DRAFT</w:t>
      </w:r>
    </w:p>
    <w:p w14:paraId="4698795B" w14:textId="3D821EDB" w:rsidR="0039162F" w:rsidRDefault="0039162F" w:rsidP="008226F8">
      <w:pPr>
        <w:jc w:val="center"/>
        <w:rPr>
          <w:b/>
          <w:bCs/>
          <w:color w:val="222222"/>
          <w:sz w:val="28"/>
          <w:szCs w:val="28"/>
        </w:rPr>
      </w:pPr>
      <w:r w:rsidRPr="0039162F">
        <w:rPr>
          <w:b/>
          <w:bCs/>
          <w:color w:val="222222"/>
          <w:sz w:val="28"/>
          <w:szCs w:val="28"/>
        </w:rPr>
        <w:t xml:space="preserve">Reducing </w:t>
      </w:r>
      <w:r w:rsidR="008226F8">
        <w:rPr>
          <w:b/>
          <w:bCs/>
          <w:color w:val="222222"/>
          <w:sz w:val="28"/>
          <w:szCs w:val="28"/>
        </w:rPr>
        <w:t>Cost of Doing Business to S</w:t>
      </w:r>
      <w:r w:rsidR="00C97C9B">
        <w:rPr>
          <w:b/>
          <w:bCs/>
          <w:color w:val="222222"/>
          <w:sz w:val="28"/>
          <w:szCs w:val="28"/>
        </w:rPr>
        <w:t>pur Domestic and F</w:t>
      </w:r>
      <w:r w:rsidRPr="0039162F">
        <w:rPr>
          <w:b/>
          <w:bCs/>
          <w:color w:val="222222"/>
          <w:sz w:val="28"/>
          <w:szCs w:val="28"/>
        </w:rPr>
        <w:t>oreign investment</w:t>
      </w:r>
    </w:p>
    <w:p w14:paraId="08D820F7" w14:textId="2710DC3A" w:rsidR="00C97C9B" w:rsidRPr="002F2E0D" w:rsidRDefault="008226F8" w:rsidP="002F2E0D">
      <w:pPr>
        <w:jc w:val="center"/>
        <w:rPr>
          <w:bCs/>
          <w:i/>
          <w:color w:val="222222"/>
        </w:rPr>
      </w:pPr>
      <w:r w:rsidRPr="008226F8">
        <w:rPr>
          <w:bCs/>
          <w:i/>
          <w:color w:val="222222"/>
        </w:rPr>
        <w:t>G.M. Khurshid Alam</w:t>
      </w:r>
      <w:r w:rsidR="0027244B">
        <w:rPr>
          <w:bCs/>
          <w:i/>
          <w:color w:val="222222"/>
        </w:rPr>
        <w:t xml:space="preserve"> </w:t>
      </w:r>
    </w:p>
    <w:p w14:paraId="4682F369" w14:textId="5021BC3A" w:rsidR="00BA355D" w:rsidRPr="005E5B6A" w:rsidRDefault="00BA355D" w:rsidP="007079F0">
      <w:pPr>
        <w:spacing w:before="120" w:after="120"/>
        <w:jc w:val="both"/>
        <w:rPr>
          <w:b/>
        </w:rPr>
      </w:pPr>
      <w:r w:rsidRPr="005E5B6A">
        <w:rPr>
          <w:b/>
        </w:rPr>
        <w:t>I. Introduction</w:t>
      </w:r>
    </w:p>
    <w:p w14:paraId="2230E4C9" w14:textId="5333D321" w:rsidR="002111E4" w:rsidRPr="0036290B" w:rsidRDefault="00BA355D" w:rsidP="00643B1F">
      <w:pPr>
        <w:spacing w:before="120" w:after="240" w:line="276" w:lineRule="auto"/>
        <w:jc w:val="both"/>
        <w:rPr>
          <w:b/>
        </w:rPr>
      </w:pPr>
      <w:r w:rsidRPr="005E5B6A">
        <w:rPr>
          <w:b/>
        </w:rPr>
        <w:t xml:space="preserve">1.1 </w:t>
      </w:r>
      <w:r w:rsidRPr="00C97C9B">
        <w:rPr>
          <w:b/>
          <w:i/>
        </w:rPr>
        <w:t>Background.</w:t>
      </w:r>
      <w:r w:rsidR="00C97C9B">
        <w:rPr>
          <w:b/>
        </w:rPr>
        <w:t xml:space="preserve">  </w:t>
      </w:r>
      <w:r w:rsidR="005B189D" w:rsidRPr="002C0657">
        <w:t xml:space="preserve">Bangladesh has been on a transformation path with </w:t>
      </w:r>
      <w:r w:rsidR="008C5F88">
        <w:t xml:space="preserve">the </w:t>
      </w:r>
      <w:r w:rsidR="005B189D" w:rsidRPr="002C0657">
        <w:t xml:space="preserve">manufacturing sector driving exports and job growth resulting in sustained robust average growth in both GDP and in per capita GDP, facilitated by some conducive policy reforms. </w:t>
      </w:r>
      <w:r w:rsidR="0064379C" w:rsidRPr="0036290B">
        <w:t xml:space="preserve">From here on, the prospects of rapid growth with extensive job creation requires a high-performing and diversified manufacturing sector which will remain, for some time to come, the main driver of growth in Bangladesh. </w:t>
      </w:r>
    </w:p>
    <w:p w14:paraId="1D8BA652" w14:textId="05468E22" w:rsidR="002C0657" w:rsidRPr="002C0657" w:rsidRDefault="004B15CB" w:rsidP="00643B1F">
      <w:pPr>
        <w:spacing w:before="120" w:after="240" w:line="276" w:lineRule="auto"/>
      </w:pPr>
      <w:r w:rsidRPr="002C0657">
        <w:t>Bangladesh has continued pursuing that strategic path, and t</w:t>
      </w:r>
      <w:r w:rsidR="00A122E5" w:rsidRPr="002C0657">
        <w:t xml:space="preserve">he </w:t>
      </w:r>
      <w:r w:rsidR="00A7375D" w:rsidRPr="002C0657">
        <w:t xml:space="preserve">inclusive </w:t>
      </w:r>
      <w:r w:rsidR="00A122E5" w:rsidRPr="002C0657">
        <w:t xml:space="preserve">growth strategy in </w:t>
      </w:r>
      <w:r w:rsidR="00A7375D" w:rsidRPr="002C0657">
        <w:t xml:space="preserve">the Seventh Five Year Plan, which reflects continuation of the major policy that had been articulated in </w:t>
      </w:r>
      <w:r w:rsidR="00A122E5" w:rsidRPr="002C0657">
        <w:t>the</w:t>
      </w:r>
      <w:r w:rsidR="00A7375D" w:rsidRPr="002C0657">
        <w:t xml:space="preserve"> </w:t>
      </w:r>
      <w:r w:rsidR="00A122E5" w:rsidRPr="002C0657">
        <w:t>Sixth Plan</w:t>
      </w:r>
      <w:r w:rsidR="00A7375D" w:rsidRPr="002C0657">
        <w:t xml:space="preserve">.  </w:t>
      </w:r>
      <w:r w:rsidR="000B746A" w:rsidRPr="002C0657">
        <w:t>The cornerstone of t</w:t>
      </w:r>
      <w:r w:rsidR="0036290B">
        <w:t xml:space="preserve">his inclusive growth strategy has been a </w:t>
      </w:r>
      <w:r w:rsidR="000B746A" w:rsidRPr="002C0657">
        <w:t xml:space="preserve">strategy of job creation through employment-intensive </w:t>
      </w:r>
      <w:r w:rsidR="0036290B">
        <w:t xml:space="preserve">and </w:t>
      </w:r>
      <w:r w:rsidR="000B746A" w:rsidRPr="002C0657">
        <w:t>export-oriented manufacturing growth which will be able to absorb the army of additional workers that will continue to enter the labor force consistent with Bangladesh’s demographic transformation. As already factored in the 7</w:t>
      </w:r>
      <w:r w:rsidR="000B746A" w:rsidRPr="002C0657">
        <w:rPr>
          <w:vertAlign w:val="superscript"/>
        </w:rPr>
        <w:t>th</w:t>
      </w:r>
      <w:r w:rsidR="000B746A" w:rsidRPr="002C0657">
        <w:t xml:space="preserve"> Five Year Plan and the Perspective Plan, private sector will be the driving force in this endeavor for which higher levels of private investments is an absolute necessity.  Bangladesh had already attained sustained average growth of 4.8% in the nineties, 5.8% in the period 2001-2010, and 6.3% during 2011-2015 in the current decade.  Driven by a rising rate of national savings, the rate of gross domestic investment as a percent of GDP has been on the rise – expanding from a low of 10% of GDP in the 1970s to 28.9% with private investments at 22.1% in FY2015</w:t>
      </w:r>
      <w:r w:rsidR="002C0657">
        <w:t>.</w:t>
      </w:r>
      <w:r w:rsidR="008226F8">
        <w:t xml:space="preserve"> </w:t>
      </w:r>
    </w:p>
    <w:p w14:paraId="5812499F" w14:textId="25F93AFB" w:rsidR="00F52197" w:rsidRPr="002C0657" w:rsidRDefault="000B746A" w:rsidP="00643B1F">
      <w:pPr>
        <w:spacing w:before="240" w:after="120" w:line="276" w:lineRule="auto"/>
      </w:pPr>
      <w:r w:rsidRPr="002C0657">
        <w:t xml:space="preserve">Within its medium term macroeconomic framework, the Seventh Plan expects gross investments to reach 34.4% of GDP by FY20 of which private investments are expected to reach 26.6%. While gross investments have been growing, but that has been mainly from higher public sector investments. So there is the challenge of getting higher levels of private investments (both domestic and FDI) so as to attain the levels envisaged under the seventh five-year plan.  The slow pace in generating higher levels of private investments indicates that private sector has been facing challenges in policy, regulatory needs, infrastructural and other investment climate related challenges, which need to be redressed. </w:t>
      </w:r>
    </w:p>
    <w:p w14:paraId="1C76EA60" w14:textId="117EE573" w:rsidR="00FF74B0" w:rsidRPr="002C0657" w:rsidRDefault="00803A47" w:rsidP="00A122E5">
      <w:pPr>
        <w:spacing w:line="276" w:lineRule="auto"/>
        <w:jc w:val="both"/>
      </w:pPr>
      <w:r w:rsidRPr="002C0657">
        <w:t xml:space="preserve">The Seventh Plan has </w:t>
      </w:r>
      <w:r w:rsidR="00A122E5" w:rsidRPr="002C0657">
        <w:t xml:space="preserve">targeted to </w:t>
      </w:r>
      <w:r w:rsidRPr="002C0657">
        <w:t xml:space="preserve">attain an average real GDP growth rate of 7.4% and creating good jobs for the pool of unemployed and the new entrants </w:t>
      </w:r>
      <w:r w:rsidR="00F33E6B" w:rsidRPr="002C0657">
        <w:t xml:space="preserve">to the job market by increasing the share of employment in the manufacturing sector from 15% to 20%. </w:t>
      </w:r>
      <w:r w:rsidR="008E5AF3" w:rsidRPr="002C0657">
        <w:t xml:space="preserve"> This increase</w:t>
      </w:r>
      <w:r w:rsidR="00445446">
        <w:t>d</w:t>
      </w:r>
      <w:r w:rsidR="008E5AF3" w:rsidRPr="002C0657">
        <w:t xml:space="preserve"> share of employment is hinging on achieving an average of 10.9% growth in industry over the plan period with manufacturing reaching a growth level of 12.6% in FY 20.</w:t>
      </w:r>
      <w:r w:rsidR="00965121" w:rsidRPr="002C0657">
        <w:t xml:space="preserve"> </w:t>
      </w:r>
    </w:p>
    <w:p w14:paraId="2F6D7C9D" w14:textId="77777777" w:rsidR="00450E47" w:rsidRDefault="00450E47" w:rsidP="0064379C">
      <w:pPr>
        <w:jc w:val="both"/>
        <w:rPr>
          <w:b/>
        </w:rPr>
      </w:pPr>
    </w:p>
    <w:p w14:paraId="16526B9A" w14:textId="77777777" w:rsidR="00450E47" w:rsidRDefault="00450E47" w:rsidP="0064379C">
      <w:pPr>
        <w:jc w:val="both"/>
        <w:rPr>
          <w:b/>
        </w:rPr>
      </w:pPr>
    </w:p>
    <w:p w14:paraId="7F4772A6" w14:textId="77777777" w:rsidR="0064379C" w:rsidRPr="005E5B6A" w:rsidRDefault="0064379C" w:rsidP="0064379C">
      <w:pPr>
        <w:jc w:val="both"/>
        <w:rPr>
          <w:b/>
        </w:rPr>
      </w:pPr>
      <w:r w:rsidRPr="005E5B6A">
        <w:rPr>
          <w:b/>
        </w:rPr>
        <w:lastRenderedPageBreak/>
        <w:t>1.2 Goals and Strategic Vision</w:t>
      </w:r>
    </w:p>
    <w:p w14:paraId="73064F73" w14:textId="77777777" w:rsidR="0064379C" w:rsidRPr="005E5B6A" w:rsidRDefault="0064379C" w:rsidP="0064379C">
      <w:pPr>
        <w:jc w:val="both"/>
      </w:pPr>
    </w:p>
    <w:p w14:paraId="21E2D0A7" w14:textId="71390557" w:rsidR="00C97A39" w:rsidRPr="002C0657" w:rsidRDefault="00C97A39" w:rsidP="00C97A39">
      <w:pPr>
        <w:spacing w:line="276" w:lineRule="auto"/>
        <w:jc w:val="both"/>
      </w:pPr>
      <w:r w:rsidRPr="00751B3D">
        <w:t>The broa</w:t>
      </w:r>
      <w:r w:rsidR="00C6440C">
        <w:t>d objective of the study is</w:t>
      </w:r>
      <w:r w:rsidRPr="002C0657">
        <w:rPr>
          <w:i/>
        </w:rPr>
        <w:t xml:space="preserve"> </w:t>
      </w:r>
      <w:r w:rsidRPr="002C0657">
        <w:t xml:space="preserve">to highlight the main regulatory constraints to private investment, both domestic and foreign, based on available evidence from available data on Bangladesh investment </w:t>
      </w:r>
      <w:r w:rsidR="00C6440C" w:rsidRPr="002C0657">
        <w:t>climate and</w:t>
      </w:r>
      <w:r w:rsidRPr="002C0657">
        <w:t xml:space="preserve"> </w:t>
      </w:r>
      <w:r w:rsidR="00C6440C" w:rsidRPr="002C0657">
        <w:t>cross-country</w:t>
      </w:r>
      <w:r w:rsidR="00C6440C">
        <w:t xml:space="preserve"> experiences. The study </w:t>
      </w:r>
      <w:r w:rsidR="00C6440C" w:rsidRPr="002C0657">
        <w:t>focus</w:t>
      </w:r>
      <w:r w:rsidR="00C6440C">
        <w:t>es</w:t>
      </w:r>
      <w:r w:rsidRPr="002C0657">
        <w:t xml:space="preserve"> on strategies for increasing levels of private investment, both domestic and foreign, in light of the projected structural transformation that is envisaged for a rapidly growing economy in the context of g</w:t>
      </w:r>
      <w:r w:rsidR="00C6440C">
        <w:t>lobalization. The thrust is</w:t>
      </w:r>
      <w:r w:rsidR="00C6440C" w:rsidRPr="002C0657">
        <w:t xml:space="preserve"> on identifying the challenges and opportunities for investments based on analysis of the prevailing investment climate in Bangladesh, and also looks</w:t>
      </w:r>
      <w:r w:rsidRPr="002C0657">
        <w:t xml:space="preserve"> for options and strategies for making improvements.</w:t>
      </w:r>
      <w:r w:rsidR="00112F86">
        <w:t xml:space="preserve"> </w:t>
      </w:r>
      <w:r w:rsidR="00112F86" w:rsidRPr="002C0657">
        <w:t>The diagnosis is done on the basis of local and global experiences using the survey data</w:t>
      </w:r>
      <w:r w:rsidR="00112F86">
        <w:t>, the Global Competitiveness Index (GCI), the Global Logistic Index (GLI), and Doing Business (DB) index,</w:t>
      </w:r>
      <w:r w:rsidR="00112F86" w:rsidRPr="002C0657">
        <w:t xml:space="preserve"> compiled by</w:t>
      </w:r>
      <w:r w:rsidR="00112F86">
        <w:t xml:space="preserve"> the World Economic Forum (WEF), the World Bank, </w:t>
      </w:r>
      <w:r w:rsidR="00112F86" w:rsidRPr="002C0657">
        <w:t>and the International Finance Corporation (IFC)</w:t>
      </w:r>
      <w:r w:rsidR="00112F86">
        <w:t xml:space="preserve"> respectively.</w:t>
      </w:r>
      <w:r w:rsidRPr="002C0657">
        <w:t xml:space="preserve"> In this context the “Doing Business” environment and key institutional, regulatory bottlenecks and market structure that impedes private investments in Bangladesh will be looked into, with the objective of drawing out strategies for attracting higher levels of domestic and foreign investments. Based on that diagnosis the paper provides suggestions for policy reforms. </w:t>
      </w:r>
    </w:p>
    <w:p w14:paraId="2A2AE0A5" w14:textId="77777777" w:rsidR="00FF5F9F" w:rsidRPr="00C4578C" w:rsidRDefault="00FF5F9F" w:rsidP="0064379C">
      <w:pPr>
        <w:spacing w:line="276" w:lineRule="auto"/>
        <w:contextualSpacing/>
        <w:jc w:val="both"/>
        <w:rPr>
          <w:b/>
          <w:szCs w:val="28"/>
        </w:rPr>
      </w:pPr>
    </w:p>
    <w:p w14:paraId="5C3FF10A" w14:textId="77777777" w:rsidR="001353FA" w:rsidRDefault="00112F86" w:rsidP="00A321E0">
      <w:pPr>
        <w:spacing w:line="276" w:lineRule="auto"/>
        <w:contextualSpacing/>
        <w:jc w:val="both"/>
        <w:rPr>
          <w:szCs w:val="28"/>
        </w:rPr>
      </w:pPr>
      <w:r>
        <w:rPr>
          <w:b/>
          <w:szCs w:val="28"/>
        </w:rPr>
        <w:t>1.3 The</w:t>
      </w:r>
      <w:r w:rsidR="005A7044" w:rsidRPr="007B3277">
        <w:rPr>
          <w:b/>
          <w:szCs w:val="28"/>
        </w:rPr>
        <w:t xml:space="preserve"> s</w:t>
      </w:r>
      <w:r w:rsidR="00EC259F" w:rsidRPr="007B3277">
        <w:rPr>
          <w:b/>
          <w:szCs w:val="28"/>
        </w:rPr>
        <w:t xml:space="preserve">trategic </w:t>
      </w:r>
      <w:r w:rsidR="007B3277">
        <w:rPr>
          <w:b/>
          <w:szCs w:val="28"/>
        </w:rPr>
        <w:t xml:space="preserve">scenarios and </w:t>
      </w:r>
      <w:r w:rsidR="00FF5F9F" w:rsidRPr="007B3277">
        <w:rPr>
          <w:b/>
          <w:szCs w:val="28"/>
        </w:rPr>
        <w:t>targets for moving Bangladesh to trajectory to become a</w:t>
      </w:r>
      <w:r w:rsidR="00EC259F" w:rsidRPr="007B3277">
        <w:rPr>
          <w:b/>
          <w:szCs w:val="28"/>
        </w:rPr>
        <w:t xml:space="preserve"> High Income Country</w:t>
      </w:r>
      <w:r w:rsidR="00FF5F9F" w:rsidRPr="007B3277">
        <w:rPr>
          <w:b/>
          <w:szCs w:val="28"/>
        </w:rPr>
        <w:t xml:space="preserve"> (HIC)</w:t>
      </w:r>
      <w:r w:rsidR="005A7044" w:rsidRPr="007B3277">
        <w:rPr>
          <w:b/>
          <w:szCs w:val="28"/>
        </w:rPr>
        <w:t xml:space="preserve"> – the </w:t>
      </w:r>
      <w:r w:rsidR="00643B1F" w:rsidRPr="00643B1F">
        <w:rPr>
          <w:b/>
          <w:szCs w:val="28"/>
        </w:rPr>
        <w:t>2041</w:t>
      </w:r>
      <w:r w:rsidR="005A7044" w:rsidRPr="007B3277">
        <w:rPr>
          <w:b/>
          <w:szCs w:val="28"/>
        </w:rPr>
        <w:t xml:space="preserve"> vision</w:t>
      </w:r>
      <w:r w:rsidR="00FF5F9F" w:rsidRPr="007B3277">
        <w:rPr>
          <w:b/>
          <w:szCs w:val="28"/>
        </w:rPr>
        <w:t>.</w:t>
      </w:r>
      <w:r w:rsidR="00EC259F" w:rsidRPr="00C4578C">
        <w:rPr>
          <w:b/>
          <w:i/>
          <w:szCs w:val="28"/>
        </w:rPr>
        <w:t xml:space="preserve"> </w:t>
      </w:r>
      <w:r w:rsidR="009D7240" w:rsidRPr="009D7240">
        <w:rPr>
          <w:szCs w:val="28"/>
        </w:rPr>
        <w:t xml:space="preserve"> </w:t>
      </w:r>
    </w:p>
    <w:p w14:paraId="067815EC" w14:textId="77777777" w:rsidR="001353FA" w:rsidRDefault="001353FA" w:rsidP="00A321E0">
      <w:pPr>
        <w:spacing w:line="276" w:lineRule="auto"/>
        <w:contextualSpacing/>
        <w:jc w:val="both"/>
        <w:rPr>
          <w:szCs w:val="28"/>
        </w:rPr>
      </w:pPr>
    </w:p>
    <w:p w14:paraId="59637EF6" w14:textId="1C0EFFCD" w:rsidR="00A321E0" w:rsidRPr="00A321E0" w:rsidRDefault="007B6825" w:rsidP="00A321E0">
      <w:pPr>
        <w:spacing w:line="276" w:lineRule="auto"/>
        <w:contextualSpacing/>
        <w:jc w:val="both"/>
        <w:rPr>
          <w:szCs w:val="28"/>
        </w:rPr>
      </w:pPr>
      <w:r w:rsidRPr="009D7240">
        <w:rPr>
          <w:szCs w:val="28"/>
        </w:rPr>
        <w:t xml:space="preserve">The </w:t>
      </w:r>
      <w:r w:rsidR="00043261">
        <w:rPr>
          <w:szCs w:val="28"/>
        </w:rPr>
        <w:t>GED of the Planning Commission has postulated a scenario whereby</w:t>
      </w:r>
      <w:r w:rsidRPr="009D7240">
        <w:rPr>
          <w:szCs w:val="28"/>
        </w:rPr>
        <w:t xml:space="preserve"> Bangladesh </w:t>
      </w:r>
      <w:r w:rsidR="00043261">
        <w:rPr>
          <w:szCs w:val="28"/>
        </w:rPr>
        <w:t>could</w:t>
      </w:r>
      <w:r w:rsidRPr="009D7240">
        <w:rPr>
          <w:szCs w:val="28"/>
        </w:rPr>
        <w:t xml:space="preserve"> traver</w:t>
      </w:r>
      <w:r w:rsidR="00A321E0">
        <w:rPr>
          <w:szCs w:val="28"/>
        </w:rPr>
        <w:t>se to the HIC status around 2041</w:t>
      </w:r>
      <w:r w:rsidRPr="009D7240">
        <w:rPr>
          <w:szCs w:val="28"/>
        </w:rPr>
        <w:t xml:space="preserve"> hinges on the need for Bangladesh to</w:t>
      </w:r>
      <w:r w:rsidR="00B81B28" w:rsidRPr="009D7240">
        <w:rPr>
          <w:szCs w:val="28"/>
        </w:rPr>
        <w:t xml:space="preserve"> be</w:t>
      </w:r>
      <w:r w:rsidR="0064379C" w:rsidRPr="009D7240">
        <w:rPr>
          <w:szCs w:val="28"/>
        </w:rPr>
        <w:t xml:space="preserve"> able achieve its GDP growth target of 8% by FY2020</w:t>
      </w:r>
      <w:r w:rsidRPr="009D7240">
        <w:rPr>
          <w:szCs w:val="28"/>
        </w:rPr>
        <w:t>,</w:t>
      </w:r>
      <w:r w:rsidR="0064379C" w:rsidRPr="009D7240">
        <w:rPr>
          <w:szCs w:val="28"/>
        </w:rPr>
        <w:t xml:space="preserve"> and </w:t>
      </w:r>
      <w:r w:rsidRPr="009D7240">
        <w:rPr>
          <w:szCs w:val="28"/>
        </w:rPr>
        <w:t xml:space="preserve">then </w:t>
      </w:r>
      <w:r w:rsidR="0064379C" w:rsidRPr="009D7240">
        <w:rPr>
          <w:szCs w:val="28"/>
        </w:rPr>
        <w:t>maintain an averag</w:t>
      </w:r>
      <w:r w:rsidR="00A321E0">
        <w:rPr>
          <w:szCs w:val="28"/>
        </w:rPr>
        <w:t>e growth rate of 8% beyond</w:t>
      </w:r>
      <w:r w:rsidR="00112F86">
        <w:rPr>
          <w:szCs w:val="28"/>
        </w:rPr>
        <w:t xml:space="preserve"> FY</w:t>
      </w:r>
      <w:r w:rsidR="00A321E0" w:rsidRPr="00A321E0">
        <w:rPr>
          <w:szCs w:val="28"/>
        </w:rPr>
        <w:t>2041</w:t>
      </w:r>
      <w:r w:rsidR="0064379C" w:rsidRPr="009D7240">
        <w:rPr>
          <w:szCs w:val="28"/>
        </w:rPr>
        <w:t xml:space="preserve">. </w:t>
      </w:r>
      <w:r w:rsidR="00543E94" w:rsidRPr="009D7240">
        <w:rPr>
          <w:szCs w:val="28"/>
        </w:rPr>
        <w:t xml:space="preserve">Table 1 </w:t>
      </w:r>
      <w:r w:rsidR="00043261">
        <w:rPr>
          <w:szCs w:val="28"/>
        </w:rPr>
        <w:t>below provides a summary of that</w:t>
      </w:r>
      <w:r w:rsidR="00543E94" w:rsidRPr="009D7240">
        <w:rPr>
          <w:szCs w:val="28"/>
        </w:rPr>
        <w:t xml:space="preserve"> </w:t>
      </w:r>
      <w:r w:rsidR="00A321E0">
        <w:rPr>
          <w:szCs w:val="28"/>
        </w:rPr>
        <w:t xml:space="preserve">GED </w:t>
      </w:r>
      <w:r w:rsidR="00543E94" w:rsidRPr="009D7240">
        <w:rPr>
          <w:szCs w:val="28"/>
        </w:rPr>
        <w:t xml:space="preserve">policy scenario. </w:t>
      </w:r>
      <w:r w:rsidR="0064379C" w:rsidRPr="009D7240">
        <w:rPr>
          <w:szCs w:val="28"/>
        </w:rPr>
        <w:t xml:space="preserve">As a result, a key outcome of </w:t>
      </w:r>
      <w:r w:rsidRPr="009D7240">
        <w:rPr>
          <w:szCs w:val="28"/>
        </w:rPr>
        <w:t>this plan</w:t>
      </w:r>
      <w:r w:rsidR="0064379C" w:rsidRPr="009D7240">
        <w:rPr>
          <w:szCs w:val="28"/>
        </w:rPr>
        <w:t xml:space="preserve"> poli</w:t>
      </w:r>
      <w:r w:rsidRPr="009D7240">
        <w:rPr>
          <w:szCs w:val="28"/>
        </w:rPr>
        <w:t>cy scenario is that Bangladesh c</w:t>
      </w:r>
      <w:r w:rsidR="0064379C" w:rsidRPr="009D7240">
        <w:rPr>
          <w:szCs w:val="28"/>
        </w:rPr>
        <w:t>ould become an UMIC by FY2031</w:t>
      </w:r>
      <w:r w:rsidRPr="009D7240">
        <w:rPr>
          <w:szCs w:val="28"/>
        </w:rPr>
        <w:t>; and</w:t>
      </w:r>
      <w:r w:rsidR="0064379C" w:rsidRPr="009D7240">
        <w:rPr>
          <w:szCs w:val="28"/>
        </w:rPr>
        <w:t xml:space="preserve"> </w:t>
      </w:r>
      <w:r w:rsidRPr="009D7240">
        <w:rPr>
          <w:szCs w:val="28"/>
        </w:rPr>
        <w:t xml:space="preserve">be on a path to be a HIC around </w:t>
      </w:r>
      <w:r w:rsidR="0064379C" w:rsidRPr="009D7240">
        <w:rPr>
          <w:szCs w:val="28"/>
        </w:rPr>
        <w:t>FY</w:t>
      </w:r>
      <w:r w:rsidR="00A321E0">
        <w:rPr>
          <w:szCs w:val="28"/>
        </w:rPr>
        <w:t xml:space="preserve"> </w:t>
      </w:r>
      <w:r w:rsidR="00A321E0" w:rsidRPr="00A321E0">
        <w:rPr>
          <w:szCs w:val="28"/>
        </w:rPr>
        <w:t>2041</w:t>
      </w:r>
      <w:r w:rsidR="0064379C" w:rsidRPr="009D7240">
        <w:rPr>
          <w:szCs w:val="28"/>
        </w:rPr>
        <w:t xml:space="preserve">. This scenario envisages that Bangladesh’s per capita income would be around USD 5,480 in FY31 </w:t>
      </w:r>
      <w:r w:rsidR="00A321E0">
        <w:rPr>
          <w:szCs w:val="28"/>
        </w:rPr>
        <w:t xml:space="preserve">and climb to USD 23,302 in FY41, </w:t>
      </w:r>
      <w:r w:rsidR="0064379C" w:rsidRPr="009D7240">
        <w:rPr>
          <w:szCs w:val="28"/>
        </w:rPr>
        <w:t xml:space="preserve">while maintaining 8.3 percent growth rate on an average from FY2016 to </w:t>
      </w:r>
      <w:r w:rsidR="0064379C" w:rsidRPr="00A321E0">
        <w:rPr>
          <w:szCs w:val="28"/>
        </w:rPr>
        <w:t>FY2046</w:t>
      </w:r>
      <w:r w:rsidR="00A321E0">
        <w:t xml:space="preserve">. </w:t>
      </w:r>
    </w:p>
    <w:p w14:paraId="705A9F96" w14:textId="77777777" w:rsidR="00A321E0" w:rsidRDefault="00A321E0" w:rsidP="0064379C">
      <w:pPr>
        <w:spacing w:line="276" w:lineRule="auto"/>
        <w:contextualSpacing/>
        <w:jc w:val="both"/>
        <w:rPr>
          <w:szCs w:val="28"/>
        </w:rPr>
      </w:pPr>
    </w:p>
    <w:p w14:paraId="538CCEC1" w14:textId="6CE1A74E" w:rsidR="0064379C" w:rsidRPr="00A321E0" w:rsidRDefault="0064379C" w:rsidP="0064379C">
      <w:pPr>
        <w:spacing w:line="276" w:lineRule="auto"/>
        <w:contextualSpacing/>
        <w:jc w:val="both"/>
        <w:rPr>
          <w:szCs w:val="28"/>
        </w:rPr>
      </w:pPr>
      <w:r w:rsidRPr="009D7240">
        <w:rPr>
          <w:szCs w:val="28"/>
        </w:rPr>
        <w:t xml:space="preserve">These per capita income figures exceed the corresponding thresholds for HIC as defined under the WB guidelines. Indeed, projections </w:t>
      </w:r>
      <w:r w:rsidR="007B6825" w:rsidRPr="009D7240">
        <w:rPr>
          <w:szCs w:val="28"/>
        </w:rPr>
        <w:t xml:space="preserve">by the </w:t>
      </w:r>
      <w:r w:rsidR="00B90DA6" w:rsidRPr="009D7240">
        <w:rPr>
          <w:szCs w:val="28"/>
        </w:rPr>
        <w:t xml:space="preserve">General Economics Division (GED) of the </w:t>
      </w:r>
      <w:r w:rsidR="007B6825" w:rsidRPr="009D7240">
        <w:rPr>
          <w:szCs w:val="28"/>
        </w:rPr>
        <w:t xml:space="preserve">Bangladesh Planning Commission </w:t>
      </w:r>
      <w:r w:rsidRPr="009D7240">
        <w:rPr>
          <w:szCs w:val="28"/>
        </w:rPr>
        <w:t>show</w:t>
      </w:r>
      <w:r w:rsidR="007B6825" w:rsidRPr="009D7240">
        <w:rPr>
          <w:szCs w:val="28"/>
        </w:rPr>
        <w:t>s that Bangladesh c</w:t>
      </w:r>
      <w:r w:rsidRPr="009D7240">
        <w:rPr>
          <w:szCs w:val="28"/>
        </w:rPr>
        <w:t xml:space="preserve">ould cross the UMIC threshold by the target year FY31 and </w:t>
      </w:r>
      <w:r w:rsidR="007B6825" w:rsidRPr="009D7240">
        <w:rPr>
          <w:szCs w:val="28"/>
        </w:rPr>
        <w:t xml:space="preserve">be </w:t>
      </w:r>
      <w:r w:rsidRPr="009D7240">
        <w:rPr>
          <w:szCs w:val="28"/>
        </w:rPr>
        <w:t xml:space="preserve">high income country </w:t>
      </w:r>
      <w:r w:rsidR="00A321E0">
        <w:rPr>
          <w:szCs w:val="28"/>
        </w:rPr>
        <w:t xml:space="preserve">around </w:t>
      </w:r>
      <w:r w:rsidR="00A321E0" w:rsidRPr="00A321E0">
        <w:rPr>
          <w:szCs w:val="28"/>
        </w:rPr>
        <w:t>FY41</w:t>
      </w:r>
      <w:r w:rsidRPr="009D7240">
        <w:rPr>
          <w:szCs w:val="28"/>
        </w:rPr>
        <w:t>.</w:t>
      </w:r>
      <w:r w:rsidR="007B6825" w:rsidRPr="009D7240">
        <w:rPr>
          <w:szCs w:val="28"/>
        </w:rPr>
        <w:t xml:space="preserve">  </w:t>
      </w:r>
      <w:r w:rsidR="007B6825" w:rsidRPr="006D6030">
        <w:rPr>
          <w:szCs w:val="28"/>
        </w:rPr>
        <w:t>As will be shown later</w:t>
      </w:r>
      <w:r w:rsidR="00543E94" w:rsidRPr="006D6030">
        <w:rPr>
          <w:szCs w:val="28"/>
        </w:rPr>
        <w:t>,</w:t>
      </w:r>
      <w:r w:rsidR="007B6825" w:rsidRPr="006D6030">
        <w:rPr>
          <w:szCs w:val="28"/>
        </w:rPr>
        <w:t xml:space="preserve"> this </w:t>
      </w:r>
      <w:r w:rsidR="00543E94" w:rsidRPr="006D6030">
        <w:t>income expansion path for UMIC will be quite steep and challenging, and wil</w:t>
      </w:r>
      <w:r w:rsidR="00112F86" w:rsidRPr="006D6030">
        <w:t>l require not only many policy</w:t>
      </w:r>
      <w:r w:rsidR="00543E94" w:rsidRPr="006D6030">
        <w:t xml:space="preserve"> reforms but also, especially, a massive investment effort </w:t>
      </w:r>
      <w:r w:rsidR="00706180" w:rsidRPr="00706180">
        <w:t>(See Figure 8 below)</w:t>
      </w:r>
      <w:r w:rsidR="00543E94" w:rsidRPr="00706180">
        <w:t>.</w:t>
      </w:r>
      <w:r w:rsidR="00B90DA6" w:rsidRPr="00706180">
        <w:t xml:space="preserve"> </w:t>
      </w:r>
    </w:p>
    <w:p w14:paraId="5BE4938F" w14:textId="77777777" w:rsidR="0064379C" w:rsidRPr="009D7240" w:rsidRDefault="0064379C" w:rsidP="0064379C">
      <w:pPr>
        <w:jc w:val="both"/>
        <w:rPr>
          <w:sz w:val="8"/>
        </w:rPr>
      </w:pPr>
    </w:p>
    <w:p w14:paraId="6AFDBFCB" w14:textId="77777777" w:rsidR="0064379C" w:rsidRPr="009D7240" w:rsidRDefault="0064379C" w:rsidP="0064379C">
      <w:pPr>
        <w:jc w:val="both"/>
        <w:rPr>
          <w:sz w:val="8"/>
        </w:rPr>
      </w:pPr>
    </w:p>
    <w:p w14:paraId="23B3CFB3" w14:textId="77777777" w:rsidR="0064379C" w:rsidRPr="00C4578C" w:rsidRDefault="0064379C" w:rsidP="0064379C">
      <w:pPr>
        <w:jc w:val="both"/>
        <w:rPr>
          <w:sz w:val="8"/>
        </w:rPr>
      </w:pPr>
    </w:p>
    <w:p w14:paraId="0FDE5114" w14:textId="77777777" w:rsidR="002F2E0D" w:rsidRDefault="002F2E0D" w:rsidP="0064379C">
      <w:pPr>
        <w:jc w:val="center"/>
        <w:rPr>
          <w:b/>
        </w:rPr>
      </w:pPr>
    </w:p>
    <w:p w14:paraId="2BF36B6B" w14:textId="77777777" w:rsidR="007D208C" w:rsidRDefault="007D208C" w:rsidP="0064379C">
      <w:pPr>
        <w:jc w:val="center"/>
        <w:rPr>
          <w:b/>
        </w:rPr>
      </w:pPr>
    </w:p>
    <w:p w14:paraId="346CBABE" w14:textId="77777777" w:rsidR="007D208C" w:rsidRDefault="007D208C" w:rsidP="0064379C">
      <w:pPr>
        <w:jc w:val="center"/>
        <w:rPr>
          <w:b/>
        </w:rPr>
      </w:pPr>
    </w:p>
    <w:p w14:paraId="4433D0BB" w14:textId="77777777" w:rsidR="0064379C" w:rsidRPr="00C4578C" w:rsidRDefault="0064379C" w:rsidP="0064379C">
      <w:pPr>
        <w:jc w:val="center"/>
        <w:rPr>
          <w:b/>
        </w:rPr>
      </w:pPr>
      <w:r w:rsidRPr="00C4578C">
        <w:rPr>
          <w:b/>
        </w:rPr>
        <w:t>Table -1: Summary of Policy Scenario</w:t>
      </w:r>
    </w:p>
    <w:p w14:paraId="18BA7112" w14:textId="77777777" w:rsidR="00C4578C" w:rsidRPr="00C4578C" w:rsidRDefault="00C4578C" w:rsidP="0064379C">
      <w:pPr>
        <w:jc w:val="center"/>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9"/>
        <w:gridCol w:w="1669"/>
        <w:gridCol w:w="1669"/>
        <w:gridCol w:w="1669"/>
      </w:tblGrid>
      <w:tr w:rsidR="0064379C" w:rsidRPr="00C4578C" w14:paraId="7FFC726C" w14:textId="77777777" w:rsidTr="0064379C">
        <w:trPr>
          <w:trHeight w:val="20"/>
          <w:tblHeader/>
        </w:trPr>
        <w:tc>
          <w:tcPr>
            <w:tcW w:w="2309" w:type="pct"/>
            <w:shd w:val="clear" w:color="auto" w:fill="F2F2F2"/>
          </w:tcPr>
          <w:p w14:paraId="12DB7372" w14:textId="77777777" w:rsidR="0064379C" w:rsidRPr="00C4578C" w:rsidRDefault="0064379C" w:rsidP="0064379C">
            <w:pPr>
              <w:rPr>
                <w:rFonts w:asciiTheme="minorHAnsi" w:hAnsiTheme="minorHAnsi" w:cstheme="minorHAnsi"/>
                <w:b/>
                <w:sz w:val="20"/>
              </w:rPr>
            </w:pPr>
            <w:r w:rsidRPr="00C4578C">
              <w:rPr>
                <w:rFonts w:asciiTheme="minorHAnsi" w:hAnsiTheme="minorHAnsi" w:cstheme="minorHAnsi"/>
                <w:b/>
                <w:sz w:val="20"/>
              </w:rPr>
              <w:t xml:space="preserve">Key Outcome </w:t>
            </w:r>
          </w:p>
        </w:tc>
        <w:tc>
          <w:tcPr>
            <w:tcW w:w="897" w:type="pct"/>
            <w:shd w:val="clear" w:color="auto" w:fill="F2F2F2"/>
          </w:tcPr>
          <w:p w14:paraId="07E8AA45" w14:textId="77777777" w:rsidR="0064379C" w:rsidRPr="00C4578C" w:rsidRDefault="0064379C" w:rsidP="0064379C">
            <w:pPr>
              <w:jc w:val="center"/>
              <w:rPr>
                <w:rFonts w:asciiTheme="minorHAnsi" w:hAnsiTheme="minorHAnsi" w:cstheme="minorHAnsi"/>
                <w:b/>
                <w:sz w:val="20"/>
              </w:rPr>
            </w:pPr>
            <w:r w:rsidRPr="00C4578C">
              <w:rPr>
                <w:rFonts w:asciiTheme="minorHAnsi" w:hAnsiTheme="minorHAnsi" w:cstheme="minorHAnsi"/>
                <w:b/>
                <w:sz w:val="20"/>
              </w:rPr>
              <w:t>2030</w:t>
            </w:r>
          </w:p>
        </w:tc>
        <w:tc>
          <w:tcPr>
            <w:tcW w:w="897" w:type="pct"/>
            <w:shd w:val="clear" w:color="auto" w:fill="F2F2F2"/>
          </w:tcPr>
          <w:p w14:paraId="03D8C1FB" w14:textId="77777777" w:rsidR="0064379C" w:rsidRPr="00C4578C" w:rsidRDefault="0064379C" w:rsidP="0064379C">
            <w:pPr>
              <w:jc w:val="center"/>
              <w:rPr>
                <w:rFonts w:asciiTheme="minorHAnsi" w:hAnsiTheme="minorHAnsi" w:cstheme="minorHAnsi"/>
                <w:b/>
                <w:sz w:val="20"/>
              </w:rPr>
            </w:pPr>
            <w:r w:rsidRPr="00C4578C">
              <w:rPr>
                <w:rFonts w:asciiTheme="minorHAnsi" w:hAnsiTheme="minorHAnsi" w:cstheme="minorHAnsi"/>
                <w:b/>
                <w:sz w:val="20"/>
              </w:rPr>
              <w:t>2041</w:t>
            </w:r>
          </w:p>
        </w:tc>
        <w:tc>
          <w:tcPr>
            <w:tcW w:w="897" w:type="pct"/>
            <w:shd w:val="clear" w:color="auto" w:fill="F2F2F2"/>
          </w:tcPr>
          <w:p w14:paraId="2D967468" w14:textId="77777777" w:rsidR="0064379C" w:rsidRPr="00C4578C" w:rsidRDefault="0064379C" w:rsidP="0064379C">
            <w:pPr>
              <w:jc w:val="center"/>
              <w:rPr>
                <w:rFonts w:asciiTheme="minorHAnsi" w:hAnsiTheme="minorHAnsi" w:cstheme="minorHAnsi"/>
                <w:b/>
                <w:sz w:val="20"/>
              </w:rPr>
            </w:pPr>
            <w:r w:rsidRPr="00C4578C">
              <w:rPr>
                <w:rFonts w:asciiTheme="minorHAnsi" w:hAnsiTheme="minorHAnsi" w:cstheme="minorHAnsi"/>
                <w:b/>
                <w:sz w:val="20"/>
              </w:rPr>
              <w:t>2046</w:t>
            </w:r>
          </w:p>
        </w:tc>
      </w:tr>
      <w:tr w:rsidR="0064379C" w:rsidRPr="00C4578C" w14:paraId="4601EBDA" w14:textId="77777777" w:rsidTr="0064379C">
        <w:trPr>
          <w:trHeight w:val="20"/>
        </w:trPr>
        <w:tc>
          <w:tcPr>
            <w:tcW w:w="2309" w:type="pct"/>
          </w:tcPr>
          <w:p w14:paraId="12BEA5BA"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Extreme poverty</w:t>
            </w:r>
          </w:p>
        </w:tc>
        <w:tc>
          <w:tcPr>
            <w:tcW w:w="897" w:type="pct"/>
          </w:tcPr>
          <w:p w14:paraId="36E89A3A"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0.4</w:t>
            </w:r>
          </w:p>
        </w:tc>
        <w:tc>
          <w:tcPr>
            <w:tcW w:w="897" w:type="pct"/>
          </w:tcPr>
          <w:p w14:paraId="14716BC1"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0.0</w:t>
            </w:r>
          </w:p>
        </w:tc>
        <w:tc>
          <w:tcPr>
            <w:tcW w:w="897" w:type="pct"/>
          </w:tcPr>
          <w:p w14:paraId="5E3F85EE"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0</w:t>
            </w:r>
          </w:p>
        </w:tc>
      </w:tr>
      <w:tr w:rsidR="0064379C" w:rsidRPr="00C4578C" w14:paraId="2D488413" w14:textId="77777777" w:rsidTr="0064379C">
        <w:trPr>
          <w:trHeight w:val="20"/>
        </w:trPr>
        <w:tc>
          <w:tcPr>
            <w:tcW w:w="2309" w:type="pct"/>
          </w:tcPr>
          <w:p w14:paraId="52C1F5B7"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Moderate Poverty</w:t>
            </w:r>
          </w:p>
        </w:tc>
        <w:tc>
          <w:tcPr>
            <w:tcW w:w="897" w:type="pct"/>
          </w:tcPr>
          <w:p w14:paraId="75FC606B"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8.3</w:t>
            </w:r>
          </w:p>
        </w:tc>
        <w:tc>
          <w:tcPr>
            <w:tcW w:w="897" w:type="pct"/>
          </w:tcPr>
          <w:p w14:paraId="6E0BDB22"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4.1</w:t>
            </w:r>
          </w:p>
        </w:tc>
        <w:tc>
          <w:tcPr>
            <w:tcW w:w="897" w:type="pct"/>
          </w:tcPr>
          <w:p w14:paraId="57E2A7B4"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2.2</w:t>
            </w:r>
          </w:p>
        </w:tc>
      </w:tr>
      <w:tr w:rsidR="0064379C" w:rsidRPr="00C4578C" w14:paraId="5C6E8854" w14:textId="77777777" w:rsidTr="0064379C">
        <w:trPr>
          <w:trHeight w:val="20"/>
        </w:trPr>
        <w:tc>
          <w:tcPr>
            <w:tcW w:w="2309" w:type="pct"/>
          </w:tcPr>
          <w:p w14:paraId="51FFA504"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Upper Middle Income Country</w:t>
            </w:r>
          </w:p>
        </w:tc>
        <w:tc>
          <w:tcPr>
            <w:tcW w:w="897" w:type="pct"/>
          </w:tcPr>
          <w:p w14:paraId="576A7BAB"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b/>
                <w:sz w:val="20"/>
              </w:rPr>
              <w:t xml:space="preserve">               √</w:t>
            </w:r>
          </w:p>
        </w:tc>
        <w:tc>
          <w:tcPr>
            <w:tcW w:w="897" w:type="pct"/>
          </w:tcPr>
          <w:p w14:paraId="2B173A92" w14:textId="77777777" w:rsidR="0064379C" w:rsidRPr="00C4578C" w:rsidRDefault="0064379C" w:rsidP="0064379C">
            <w:pPr>
              <w:rPr>
                <w:rFonts w:asciiTheme="minorHAnsi" w:hAnsiTheme="minorHAnsi" w:cstheme="minorHAnsi"/>
                <w:sz w:val="20"/>
              </w:rPr>
            </w:pPr>
          </w:p>
        </w:tc>
        <w:tc>
          <w:tcPr>
            <w:tcW w:w="897" w:type="pct"/>
          </w:tcPr>
          <w:p w14:paraId="352EB8A6" w14:textId="77777777" w:rsidR="0064379C" w:rsidRPr="00C4578C" w:rsidRDefault="0064379C" w:rsidP="0064379C">
            <w:pPr>
              <w:rPr>
                <w:rFonts w:asciiTheme="minorHAnsi" w:hAnsiTheme="minorHAnsi" w:cstheme="minorHAnsi"/>
                <w:sz w:val="20"/>
              </w:rPr>
            </w:pPr>
          </w:p>
        </w:tc>
      </w:tr>
      <w:tr w:rsidR="0064379C" w:rsidRPr="00C4578C" w14:paraId="50DE3084" w14:textId="77777777" w:rsidTr="0064379C">
        <w:trPr>
          <w:trHeight w:val="20"/>
        </w:trPr>
        <w:tc>
          <w:tcPr>
            <w:tcW w:w="2309" w:type="pct"/>
          </w:tcPr>
          <w:p w14:paraId="1770D80F"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High Income Country</w:t>
            </w:r>
          </w:p>
        </w:tc>
        <w:tc>
          <w:tcPr>
            <w:tcW w:w="897" w:type="pct"/>
          </w:tcPr>
          <w:p w14:paraId="5F1D6D3F" w14:textId="77777777" w:rsidR="0064379C" w:rsidRPr="00C4578C" w:rsidRDefault="0064379C" w:rsidP="0064379C">
            <w:pPr>
              <w:rPr>
                <w:rFonts w:asciiTheme="minorHAnsi" w:hAnsiTheme="minorHAnsi" w:cstheme="minorHAnsi"/>
                <w:sz w:val="20"/>
              </w:rPr>
            </w:pPr>
          </w:p>
        </w:tc>
        <w:tc>
          <w:tcPr>
            <w:tcW w:w="897" w:type="pct"/>
          </w:tcPr>
          <w:p w14:paraId="06F4F3C4" w14:textId="77777777" w:rsidR="0064379C" w:rsidRPr="00C4578C" w:rsidRDefault="0064379C" w:rsidP="0064379C">
            <w:pPr>
              <w:rPr>
                <w:rFonts w:asciiTheme="minorHAnsi" w:hAnsiTheme="minorHAnsi" w:cstheme="minorHAnsi"/>
                <w:sz w:val="20"/>
              </w:rPr>
            </w:pPr>
          </w:p>
        </w:tc>
        <w:tc>
          <w:tcPr>
            <w:tcW w:w="897" w:type="pct"/>
          </w:tcPr>
          <w:p w14:paraId="7E384C90"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b/>
                <w:sz w:val="20"/>
              </w:rPr>
              <w:t xml:space="preserve">               √</w:t>
            </w:r>
          </w:p>
        </w:tc>
      </w:tr>
      <w:tr w:rsidR="0064379C" w:rsidRPr="00C4578C" w14:paraId="47957A5C" w14:textId="77777777" w:rsidTr="0064379C">
        <w:trPr>
          <w:trHeight w:val="20"/>
        </w:trPr>
        <w:tc>
          <w:tcPr>
            <w:tcW w:w="2309" w:type="pct"/>
          </w:tcPr>
          <w:p w14:paraId="76F809B2"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Key Drivers:</w:t>
            </w:r>
          </w:p>
        </w:tc>
        <w:tc>
          <w:tcPr>
            <w:tcW w:w="897" w:type="pct"/>
          </w:tcPr>
          <w:p w14:paraId="2498F863" w14:textId="77777777" w:rsidR="0064379C" w:rsidRPr="00C4578C" w:rsidRDefault="0064379C" w:rsidP="0064379C">
            <w:pPr>
              <w:rPr>
                <w:rFonts w:asciiTheme="minorHAnsi" w:hAnsiTheme="minorHAnsi" w:cstheme="minorHAnsi"/>
                <w:sz w:val="20"/>
              </w:rPr>
            </w:pPr>
          </w:p>
        </w:tc>
        <w:tc>
          <w:tcPr>
            <w:tcW w:w="897" w:type="pct"/>
          </w:tcPr>
          <w:p w14:paraId="1B7DB839" w14:textId="77777777" w:rsidR="0064379C" w:rsidRPr="00C4578C" w:rsidRDefault="0064379C" w:rsidP="0064379C">
            <w:pPr>
              <w:rPr>
                <w:rFonts w:asciiTheme="minorHAnsi" w:hAnsiTheme="minorHAnsi" w:cstheme="minorHAnsi"/>
                <w:sz w:val="20"/>
              </w:rPr>
            </w:pPr>
          </w:p>
        </w:tc>
        <w:tc>
          <w:tcPr>
            <w:tcW w:w="897" w:type="pct"/>
          </w:tcPr>
          <w:p w14:paraId="41111668" w14:textId="77777777" w:rsidR="0064379C" w:rsidRPr="00C4578C" w:rsidRDefault="0064379C" w:rsidP="0064379C">
            <w:pPr>
              <w:rPr>
                <w:rFonts w:asciiTheme="minorHAnsi" w:hAnsiTheme="minorHAnsi" w:cstheme="minorHAnsi"/>
                <w:sz w:val="20"/>
              </w:rPr>
            </w:pPr>
          </w:p>
        </w:tc>
      </w:tr>
      <w:tr w:rsidR="0064379C" w:rsidRPr="00C4578C" w14:paraId="5433631D" w14:textId="77777777" w:rsidTr="0064379C">
        <w:trPr>
          <w:trHeight w:val="20"/>
        </w:trPr>
        <w:tc>
          <w:tcPr>
            <w:tcW w:w="2309" w:type="pct"/>
          </w:tcPr>
          <w:p w14:paraId="4C83E873"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I/Y ratio</w:t>
            </w:r>
          </w:p>
        </w:tc>
        <w:tc>
          <w:tcPr>
            <w:tcW w:w="897" w:type="pct"/>
          </w:tcPr>
          <w:p w14:paraId="7B795320"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36.5</w:t>
            </w:r>
          </w:p>
        </w:tc>
        <w:tc>
          <w:tcPr>
            <w:tcW w:w="897" w:type="pct"/>
          </w:tcPr>
          <w:p w14:paraId="7876DA2C"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38.2</w:t>
            </w:r>
          </w:p>
        </w:tc>
        <w:tc>
          <w:tcPr>
            <w:tcW w:w="897" w:type="pct"/>
          </w:tcPr>
          <w:p w14:paraId="029CCB64"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38.5</w:t>
            </w:r>
          </w:p>
        </w:tc>
      </w:tr>
      <w:tr w:rsidR="0064379C" w:rsidRPr="00C4578C" w14:paraId="0A903A90" w14:textId="77777777" w:rsidTr="0064379C">
        <w:trPr>
          <w:trHeight w:val="20"/>
        </w:trPr>
        <w:tc>
          <w:tcPr>
            <w:tcW w:w="2309" w:type="pct"/>
          </w:tcPr>
          <w:p w14:paraId="526E3AAF"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Public Investment to GDP</w:t>
            </w:r>
          </w:p>
        </w:tc>
        <w:tc>
          <w:tcPr>
            <w:tcW w:w="897" w:type="pct"/>
          </w:tcPr>
          <w:p w14:paraId="69CE32AC"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8.6</w:t>
            </w:r>
          </w:p>
        </w:tc>
        <w:tc>
          <w:tcPr>
            <w:tcW w:w="897" w:type="pct"/>
          </w:tcPr>
          <w:p w14:paraId="267AEE4A"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9.0</w:t>
            </w:r>
          </w:p>
        </w:tc>
        <w:tc>
          <w:tcPr>
            <w:tcW w:w="897" w:type="pct"/>
          </w:tcPr>
          <w:p w14:paraId="551465BF"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9.0</w:t>
            </w:r>
          </w:p>
        </w:tc>
      </w:tr>
      <w:tr w:rsidR="0064379C" w:rsidRPr="00C4578C" w14:paraId="18569E4F" w14:textId="77777777" w:rsidTr="0064379C">
        <w:trPr>
          <w:trHeight w:val="20"/>
        </w:trPr>
        <w:tc>
          <w:tcPr>
            <w:tcW w:w="2309" w:type="pct"/>
          </w:tcPr>
          <w:p w14:paraId="5A23688C"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Private Investment to GDP</w:t>
            </w:r>
          </w:p>
        </w:tc>
        <w:tc>
          <w:tcPr>
            <w:tcW w:w="897" w:type="pct"/>
          </w:tcPr>
          <w:p w14:paraId="1B6EB294"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27.8</w:t>
            </w:r>
          </w:p>
        </w:tc>
        <w:tc>
          <w:tcPr>
            <w:tcW w:w="897" w:type="pct"/>
          </w:tcPr>
          <w:p w14:paraId="00C5AAF1"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29.2</w:t>
            </w:r>
          </w:p>
        </w:tc>
        <w:tc>
          <w:tcPr>
            <w:tcW w:w="897" w:type="pct"/>
          </w:tcPr>
          <w:p w14:paraId="3A3B847E"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29.5</w:t>
            </w:r>
          </w:p>
        </w:tc>
      </w:tr>
      <w:tr w:rsidR="0064379C" w:rsidRPr="00C4578C" w14:paraId="6A242D6B" w14:textId="77777777" w:rsidTr="0064379C">
        <w:trPr>
          <w:trHeight w:val="20"/>
        </w:trPr>
        <w:tc>
          <w:tcPr>
            <w:tcW w:w="2309" w:type="pct"/>
          </w:tcPr>
          <w:p w14:paraId="4E03F50B"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w:t>
            </w:r>
            <w:proofErr w:type="spellStart"/>
            <w:r w:rsidRPr="00C4578C">
              <w:rPr>
                <w:rFonts w:asciiTheme="minorHAnsi" w:hAnsiTheme="minorHAnsi" w:cstheme="minorHAnsi"/>
                <w:sz w:val="20"/>
              </w:rPr>
              <w:t>Labour</w:t>
            </w:r>
            <w:proofErr w:type="spellEnd"/>
            <w:r w:rsidRPr="00C4578C">
              <w:rPr>
                <w:rFonts w:asciiTheme="minorHAnsi" w:hAnsiTheme="minorHAnsi" w:cstheme="minorHAnsi"/>
                <w:sz w:val="20"/>
              </w:rPr>
              <w:t xml:space="preserve"> force participation</w:t>
            </w:r>
          </w:p>
        </w:tc>
        <w:tc>
          <w:tcPr>
            <w:tcW w:w="897" w:type="pct"/>
          </w:tcPr>
          <w:p w14:paraId="08DC979E"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63.5</w:t>
            </w:r>
          </w:p>
        </w:tc>
        <w:tc>
          <w:tcPr>
            <w:tcW w:w="897" w:type="pct"/>
          </w:tcPr>
          <w:p w14:paraId="11B13C1A"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68.0</w:t>
            </w:r>
          </w:p>
        </w:tc>
        <w:tc>
          <w:tcPr>
            <w:tcW w:w="897" w:type="pct"/>
          </w:tcPr>
          <w:p w14:paraId="575B71A8"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70.0</w:t>
            </w:r>
          </w:p>
        </w:tc>
      </w:tr>
      <w:tr w:rsidR="0064379C" w:rsidRPr="00C4578C" w14:paraId="30233D8D" w14:textId="77777777" w:rsidTr="0064379C">
        <w:trPr>
          <w:trHeight w:val="20"/>
        </w:trPr>
        <w:tc>
          <w:tcPr>
            <w:tcW w:w="2309" w:type="pct"/>
          </w:tcPr>
          <w:p w14:paraId="08EF5796"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Male</w:t>
            </w:r>
          </w:p>
        </w:tc>
        <w:tc>
          <w:tcPr>
            <w:tcW w:w="897" w:type="pct"/>
          </w:tcPr>
          <w:p w14:paraId="60FFD6AE"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82.0</w:t>
            </w:r>
          </w:p>
        </w:tc>
        <w:tc>
          <w:tcPr>
            <w:tcW w:w="897" w:type="pct"/>
          </w:tcPr>
          <w:p w14:paraId="51DBAC19"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82.2</w:t>
            </w:r>
          </w:p>
        </w:tc>
        <w:tc>
          <w:tcPr>
            <w:tcW w:w="897" w:type="pct"/>
          </w:tcPr>
          <w:p w14:paraId="73662195"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82.2</w:t>
            </w:r>
          </w:p>
        </w:tc>
      </w:tr>
      <w:tr w:rsidR="0064379C" w:rsidRPr="00C4578C" w14:paraId="17BA84C4" w14:textId="77777777" w:rsidTr="0064379C">
        <w:trPr>
          <w:trHeight w:val="20"/>
        </w:trPr>
        <w:tc>
          <w:tcPr>
            <w:tcW w:w="2309" w:type="pct"/>
          </w:tcPr>
          <w:p w14:paraId="52FD1DC4"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Female</w:t>
            </w:r>
          </w:p>
        </w:tc>
        <w:tc>
          <w:tcPr>
            <w:tcW w:w="897" w:type="pct"/>
          </w:tcPr>
          <w:p w14:paraId="536BD659"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44.9</w:t>
            </w:r>
          </w:p>
        </w:tc>
        <w:tc>
          <w:tcPr>
            <w:tcW w:w="897" w:type="pct"/>
          </w:tcPr>
          <w:p w14:paraId="6B0AEE9E"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53.7</w:t>
            </w:r>
          </w:p>
        </w:tc>
        <w:tc>
          <w:tcPr>
            <w:tcW w:w="897" w:type="pct"/>
          </w:tcPr>
          <w:p w14:paraId="1D711EE2"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57.7</w:t>
            </w:r>
          </w:p>
        </w:tc>
      </w:tr>
      <w:tr w:rsidR="0064379C" w:rsidRPr="00C4578C" w14:paraId="65B3588D" w14:textId="77777777" w:rsidTr="0064379C">
        <w:trPr>
          <w:trHeight w:val="20"/>
        </w:trPr>
        <w:tc>
          <w:tcPr>
            <w:tcW w:w="2309" w:type="pct"/>
          </w:tcPr>
          <w:p w14:paraId="698423AD"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Employed People, In million</w:t>
            </w:r>
          </w:p>
        </w:tc>
        <w:tc>
          <w:tcPr>
            <w:tcW w:w="897" w:type="pct"/>
          </w:tcPr>
          <w:p w14:paraId="0D5980D6"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86.2</w:t>
            </w:r>
          </w:p>
        </w:tc>
        <w:tc>
          <w:tcPr>
            <w:tcW w:w="897" w:type="pct"/>
          </w:tcPr>
          <w:p w14:paraId="3DB0552E"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101.2</w:t>
            </w:r>
          </w:p>
        </w:tc>
        <w:tc>
          <w:tcPr>
            <w:tcW w:w="897" w:type="pct"/>
          </w:tcPr>
          <w:p w14:paraId="30C08B78"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107.5</w:t>
            </w:r>
          </w:p>
        </w:tc>
      </w:tr>
      <w:tr w:rsidR="0064379C" w:rsidRPr="00C4578C" w14:paraId="56CFE391" w14:textId="77777777" w:rsidTr="0064379C">
        <w:trPr>
          <w:trHeight w:val="20"/>
        </w:trPr>
        <w:tc>
          <w:tcPr>
            <w:tcW w:w="2309" w:type="pct"/>
          </w:tcPr>
          <w:p w14:paraId="2C5910E2"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TFP</w:t>
            </w:r>
          </w:p>
        </w:tc>
        <w:tc>
          <w:tcPr>
            <w:tcW w:w="897" w:type="pct"/>
          </w:tcPr>
          <w:p w14:paraId="6FE98B03"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3.4</w:t>
            </w:r>
          </w:p>
        </w:tc>
        <w:tc>
          <w:tcPr>
            <w:tcW w:w="897" w:type="pct"/>
          </w:tcPr>
          <w:p w14:paraId="6D86D4EB"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4.3</w:t>
            </w:r>
          </w:p>
        </w:tc>
        <w:tc>
          <w:tcPr>
            <w:tcW w:w="897" w:type="pct"/>
          </w:tcPr>
          <w:p w14:paraId="68A32BB0"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4.4</w:t>
            </w:r>
          </w:p>
        </w:tc>
      </w:tr>
      <w:tr w:rsidR="0064379C" w:rsidRPr="00C4578C" w14:paraId="78E89AFB" w14:textId="77777777" w:rsidTr="0064379C">
        <w:trPr>
          <w:trHeight w:val="20"/>
        </w:trPr>
        <w:tc>
          <w:tcPr>
            <w:tcW w:w="2309" w:type="pct"/>
          </w:tcPr>
          <w:p w14:paraId="005A0959"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Capital</w:t>
            </w:r>
          </w:p>
        </w:tc>
        <w:tc>
          <w:tcPr>
            <w:tcW w:w="897" w:type="pct"/>
          </w:tcPr>
          <w:p w14:paraId="19253C61"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5.3</w:t>
            </w:r>
          </w:p>
        </w:tc>
        <w:tc>
          <w:tcPr>
            <w:tcW w:w="897" w:type="pct"/>
          </w:tcPr>
          <w:p w14:paraId="448A0CB0"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4.6</w:t>
            </w:r>
          </w:p>
        </w:tc>
        <w:tc>
          <w:tcPr>
            <w:tcW w:w="897" w:type="pct"/>
          </w:tcPr>
          <w:p w14:paraId="7F158DA9"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4.8</w:t>
            </w:r>
          </w:p>
        </w:tc>
      </w:tr>
      <w:tr w:rsidR="0064379C" w:rsidRPr="00C4578C" w14:paraId="5383D042" w14:textId="77777777" w:rsidTr="0064379C">
        <w:trPr>
          <w:trHeight w:val="20"/>
        </w:trPr>
        <w:tc>
          <w:tcPr>
            <w:tcW w:w="2309" w:type="pct"/>
          </w:tcPr>
          <w:p w14:paraId="0E8E8280"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w:t>
            </w:r>
            <w:proofErr w:type="spellStart"/>
            <w:r w:rsidRPr="00C4578C">
              <w:rPr>
                <w:rFonts w:asciiTheme="minorHAnsi" w:hAnsiTheme="minorHAnsi" w:cstheme="minorHAnsi"/>
                <w:sz w:val="20"/>
              </w:rPr>
              <w:t>Labour</w:t>
            </w:r>
            <w:proofErr w:type="spellEnd"/>
          </w:p>
        </w:tc>
        <w:tc>
          <w:tcPr>
            <w:tcW w:w="897" w:type="pct"/>
          </w:tcPr>
          <w:p w14:paraId="0C3130F6"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4.1</w:t>
            </w:r>
          </w:p>
        </w:tc>
        <w:tc>
          <w:tcPr>
            <w:tcW w:w="897" w:type="pct"/>
          </w:tcPr>
          <w:p w14:paraId="562FF348"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3.6</w:t>
            </w:r>
          </w:p>
        </w:tc>
        <w:tc>
          <w:tcPr>
            <w:tcW w:w="897" w:type="pct"/>
          </w:tcPr>
          <w:p w14:paraId="0894E78D"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3.4</w:t>
            </w:r>
          </w:p>
        </w:tc>
      </w:tr>
      <w:tr w:rsidR="0064379C" w:rsidRPr="00C4578C" w14:paraId="31801C57" w14:textId="77777777" w:rsidTr="0064379C">
        <w:trPr>
          <w:trHeight w:val="20"/>
        </w:trPr>
        <w:tc>
          <w:tcPr>
            <w:tcW w:w="2309" w:type="pct"/>
          </w:tcPr>
          <w:p w14:paraId="02D94B1F"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Export/GDP ratio</w:t>
            </w:r>
          </w:p>
        </w:tc>
        <w:tc>
          <w:tcPr>
            <w:tcW w:w="897" w:type="pct"/>
          </w:tcPr>
          <w:p w14:paraId="6523A140"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24.4</w:t>
            </w:r>
          </w:p>
        </w:tc>
        <w:tc>
          <w:tcPr>
            <w:tcW w:w="897" w:type="pct"/>
          </w:tcPr>
          <w:p w14:paraId="22EE0EE9"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32.5</w:t>
            </w:r>
          </w:p>
        </w:tc>
        <w:tc>
          <w:tcPr>
            <w:tcW w:w="897" w:type="pct"/>
          </w:tcPr>
          <w:p w14:paraId="21BED863"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38.2</w:t>
            </w:r>
          </w:p>
        </w:tc>
      </w:tr>
      <w:tr w:rsidR="0064379C" w:rsidRPr="00C4578C" w14:paraId="65221A2E" w14:textId="77777777" w:rsidTr="0064379C">
        <w:trPr>
          <w:trHeight w:val="20"/>
        </w:trPr>
        <w:tc>
          <w:tcPr>
            <w:tcW w:w="2309" w:type="pct"/>
          </w:tcPr>
          <w:p w14:paraId="1ACC0F4C"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Remittance/GDP ratio</w:t>
            </w:r>
          </w:p>
        </w:tc>
        <w:tc>
          <w:tcPr>
            <w:tcW w:w="897" w:type="pct"/>
          </w:tcPr>
          <w:p w14:paraId="21739A59"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6.7</w:t>
            </w:r>
          </w:p>
        </w:tc>
        <w:tc>
          <w:tcPr>
            <w:tcW w:w="897" w:type="pct"/>
          </w:tcPr>
          <w:p w14:paraId="6AF50399"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5.3</w:t>
            </w:r>
          </w:p>
        </w:tc>
        <w:tc>
          <w:tcPr>
            <w:tcW w:w="897" w:type="pct"/>
          </w:tcPr>
          <w:p w14:paraId="5497F86C"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5.0</w:t>
            </w:r>
          </w:p>
        </w:tc>
      </w:tr>
      <w:tr w:rsidR="0064379C" w:rsidRPr="00C4578C" w14:paraId="57687C47" w14:textId="77777777" w:rsidTr="0064379C">
        <w:trPr>
          <w:trHeight w:val="20"/>
        </w:trPr>
        <w:tc>
          <w:tcPr>
            <w:tcW w:w="2309" w:type="pct"/>
          </w:tcPr>
          <w:p w14:paraId="68533378"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FDI to GDP ratio</w:t>
            </w:r>
          </w:p>
        </w:tc>
        <w:tc>
          <w:tcPr>
            <w:tcW w:w="897" w:type="pct"/>
          </w:tcPr>
          <w:p w14:paraId="5AEA7DD9"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3.8</w:t>
            </w:r>
          </w:p>
        </w:tc>
        <w:tc>
          <w:tcPr>
            <w:tcW w:w="897" w:type="pct"/>
          </w:tcPr>
          <w:p w14:paraId="70EAE650"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4.2</w:t>
            </w:r>
          </w:p>
        </w:tc>
        <w:tc>
          <w:tcPr>
            <w:tcW w:w="897" w:type="pct"/>
          </w:tcPr>
          <w:p w14:paraId="7E928E42"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4.4</w:t>
            </w:r>
          </w:p>
        </w:tc>
      </w:tr>
      <w:tr w:rsidR="0064379C" w:rsidRPr="00C4578C" w14:paraId="2DE30257" w14:textId="77777777" w:rsidTr="0064379C">
        <w:trPr>
          <w:trHeight w:val="20"/>
        </w:trPr>
        <w:tc>
          <w:tcPr>
            <w:tcW w:w="2309" w:type="pct"/>
          </w:tcPr>
          <w:p w14:paraId="5E7484D6"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Public Debt to GDP </w:t>
            </w:r>
          </w:p>
        </w:tc>
        <w:tc>
          <w:tcPr>
            <w:tcW w:w="897" w:type="pct"/>
          </w:tcPr>
          <w:p w14:paraId="3718E5CD"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37.1</w:t>
            </w:r>
          </w:p>
        </w:tc>
        <w:tc>
          <w:tcPr>
            <w:tcW w:w="897" w:type="pct"/>
          </w:tcPr>
          <w:p w14:paraId="5134BE11"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40.2</w:t>
            </w:r>
          </w:p>
        </w:tc>
        <w:tc>
          <w:tcPr>
            <w:tcW w:w="897" w:type="pct"/>
          </w:tcPr>
          <w:p w14:paraId="6F6C6EC9"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41.5</w:t>
            </w:r>
          </w:p>
        </w:tc>
      </w:tr>
      <w:tr w:rsidR="0064379C" w:rsidRPr="00C4578C" w14:paraId="206E45A7" w14:textId="77777777" w:rsidTr="0064379C">
        <w:trPr>
          <w:trHeight w:val="20"/>
        </w:trPr>
        <w:tc>
          <w:tcPr>
            <w:tcW w:w="2309" w:type="pct"/>
          </w:tcPr>
          <w:p w14:paraId="78DD9E0A"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External </w:t>
            </w:r>
          </w:p>
        </w:tc>
        <w:tc>
          <w:tcPr>
            <w:tcW w:w="897" w:type="pct"/>
          </w:tcPr>
          <w:p w14:paraId="6904EF0D"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10.8</w:t>
            </w:r>
          </w:p>
        </w:tc>
        <w:tc>
          <w:tcPr>
            <w:tcW w:w="897" w:type="pct"/>
          </w:tcPr>
          <w:p w14:paraId="7D53A4A7"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14.5</w:t>
            </w:r>
          </w:p>
        </w:tc>
        <w:tc>
          <w:tcPr>
            <w:tcW w:w="897" w:type="pct"/>
          </w:tcPr>
          <w:p w14:paraId="0CE0A032"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16.1</w:t>
            </w:r>
          </w:p>
        </w:tc>
      </w:tr>
      <w:tr w:rsidR="0064379C" w:rsidRPr="00C4578C" w14:paraId="490028CD" w14:textId="77777777" w:rsidTr="0064379C">
        <w:trPr>
          <w:trHeight w:val="20"/>
        </w:trPr>
        <w:tc>
          <w:tcPr>
            <w:tcW w:w="2309" w:type="pct"/>
          </w:tcPr>
          <w:p w14:paraId="4172E6F1"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Domestic</w:t>
            </w:r>
          </w:p>
        </w:tc>
        <w:tc>
          <w:tcPr>
            <w:tcW w:w="897" w:type="pct"/>
          </w:tcPr>
          <w:p w14:paraId="70128C21"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16.3</w:t>
            </w:r>
          </w:p>
        </w:tc>
        <w:tc>
          <w:tcPr>
            <w:tcW w:w="897" w:type="pct"/>
          </w:tcPr>
          <w:p w14:paraId="1296D35D"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25.7</w:t>
            </w:r>
          </w:p>
        </w:tc>
        <w:tc>
          <w:tcPr>
            <w:tcW w:w="897" w:type="pct"/>
          </w:tcPr>
          <w:p w14:paraId="3F37568D"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25.4</w:t>
            </w:r>
          </w:p>
        </w:tc>
      </w:tr>
      <w:tr w:rsidR="0064379C" w:rsidRPr="00C4578C" w14:paraId="16A9D246" w14:textId="77777777" w:rsidTr="0064379C">
        <w:trPr>
          <w:trHeight w:val="20"/>
        </w:trPr>
        <w:tc>
          <w:tcPr>
            <w:tcW w:w="2309" w:type="pct"/>
          </w:tcPr>
          <w:p w14:paraId="262A288D"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Memorandum Items: </w:t>
            </w:r>
          </w:p>
        </w:tc>
        <w:tc>
          <w:tcPr>
            <w:tcW w:w="897" w:type="pct"/>
          </w:tcPr>
          <w:p w14:paraId="3A62682A" w14:textId="77777777" w:rsidR="0064379C" w:rsidRPr="00C4578C" w:rsidRDefault="0064379C" w:rsidP="0064379C">
            <w:pPr>
              <w:jc w:val="center"/>
              <w:rPr>
                <w:rFonts w:asciiTheme="minorHAnsi" w:hAnsiTheme="minorHAnsi" w:cstheme="minorHAnsi"/>
                <w:sz w:val="20"/>
              </w:rPr>
            </w:pPr>
          </w:p>
        </w:tc>
        <w:tc>
          <w:tcPr>
            <w:tcW w:w="897" w:type="pct"/>
          </w:tcPr>
          <w:p w14:paraId="6C42DCE9" w14:textId="77777777" w:rsidR="0064379C" w:rsidRPr="00C4578C" w:rsidRDefault="0064379C" w:rsidP="0064379C">
            <w:pPr>
              <w:jc w:val="center"/>
              <w:rPr>
                <w:rFonts w:asciiTheme="minorHAnsi" w:hAnsiTheme="minorHAnsi" w:cstheme="minorHAnsi"/>
                <w:sz w:val="20"/>
              </w:rPr>
            </w:pPr>
          </w:p>
        </w:tc>
        <w:tc>
          <w:tcPr>
            <w:tcW w:w="897" w:type="pct"/>
          </w:tcPr>
          <w:p w14:paraId="5C21C5B0" w14:textId="77777777" w:rsidR="0064379C" w:rsidRPr="00C4578C" w:rsidRDefault="0064379C" w:rsidP="0064379C">
            <w:pPr>
              <w:jc w:val="center"/>
              <w:rPr>
                <w:rFonts w:asciiTheme="minorHAnsi" w:hAnsiTheme="minorHAnsi" w:cstheme="minorHAnsi"/>
                <w:sz w:val="20"/>
              </w:rPr>
            </w:pPr>
          </w:p>
        </w:tc>
      </w:tr>
      <w:tr w:rsidR="0064379C" w:rsidRPr="00C4578C" w14:paraId="2BAAF5E1" w14:textId="77777777" w:rsidTr="0064379C">
        <w:trPr>
          <w:trHeight w:val="20"/>
        </w:trPr>
        <w:tc>
          <w:tcPr>
            <w:tcW w:w="2309" w:type="pct"/>
          </w:tcPr>
          <w:p w14:paraId="0BF47909"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Growth rate (%)</w:t>
            </w:r>
          </w:p>
        </w:tc>
        <w:tc>
          <w:tcPr>
            <w:tcW w:w="897" w:type="pct"/>
          </w:tcPr>
          <w:p w14:paraId="3CD40B30"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8.2</w:t>
            </w:r>
          </w:p>
        </w:tc>
        <w:tc>
          <w:tcPr>
            <w:tcW w:w="897" w:type="pct"/>
          </w:tcPr>
          <w:p w14:paraId="2DBDFDC4"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8.4</w:t>
            </w:r>
          </w:p>
        </w:tc>
        <w:tc>
          <w:tcPr>
            <w:tcW w:w="897" w:type="pct"/>
          </w:tcPr>
          <w:p w14:paraId="6CBD0D0F"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8.5</w:t>
            </w:r>
          </w:p>
        </w:tc>
      </w:tr>
      <w:tr w:rsidR="0064379C" w:rsidRPr="00C4578C" w14:paraId="583ACECF" w14:textId="77777777" w:rsidTr="0064379C">
        <w:trPr>
          <w:trHeight w:val="20"/>
        </w:trPr>
        <w:tc>
          <w:tcPr>
            <w:tcW w:w="2309" w:type="pct"/>
          </w:tcPr>
          <w:p w14:paraId="58A79546" w14:textId="77777777" w:rsidR="0064379C" w:rsidRPr="00C4578C" w:rsidRDefault="0064379C" w:rsidP="0064379C">
            <w:pPr>
              <w:rPr>
                <w:rFonts w:asciiTheme="minorHAnsi" w:hAnsiTheme="minorHAnsi" w:cstheme="minorHAnsi"/>
                <w:sz w:val="20"/>
              </w:rPr>
            </w:pPr>
            <w:r w:rsidRPr="00C4578C">
              <w:rPr>
                <w:rFonts w:asciiTheme="minorHAnsi" w:hAnsiTheme="minorHAnsi" w:cstheme="minorHAnsi"/>
                <w:sz w:val="20"/>
              </w:rPr>
              <w:t xml:space="preserve">  ICOR</w:t>
            </w:r>
          </w:p>
        </w:tc>
        <w:tc>
          <w:tcPr>
            <w:tcW w:w="897" w:type="pct"/>
          </w:tcPr>
          <w:p w14:paraId="301684C8"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4.4</w:t>
            </w:r>
          </w:p>
        </w:tc>
        <w:tc>
          <w:tcPr>
            <w:tcW w:w="897" w:type="pct"/>
          </w:tcPr>
          <w:p w14:paraId="6AF0CB23"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4.6</w:t>
            </w:r>
          </w:p>
        </w:tc>
        <w:tc>
          <w:tcPr>
            <w:tcW w:w="897" w:type="pct"/>
          </w:tcPr>
          <w:p w14:paraId="32ADFFCB" w14:textId="77777777" w:rsidR="0064379C" w:rsidRPr="00C4578C" w:rsidRDefault="0064379C" w:rsidP="0064379C">
            <w:pPr>
              <w:jc w:val="center"/>
              <w:rPr>
                <w:rFonts w:asciiTheme="minorHAnsi" w:hAnsiTheme="minorHAnsi" w:cstheme="minorHAnsi"/>
                <w:sz w:val="20"/>
              </w:rPr>
            </w:pPr>
            <w:r w:rsidRPr="00C4578C">
              <w:rPr>
                <w:rFonts w:asciiTheme="minorHAnsi" w:hAnsiTheme="minorHAnsi" w:cstheme="minorHAnsi"/>
                <w:sz w:val="20"/>
              </w:rPr>
              <w:t>4.6</w:t>
            </w:r>
          </w:p>
        </w:tc>
      </w:tr>
    </w:tbl>
    <w:p w14:paraId="631CC0A6" w14:textId="77777777" w:rsidR="0064379C" w:rsidRPr="00C4578C" w:rsidRDefault="0064379C" w:rsidP="0064379C">
      <w:pPr>
        <w:rPr>
          <w:b/>
          <w:sz w:val="20"/>
        </w:rPr>
      </w:pPr>
      <w:r w:rsidRPr="00C4578C">
        <w:rPr>
          <w:b/>
          <w:sz w:val="20"/>
        </w:rPr>
        <w:t>Source: GED Projections</w:t>
      </w:r>
    </w:p>
    <w:p w14:paraId="61179E42" w14:textId="77777777" w:rsidR="0064379C" w:rsidRPr="00C4578C" w:rsidRDefault="0064379C" w:rsidP="0064379C">
      <w:pPr>
        <w:jc w:val="both"/>
        <w:rPr>
          <w:b/>
          <w:sz w:val="10"/>
        </w:rPr>
      </w:pPr>
    </w:p>
    <w:p w14:paraId="621F30C7" w14:textId="77777777" w:rsidR="0064379C" w:rsidRPr="00C4578C" w:rsidRDefault="0064379C" w:rsidP="0064379C">
      <w:pPr>
        <w:jc w:val="both"/>
      </w:pPr>
    </w:p>
    <w:p w14:paraId="313D880F" w14:textId="07328058" w:rsidR="0064379C" w:rsidRPr="009D7240" w:rsidRDefault="00B90DA6" w:rsidP="0064379C">
      <w:pPr>
        <w:spacing w:line="276" w:lineRule="auto"/>
        <w:jc w:val="both"/>
        <w:rPr>
          <w:szCs w:val="28"/>
        </w:rPr>
      </w:pPr>
      <w:r w:rsidRPr="009D7240">
        <w:rPr>
          <w:szCs w:val="28"/>
        </w:rPr>
        <w:t>Under this forward looking scenario, Bangladesh economy has</w:t>
      </w:r>
      <w:r w:rsidR="0064379C" w:rsidRPr="009D7240">
        <w:rPr>
          <w:szCs w:val="28"/>
        </w:rPr>
        <w:t xml:space="preserve"> also</w:t>
      </w:r>
      <w:r w:rsidRPr="009D7240">
        <w:rPr>
          <w:szCs w:val="28"/>
        </w:rPr>
        <w:t xml:space="preserve"> been projected</w:t>
      </w:r>
      <w:r w:rsidR="0064379C" w:rsidRPr="009D7240">
        <w:rPr>
          <w:szCs w:val="28"/>
        </w:rPr>
        <w:t xml:space="preserve"> </w:t>
      </w:r>
      <w:r w:rsidR="002977C7" w:rsidRPr="009D7240">
        <w:rPr>
          <w:szCs w:val="28"/>
        </w:rPr>
        <w:t xml:space="preserve">to </w:t>
      </w:r>
      <w:r w:rsidRPr="009D7240">
        <w:rPr>
          <w:szCs w:val="28"/>
        </w:rPr>
        <w:t>experience major shifts in its</w:t>
      </w:r>
      <w:r w:rsidR="0064379C" w:rsidRPr="009D7240">
        <w:rPr>
          <w:szCs w:val="28"/>
        </w:rPr>
        <w:t xml:space="preserve"> economic structure and the sources of employment generation</w:t>
      </w:r>
      <w:r w:rsidR="00E6367E" w:rsidRPr="009D7240">
        <w:rPr>
          <w:szCs w:val="28"/>
        </w:rPr>
        <w:t xml:space="preserve"> </w:t>
      </w:r>
      <w:r w:rsidRPr="009D7240">
        <w:rPr>
          <w:szCs w:val="28"/>
        </w:rPr>
        <w:t>(</w:t>
      </w:r>
      <w:r w:rsidR="00E6367E" w:rsidRPr="009D7240">
        <w:rPr>
          <w:szCs w:val="28"/>
        </w:rPr>
        <w:t>Figure 1</w:t>
      </w:r>
      <w:r w:rsidR="0055440B">
        <w:rPr>
          <w:szCs w:val="28"/>
        </w:rPr>
        <w:t xml:space="preserve"> and 2 below</w:t>
      </w:r>
      <w:r w:rsidR="00E6367E" w:rsidRPr="009D7240">
        <w:rPr>
          <w:szCs w:val="28"/>
        </w:rPr>
        <w:t>)</w:t>
      </w:r>
      <w:r w:rsidR="002977C7" w:rsidRPr="009D7240">
        <w:rPr>
          <w:szCs w:val="28"/>
        </w:rPr>
        <w:t>, with manufacturing having the highest share o</w:t>
      </w:r>
      <w:r w:rsidR="0055440B">
        <w:rPr>
          <w:szCs w:val="28"/>
        </w:rPr>
        <w:t>f G</w:t>
      </w:r>
      <w:bookmarkStart w:id="0" w:name="_GoBack"/>
      <w:bookmarkEnd w:id="0"/>
      <w:r w:rsidR="0055440B">
        <w:rPr>
          <w:szCs w:val="28"/>
        </w:rPr>
        <w:t>DP (projected to be around 43% in 2041</w:t>
      </w:r>
      <w:r w:rsidR="002977C7" w:rsidRPr="009D7240">
        <w:rPr>
          <w:szCs w:val="28"/>
        </w:rPr>
        <w:t>) with services coming down to second position (pr</w:t>
      </w:r>
      <w:r w:rsidR="0055440B">
        <w:rPr>
          <w:szCs w:val="28"/>
        </w:rPr>
        <w:t>ojected to be around 43% in 2041</w:t>
      </w:r>
      <w:r w:rsidR="00E6367E" w:rsidRPr="009D7240">
        <w:rPr>
          <w:szCs w:val="28"/>
        </w:rPr>
        <w:t>)</w:t>
      </w:r>
      <w:r w:rsidR="002977C7" w:rsidRPr="009D7240">
        <w:rPr>
          <w:szCs w:val="28"/>
        </w:rPr>
        <w:t xml:space="preserve">.  During the period most of the employment growth </w:t>
      </w:r>
      <w:r w:rsidR="00E6367E" w:rsidRPr="009D7240">
        <w:rPr>
          <w:szCs w:val="28"/>
        </w:rPr>
        <w:t>is also projected to</w:t>
      </w:r>
      <w:r w:rsidR="0055440B">
        <w:rPr>
          <w:szCs w:val="28"/>
        </w:rPr>
        <w:t xml:space="preserve"> be in manufacturing (about 31</w:t>
      </w:r>
      <w:r w:rsidR="002977C7" w:rsidRPr="009D7240">
        <w:rPr>
          <w:szCs w:val="28"/>
        </w:rPr>
        <w:t xml:space="preserve">% of total employment), with employment in service </w:t>
      </w:r>
      <w:r w:rsidR="0055440B">
        <w:rPr>
          <w:szCs w:val="28"/>
        </w:rPr>
        <w:t>hovering around 43</w:t>
      </w:r>
      <w:r w:rsidR="002977C7" w:rsidRPr="009D7240">
        <w:rPr>
          <w:szCs w:val="28"/>
        </w:rPr>
        <w:t xml:space="preserve">%.  The biggest decline, both in terms of GDP hare and employment share </w:t>
      </w:r>
      <w:r w:rsidR="00E6367E" w:rsidRPr="009D7240">
        <w:rPr>
          <w:szCs w:val="28"/>
        </w:rPr>
        <w:t>is projected to be in the agriculture sector</w:t>
      </w:r>
      <w:r w:rsidR="0064379C" w:rsidRPr="009D7240">
        <w:rPr>
          <w:szCs w:val="28"/>
        </w:rPr>
        <w:t>.</w:t>
      </w:r>
    </w:p>
    <w:p w14:paraId="47360F3B" w14:textId="77777777" w:rsidR="00897347" w:rsidRPr="00C4578C" w:rsidRDefault="00897347" w:rsidP="0064379C">
      <w:pPr>
        <w:spacing w:line="276" w:lineRule="auto"/>
        <w:jc w:val="both"/>
        <w:rPr>
          <w:b/>
          <w:sz w:val="8"/>
        </w:rPr>
      </w:pPr>
    </w:p>
    <w:tbl>
      <w:tblPr>
        <w:tblW w:w="0" w:type="auto"/>
        <w:tblLook w:val="04A0" w:firstRow="1" w:lastRow="0" w:firstColumn="1" w:lastColumn="0" w:noHBand="0" w:noVBand="1"/>
      </w:tblPr>
      <w:tblGrid>
        <w:gridCol w:w="7588"/>
        <w:gridCol w:w="1718"/>
      </w:tblGrid>
      <w:tr w:rsidR="0064379C" w:rsidRPr="00C4578C" w14:paraId="68A6D04E" w14:textId="77777777" w:rsidTr="0064379C">
        <w:tc>
          <w:tcPr>
            <w:tcW w:w="9576" w:type="dxa"/>
            <w:gridSpan w:val="2"/>
          </w:tcPr>
          <w:p w14:paraId="1B11E49F" w14:textId="77777777" w:rsidR="00816B61" w:rsidRPr="00C4578C" w:rsidRDefault="00816B61" w:rsidP="0064379C">
            <w:pPr>
              <w:jc w:val="both"/>
              <w:rPr>
                <w:b/>
                <w:sz w:val="20"/>
              </w:rPr>
            </w:pPr>
          </w:p>
          <w:p w14:paraId="387B2E2A" w14:textId="77777777" w:rsidR="0064379C" w:rsidRPr="00C4578C" w:rsidRDefault="0064379C" w:rsidP="0064379C">
            <w:pPr>
              <w:jc w:val="both"/>
              <w:rPr>
                <w:b/>
                <w:sz w:val="2"/>
              </w:rPr>
            </w:pPr>
          </w:p>
        </w:tc>
      </w:tr>
      <w:tr w:rsidR="0064379C" w14:paraId="2348EDE4" w14:textId="77777777" w:rsidTr="0064379C">
        <w:tc>
          <w:tcPr>
            <w:tcW w:w="4878" w:type="dxa"/>
          </w:tcPr>
          <w:p w14:paraId="62923260" w14:textId="77777777" w:rsidR="0064379C" w:rsidRPr="00CC6887" w:rsidRDefault="0064379C" w:rsidP="0064379C">
            <w:pPr>
              <w:jc w:val="both"/>
              <w:rPr>
                <w:b/>
              </w:rPr>
            </w:pPr>
            <w:r>
              <w:rPr>
                <w:b/>
                <w:noProof/>
              </w:rPr>
              <w:drawing>
                <wp:inline distT="0" distB="0" distL="0" distR="0" wp14:anchorId="06476443" wp14:editId="1E6A30C0">
                  <wp:extent cx="4681220" cy="297180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698" w:type="dxa"/>
          </w:tcPr>
          <w:p w14:paraId="1DA37840" w14:textId="0A97E22E" w:rsidR="0064379C" w:rsidRPr="00CC6887" w:rsidRDefault="0064379C" w:rsidP="0064379C">
            <w:pPr>
              <w:jc w:val="both"/>
              <w:rPr>
                <w:b/>
              </w:rPr>
            </w:pPr>
          </w:p>
        </w:tc>
      </w:tr>
      <w:tr w:rsidR="0064379C" w:rsidRPr="00331A4B" w14:paraId="7A73A771" w14:textId="77777777" w:rsidTr="0064379C">
        <w:tc>
          <w:tcPr>
            <w:tcW w:w="4878" w:type="dxa"/>
          </w:tcPr>
          <w:p w14:paraId="3BE569FF" w14:textId="77777777" w:rsidR="0064379C" w:rsidRDefault="0064379C" w:rsidP="0064379C">
            <w:pPr>
              <w:jc w:val="both"/>
              <w:rPr>
                <w:sz w:val="20"/>
              </w:rPr>
            </w:pPr>
            <w:r w:rsidRPr="001129AB">
              <w:rPr>
                <w:b/>
                <w:i/>
                <w:sz w:val="20"/>
              </w:rPr>
              <w:t>Source: GED projections</w:t>
            </w:r>
          </w:p>
          <w:p w14:paraId="6B2029C9" w14:textId="77777777" w:rsidR="00CD14F3" w:rsidRDefault="00CD14F3" w:rsidP="0064379C">
            <w:pPr>
              <w:jc w:val="both"/>
              <w:rPr>
                <w:sz w:val="20"/>
              </w:rPr>
            </w:pPr>
          </w:p>
          <w:p w14:paraId="3FDB17F9" w14:textId="77777777" w:rsidR="00CD14F3" w:rsidRPr="00CD14F3" w:rsidRDefault="00CD14F3" w:rsidP="00CD14F3">
            <w:pPr>
              <w:rPr>
                <w:sz w:val="20"/>
              </w:rPr>
            </w:pPr>
          </w:p>
        </w:tc>
        <w:tc>
          <w:tcPr>
            <w:tcW w:w="4698" w:type="dxa"/>
          </w:tcPr>
          <w:p w14:paraId="5333849F" w14:textId="77777777" w:rsidR="0064379C" w:rsidRPr="00331A4B" w:rsidRDefault="0064379C" w:rsidP="0064379C">
            <w:pPr>
              <w:jc w:val="both"/>
              <w:rPr>
                <w:b/>
                <w:color w:val="008000"/>
              </w:rPr>
            </w:pPr>
          </w:p>
        </w:tc>
      </w:tr>
    </w:tbl>
    <w:p w14:paraId="187C6D5F" w14:textId="77777777" w:rsidR="00816B61" w:rsidRDefault="00816B61" w:rsidP="005343F3">
      <w:pPr>
        <w:jc w:val="both"/>
        <w:rPr>
          <w:b/>
          <w:color w:val="008000"/>
        </w:rPr>
      </w:pPr>
    </w:p>
    <w:p w14:paraId="53C421C0" w14:textId="5635A46A" w:rsidR="00CD14F3" w:rsidRPr="00CD14F3" w:rsidRDefault="00CD14F3" w:rsidP="00550DD0">
      <w:pPr>
        <w:spacing w:line="276" w:lineRule="auto"/>
        <w:jc w:val="both"/>
      </w:pPr>
      <w:r>
        <w:rPr>
          <w:b/>
          <w:noProof/>
        </w:rPr>
        <w:drawing>
          <wp:inline distT="0" distB="0" distL="0" distR="0" wp14:anchorId="62F15EE2" wp14:editId="5EA0FF93">
            <wp:extent cx="4566920" cy="3121660"/>
            <wp:effectExtent l="0" t="0" r="5080" b="2540"/>
            <wp:docPr id="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4FA1FC" w14:textId="1A294269" w:rsidR="00CD14F3" w:rsidRDefault="00CD14F3" w:rsidP="00CD14F3">
      <w:pPr>
        <w:spacing w:line="276" w:lineRule="auto"/>
        <w:jc w:val="both"/>
        <w:rPr>
          <w:b/>
          <w:i/>
        </w:rPr>
      </w:pPr>
      <w:r w:rsidRPr="001129AB">
        <w:rPr>
          <w:b/>
          <w:i/>
          <w:sz w:val="20"/>
        </w:rPr>
        <w:t>Source: GED projections</w:t>
      </w:r>
    </w:p>
    <w:p w14:paraId="58061537" w14:textId="77777777" w:rsidR="00CD14F3" w:rsidRDefault="00CD14F3" w:rsidP="00550DD0">
      <w:pPr>
        <w:spacing w:line="276" w:lineRule="auto"/>
        <w:jc w:val="both"/>
        <w:rPr>
          <w:b/>
          <w:i/>
        </w:rPr>
      </w:pPr>
    </w:p>
    <w:p w14:paraId="4866D07A" w14:textId="77777777" w:rsidR="00EF2FE7" w:rsidRPr="00C4578C" w:rsidRDefault="009741CC" w:rsidP="00EF2FE7">
      <w:pPr>
        <w:spacing w:line="276" w:lineRule="auto"/>
      </w:pPr>
      <w:r>
        <w:rPr>
          <w:b/>
          <w:i/>
        </w:rPr>
        <w:t xml:space="preserve">Desired Path to and beyond </w:t>
      </w:r>
      <w:r w:rsidRPr="006F55E7">
        <w:rPr>
          <w:b/>
          <w:i/>
        </w:rPr>
        <w:t>204</w:t>
      </w:r>
      <w:r>
        <w:rPr>
          <w:b/>
          <w:i/>
        </w:rPr>
        <w:t>1 – Higher levels of Investments</w:t>
      </w:r>
      <w:r w:rsidR="00E6367E" w:rsidRPr="00550DD0">
        <w:rPr>
          <w:b/>
          <w:i/>
        </w:rPr>
        <w:t>:</w:t>
      </w:r>
      <w:r w:rsidR="00E6367E">
        <w:rPr>
          <w:b/>
        </w:rPr>
        <w:t xml:space="preserve"> </w:t>
      </w:r>
      <w:r w:rsidR="00550DD0">
        <w:t xml:space="preserve"> </w:t>
      </w:r>
      <w:r w:rsidR="006F55E7">
        <w:t xml:space="preserve">As already indicated above, </w:t>
      </w:r>
      <w:r w:rsidR="00BC1EF2" w:rsidRPr="00C4578C">
        <w:t xml:space="preserve">the two key drivers of this growth will be growth of share of investments (both private and public) and that of exports in the GDP of Bangladesh. </w:t>
      </w:r>
      <w:r w:rsidR="001129AB">
        <w:t xml:space="preserve">The challenge for </w:t>
      </w:r>
      <w:r w:rsidR="00507E68">
        <w:t xml:space="preserve">exports will be the need for its diversification and so there will be necessity of reforms in trade related policy; but it will also require </w:t>
      </w:r>
      <w:r w:rsidR="006F55E7">
        <w:t xml:space="preserve">higher levels of private </w:t>
      </w:r>
      <w:r w:rsidR="00507E68">
        <w:t>investments particularly FDI in export oriented manufacturing to be able to diversify the exports</w:t>
      </w:r>
      <w:r w:rsidR="006F55E7">
        <w:t>, bring in technology, and in getting access to markets</w:t>
      </w:r>
      <w:r w:rsidR="00507E68">
        <w:t xml:space="preserve">. </w:t>
      </w:r>
      <w:r w:rsidR="00EF2FE7" w:rsidRPr="0058066C">
        <w:t>Cross-country experience has been showing that there is a positive relationship between investment and GDP growth rate. The positive relationship explains that for economies around the world higher investment leads to higher growth of GDP.</w:t>
      </w:r>
      <w:r w:rsidR="00EF2FE7" w:rsidRPr="00C4578C">
        <w:t xml:space="preserve"> </w:t>
      </w:r>
    </w:p>
    <w:p w14:paraId="2DB68730" w14:textId="77777777" w:rsidR="00E6367E" w:rsidRDefault="00E6367E" w:rsidP="005343F3">
      <w:pPr>
        <w:spacing w:line="276" w:lineRule="auto"/>
        <w:jc w:val="both"/>
      </w:pPr>
    </w:p>
    <w:p w14:paraId="548C2142" w14:textId="7A48BA00" w:rsidR="0058066C" w:rsidRPr="00A321E0" w:rsidRDefault="00EF2FE7" w:rsidP="0058066C">
      <w:pPr>
        <w:spacing w:line="276" w:lineRule="auto"/>
        <w:contextualSpacing/>
        <w:jc w:val="both"/>
        <w:rPr>
          <w:szCs w:val="28"/>
        </w:rPr>
      </w:pPr>
      <w:r>
        <w:t xml:space="preserve">According to the scenario analysis done by GED, </w:t>
      </w:r>
      <w:r w:rsidR="005343F3" w:rsidRPr="00C4578C">
        <w:t>Bangladesh</w:t>
      </w:r>
      <w:r>
        <w:t>’s desired goal of reaching HIC status around 2041 would require it</w:t>
      </w:r>
      <w:r w:rsidR="005343F3" w:rsidRPr="00C4578C">
        <w:t xml:space="preserve"> to increase its investment to a minimum of 39 percent of GDP in 204</w:t>
      </w:r>
      <w:r>
        <w:t>1</w:t>
      </w:r>
      <w:r w:rsidR="005343F3" w:rsidRPr="00C4578C">
        <w:rPr>
          <w:rStyle w:val="FootnoteReference"/>
        </w:rPr>
        <w:footnoteReference w:id="1"/>
      </w:r>
      <w:r w:rsidR="005343F3" w:rsidRPr="00C4578C">
        <w:t xml:space="preserve"> from nearly 31 percent of GDP in 2017</w:t>
      </w:r>
      <w:r>
        <w:t xml:space="preserve"> (Figure 3</w:t>
      </w:r>
      <w:r w:rsidR="001842C4">
        <w:t>)</w:t>
      </w:r>
      <w:r w:rsidR="005343F3" w:rsidRPr="00C4578C">
        <w:t xml:space="preserve">. The lion’s share of investment would be generated from the private </w:t>
      </w:r>
      <w:r w:rsidR="005343F3" w:rsidRPr="0058066C">
        <w:t>sector</w:t>
      </w:r>
      <w:r w:rsidR="0058066C" w:rsidRPr="0058066C">
        <w:rPr>
          <w:szCs w:val="28"/>
        </w:rPr>
        <w:t xml:space="preserve"> (which have been projected to reach 29.2% by 2041).</w:t>
      </w:r>
      <w:r w:rsidR="005343F3" w:rsidRPr="00C4578C">
        <w:t xml:space="preserve"> </w:t>
      </w:r>
      <w:proofErr w:type="gramStart"/>
      <w:r w:rsidR="005343F3" w:rsidRPr="00C4578C">
        <w:t>but</w:t>
      </w:r>
      <w:proofErr w:type="gramEnd"/>
      <w:r w:rsidR="005343F3" w:rsidRPr="00C4578C">
        <w:t xml:space="preserve"> it would only be possible if planned public investment can create an environment </w:t>
      </w:r>
      <w:r w:rsidR="00101B08" w:rsidRPr="00C4578C">
        <w:t>favorable</w:t>
      </w:r>
      <w:r w:rsidR="005343F3" w:rsidRPr="00C4578C">
        <w:t xml:space="preserve"> for private investment and foreign direct investment. </w:t>
      </w:r>
    </w:p>
    <w:p w14:paraId="3395A16F" w14:textId="090964A5" w:rsidR="005343F3" w:rsidRPr="00C4578C" w:rsidRDefault="005343F3" w:rsidP="00550DD0">
      <w:pPr>
        <w:spacing w:line="276" w:lineRule="auto"/>
      </w:pPr>
    </w:p>
    <w:p w14:paraId="0E5F018F" w14:textId="77777777" w:rsidR="005343F3" w:rsidRDefault="005343F3" w:rsidP="005343F3">
      <w:pPr>
        <w:spacing w:line="276" w:lineRule="auto"/>
        <w:jc w:val="both"/>
        <w:rPr>
          <w:color w:val="008000"/>
        </w:rPr>
      </w:pPr>
    </w:p>
    <w:p w14:paraId="37CEB6E6" w14:textId="6F9AF540" w:rsidR="00D71D8A" w:rsidRPr="00D71D8A" w:rsidRDefault="00507E68" w:rsidP="005343F3">
      <w:pPr>
        <w:spacing w:line="276" w:lineRule="auto"/>
        <w:jc w:val="both"/>
        <w:rPr>
          <w:color w:val="008000"/>
        </w:rPr>
      </w:pPr>
      <w:r w:rsidRPr="00FA6861">
        <w:rPr>
          <w:noProof/>
        </w:rPr>
        <w:drawing>
          <wp:inline distT="0" distB="0" distL="0" distR="0" wp14:anchorId="7C063FDC" wp14:editId="5A4C4497">
            <wp:extent cx="5367020" cy="2567940"/>
            <wp:effectExtent l="0" t="0" r="17780" b="2286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93301D" w14:textId="4E59F16F" w:rsidR="00507E68" w:rsidRPr="001842C4" w:rsidRDefault="001842C4" w:rsidP="005343F3">
      <w:pPr>
        <w:spacing w:line="276" w:lineRule="auto"/>
        <w:jc w:val="both"/>
        <w:rPr>
          <w:b/>
          <w:i/>
          <w:sz w:val="20"/>
          <w:szCs w:val="20"/>
        </w:rPr>
      </w:pPr>
      <w:r w:rsidRPr="001842C4">
        <w:rPr>
          <w:b/>
          <w:i/>
          <w:sz w:val="20"/>
          <w:szCs w:val="20"/>
        </w:rPr>
        <w:t>Source:  GED Estimate</w:t>
      </w:r>
    </w:p>
    <w:p w14:paraId="04B61E21" w14:textId="77777777" w:rsidR="004B429F" w:rsidRDefault="004B429F" w:rsidP="002B70CC">
      <w:pPr>
        <w:spacing w:line="276" w:lineRule="auto"/>
        <w:jc w:val="both"/>
        <w:rPr>
          <w:b/>
        </w:rPr>
      </w:pPr>
    </w:p>
    <w:p w14:paraId="3F58FE47" w14:textId="706ED0A6" w:rsidR="002B70CC" w:rsidRDefault="00883845" w:rsidP="004B429F">
      <w:pPr>
        <w:spacing w:after="100" w:afterAutospacing="1" w:line="276" w:lineRule="auto"/>
        <w:jc w:val="both"/>
        <w:rPr>
          <w:b/>
        </w:rPr>
      </w:pPr>
      <w:r>
        <w:rPr>
          <w:b/>
        </w:rPr>
        <w:t>1.4</w:t>
      </w:r>
      <w:r w:rsidR="002B70CC" w:rsidRPr="008C66ED">
        <w:rPr>
          <w:b/>
        </w:rPr>
        <w:t xml:space="preserve"> Lessons from Bangladesh Experience</w:t>
      </w:r>
      <w:r w:rsidR="002B70CC">
        <w:rPr>
          <w:b/>
        </w:rPr>
        <w:t xml:space="preserve"> </w:t>
      </w:r>
    </w:p>
    <w:p w14:paraId="541FC308" w14:textId="03032881" w:rsidR="002B70CC" w:rsidRDefault="002B70CC" w:rsidP="002B70CC">
      <w:pPr>
        <w:spacing w:line="276" w:lineRule="auto"/>
        <w:jc w:val="both"/>
      </w:pPr>
      <w:r w:rsidRPr="00C97C9B">
        <w:t>Bangladesh economy has been experiencing steady acceleration in economic growth over the last several decades; this pattern continued through out the Sixth Plan and also into the 7</w:t>
      </w:r>
      <w:r w:rsidRPr="00C97C9B">
        <w:rPr>
          <w:vertAlign w:val="superscript"/>
        </w:rPr>
        <w:t>th</w:t>
      </w:r>
      <w:r w:rsidR="00D71D8A">
        <w:t xml:space="preserve"> Plan period</w:t>
      </w:r>
      <w:r w:rsidRPr="00C97C9B">
        <w:t xml:space="preserve">. </w:t>
      </w:r>
      <w:r w:rsidRPr="00C97C9B">
        <w:rPr>
          <w:b/>
        </w:rPr>
        <w:t xml:space="preserve"> </w:t>
      </w:r>
      <w:r w:rsidRPr="00C97C9B">
        <w:t>Following two decades of low growth during the 1970s and the 1980s, GDP growth in Bangladesh accelerated since the early 1990s, climbing from an average of 4.4% during 1991-95 to 6.4 % in 2011-16 (</w:t>
      </w:r>
      <w:r w:rsidR="001353FA" w:rsidRPr="001353FA">
        <w:t>Figure 4</w:t>
      </w:r>
      <w:r w:rsidRPr="00C97C9B">
        <w:t xml:space="preserve">). The growth rate crossed over to 7% in FY2016. </w:t>
      </w:r>
    </w:p>
    <w:p w14:paraId="5E2617AA" w14:textId="77777777" w:rsidR="0029703F" w:rsidRPr="00C97C9B" w:rsidRDefault="0029703F" w:rsidP="002B70CC">
      <w:pPr>
        <w:spacing w:line="276" w:lineRule="auto"/>
        <w:jc w:val="both"/>
        <w:rPr>
          <w:b/>
        </w:rPr>
      </w:pPr>
    </w:p>
    <w:p w14:paraId="6189F08E" w14:textId="2ECCA546" w:rsidR="002B70CC" w:rsidRDefault="001353FA" w:rsidP="002B70CC">
      <w:pPr>
        <w:pStyle w:val="Heading5"/>
      </w:pPr>
      <w:bookmarkStart w:id="1" w:name="_Toc480722563"/>
      <w:r w:rsidRPr="001353FA">
        <w:t>Figure 4</w:t>
      </w:r>
      <w:r w:rsidR="002B70CC" w:rsidRPr="001353FA">
        <w:t>:</w:t>
      </w:r>
      <w:r>
        <w:t xml:space="preserve"> </w:t>
      </w:r>
      <w:r w:rsidR="002B70CC" w:rsidRPr="00C97C9B">
        <w:t xml:space="preserve"> 5-Year Average GDP Growth Rates</w:t>
      </w:r>
      <w:bookmarkEnd w:id="1"/>
    </w:p>
    <w:p w14:paraId="3E135BAA" w14:textId="77777777" w:rsidR="004B429F" w:rsidRPr="004B429F" w:rsidRDefault="004B429F" w:rsidP="004B429F"/>
    <w:p w14:paraId="03DE71F3" w14:textId="77777777" w:rsidR="002B70CC" w:rsidRPr="00C97C9B" w:rsidRDefault="002B70CC" w:rsidP="002B70CC">
      <w:pPr>
        <w:pStyle w:val="ListParagraph"/>
        <w:spacing w:after="120"/>
        <w:ind w:left="0"/>
        <w:jc w:val="both"/>
      </w:pPr>
      <w:r w:rsidRPr="00C97C9B">
        <w:tab/>
        <w:t xml:space="preserve">        </w:t>
      </w:r>
      <w:r w:rsidRPr="00C97C9B">
        <w:rPr>
          <w:noProof/>
        </w:rPr>
        <w:drawing>
          <wp:inline distT="0" distB="0" distL="0" distR="0" wp14:anchorId="6264BE35" wp14:editId="40918632">
            <wp:extent cx="4419600" cy="22860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C61C25" w14:textId="29D5FB71" w:rsidR="002B70CC" w:rsidRDefault="002B70CC" w:rsidP="002B70CC">
      <w:pPr>
        <w:pStyle w:val="ListParagraph"/>
        <w:spacing w:after="240"/>
        <w:ind w:left="0"/>
        <w:jc w:val="both"/>
        <w:rPr>
          <w:b/>
          <w:i/>
          <w:sz w:val="20"/>
          <w:szCs w:val="20"/>
        </w:rPr>
      </w:pPr>
      <w:r>
        <w:tab/>
      </w:r>
      <w:r w:rsidRPr="00814545">
        <w:rPr>
          <w:b/>
          <w:i/>
          <w:sz w:val="20"/>
          <w:szCs w:val="20"/>
        </w:rPr>
        <w:t xml:space="preserve">     </w:t>
      </w:r>
      <w:r>
        <w:rPr>
          <w:b/>
          <w:i/>
          <w:sz w:val="20"/>
          <w:szCs w:val="20"/>
        </w:rPr>
        <w:t xml:space="preserve">    </w:t>
      </w:r>
      <w:r w:rsidRPr="00814545">
        <w:rPr>
          <w:b/>
          <w:i/>
          <w:sz w:val="20"/>
          <w:szCs w:val="20"/>
        </w:rPr>
        <w:t xml:space="preserve"> Source: Bangladesh Bureau of Statistics</w:t>
      </w:r>
    </w:p>
    <w:p w14:paraId="56327901" w14:textId="77777777" w:rsidR="002B70CC" w:rsidRDefault="002B70CC" w:rsidP="002B70CC">
      <w:pPr>
        <w:pStyle w:val="ListParagraph"/>
        <w:spacing w:after="240"/>
        <w:ind w:left="0"/>
        <w:jc w:val="both"/>
      </w:pPr>
    </w:p>
    <w:p w14:paraId="6958F2BA" w14:textId="7444AE13" w:rsidR="002B70CC" w:rsidRPr="00C97C9B" w:rsidRDefault="002B70CC" w:rsidP="00DC2624">
      <w:pPr>
        <w:pStyle w:val="ListParagraph"/>
        <w:spacing w:after="240" w:line="276" w:lineRule="auto"/>
        <w:ind w:left="0"/>
        <w:contextualSpacing w:val="0"/>
        <w:jc w:val="both"/>
      </w:pPr>
      <w:r w:rsidRPr="00C97C9B">
        <w:t xml:space="preserve">In per capita terms, growth rate surged from 2.2 % per year to 5.2% over the same periods. The acceleration of per capita GDP during 2010-2016 is truly remarkable and it enabled Bangladesh to cross the threshold of lower middle-income country (LMIC) as defined by the World Bank </w:t>
      </w:r>
      <w:r w:rsidRPr="00DC2624">
        <w:t>(</w:t>
      </w:r>
      <w:r w:rsidR="00DC2624" w:rsidRPr="00DC2624">
        <w:t>Figure 5</w:t>
      </w:r>
      <w:r w:rsidRPr="00DC2624">
        <w:t>).</w:t>
      </w:r>
      <w:r w:rsidRPr="00C97C9B">
        <w:t xml:space="preserve">  </w:t>
      </w:r>
    </w:p>
    <w:p w14:paraId="1464C1D5" w14:textId="1682FD90" w:rsidR="002B70CC" w:rsidRPr="00B34E80" w:rsidRDefault="002B70CC" w:rsidP="002B70CC">
      <w:pPr>
        <w:pStyle w:val="Heading5"/>
      </w:pPr>
      <w:bookmarkStart w:id="2" w:name="_Toc480722564"/>
      <w:r w:rsidRPr="00DC2624">
        <w:t xml:space="preserve">Figure   </w:t>
      </w:r>
      <w:r w:rsidR="00DC2624" w:rsidRPr="00DC2624">
        <w:t>5</w:t>
      </w:r>
      <w:r w:rsidRPr="00DC2624">
        <w:t>:</w:t>
      </w:r>
      <w:r>
        <w:t xml:space="preserve"> Per Capita I</w:t>
      </w:r>
      <w:r w:rsidRPr="00B34E80">
        <w:t>ncome (USD)</w:t>
      </w:r>
      <w:bookmarkEnd w:id="2"/>
    </w:p>
    <w:p w14:paraId="786CD04F" w14:textId="77777777" w:rsidR="002B70CC" w:rsidRDefault="002B70CC" w:rsidP="002B70CC">
      <w:pPr>
        <w:pStyle w:val="ListParagraph"/>
        <w:spacing w:after="240"/>
        <w:ind w:left="0"/>
        <w:jc w:val="both"/>
      </w:pPr>
      <w:r>
        <w:tab/>
        <w:t xml:space="preserve">      </w:t>
      </w:r>
      <w:r w:rsidRPr="00DA50ED">
        <w:rPr>
          <w:noProof/>
        </w:rPr>
        <w:drawing>
          <wp:inline distT="0" distB="0" distL="0" distR="0" wp14:anchorId="6B393639" wp14:editId="09CA782C">
            <wp:extent cx="4629150" cy="2512060"/>
            <wp:effectExtent l="0" t="0" r="19050" b="279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ab/>
      </w:r>
    </w:p>
    <w:p w14:paraId="01804EEE" w14:textId="77777777" w:rsidR="002B70CC" w:rsidRDefault="002B70CC" w:rsidP="002B70CC">
      <w:pPr>
        <w:pStyle w:val="ListParagraph"/>
        <w:spacing w:after="240"/>
        <w:ind w:left="0"/>
        <w:contextualSpacing w:val="0"/>
        <w:jc w:val="both"/>
      </w:pPr>
      <w:r>
        <w:tab/>
        <w:t xml:space="preserve">        </w:t>
      </w:r>
      <w:r w:rsidRPr="00B81E74">
        <w:rPr>
          <w:b/>
          <w:i/>
          <w:sz w:val="20"/>
          <w:szCs w:val="20"/>
        </w:rPr>
        <w:t>Source: Bangladesh Bureau of Statistics</w:t>
      </w:r>
    </w:p>
    <w:p w14:paraId="559FD888" w14:textId="19C58DE6" w:rsidR="00D864E3" w:rsidRPr="002A4A50" w:rsidRDefault="00D40FFF" w:rsidP="00D864E3">
      <w:pPr>
        <w:pStyle w:val="ListParagraph"/>
        <w:spacing w:after="240" w:line="276" w:lineRule="auto"/>
        <w:ind w:left="0"/>
        <w:contextualSpacing w:val="0"/>
        <w:jc w:val="both"/>
        <w:rPr>
          <w:i/>
        </w:rPr>
      </w:pPr>
      <w:bookmarkStart w:id="3" w:name="_Toc367783841"/>
      <w:r w:rsidRPr="00D678F2">
        <w:rPr>
          <w:b/>
          <w:i/>
        </w:rPr>
        <w:t>The Rate of Investment – the growth driver.</w:t>
      </w:r>
      <w:r>
        <w:t xml:space="preserve">  </w:t>
      </w:r>
      <w:r w:rsidR="00D864E3">
        <w:t xml:space="preserve">Investments and exports have been the key drivers of Bangladesh growth success story.  </w:t>
      </w:r>
      <w:r w:rsidRPr="00D864E3">
        <w:t xml:space="preserve">Bangladesh’s </w:t>
      </w:r>
      <w:r w:rsidR="00D864E3" w:rsidRPr="00D864E3">
        <w:t xml:space="preserve">development </w:t>
      </w:r>
      <w:r w:rsidRPr="00D864E3">
        <w:t>success so far has been accumulation</w:t>
      </w:r>
      <w:r w:rsidRPr="002A4A50">
        <w:t xml:space="preserve"> of capital (capital deepening) resulting from rising </w:t>
      </w:r>
      <w:r w:rsidR="00D864E3" w:rsidRPr="002A4A50">
        <w:t>investments, which</w:t>
      </w:r>
      <w:r w:rsidR="00D864E3">
        <w:t xml:space="preserve"> </w:t>
      </w:r>
      <w:r w:rsidRPr="002A4A50">
        <w:t xml:space="preserve">has </w:t>
      </w:r>
      <w:r w:rsidR="00D864E3">
        <w:t>resulted in a</w:t>
      </w:r>
      <w:r w:rsidRPr="002A4A50">
        <w:t xml:space="preserve"> structural change </w:t>
      </w:r>
      <w:r w:rsidR="00D864E3">
        <w:t xml:space="preserve">of the economy with manufacturing sector becoming increasingly important </w:t>
      </w:r>
      <w:r w:rsidRPr="002A4A50">
        <w:t>that has so far positively impacted development of Bangladesh.</w:t>
      </w:r>
      <w:r>
        <w:t xml:space="preserve">  </w:t>
      </w:r>
      <w:r w:rsidRPr="00D678F2">
        <w:t xml:space="preserve">This is consistent with the growth experiences of East Asia when they started their journey from their low-income stage. </w:t>
      </w:r>
      <w:r>
        <w:t>The investment rate expanded from a low of 10% of GDP</w:t>
      </w:r>
      <w:r w:rsidR="00D864E3">
        <w:t xml:space="preserve"> in 1970 grew to 28.9% in 2015.</w:t>
      </w:r>
      <w:r w:rsidR="00D864E3" w:rsidRPr="00996CF7">
        <w:t xml:space="preserve">  Private investment climbed from a low of 10.6% of GDP in FY1990 to 15.2% in 2000 to 21.6% of GDP in FY2010. In many ways these 20 years transformed Bangladesh from a regulated economy to a private investment-led economy. </w:t>
      </w:r>
      <w:r w:rsidR="00D864E3" w:rsidRPr="00DC2624">
        <w:rPr>
          <w:b/>
          <w:i/>
        </w:rPr>
        <w:t>This is an important milestone and lesson-learnt as it demonstrates that private investments respond well to steps that improves ease of doing business, reduces its costs, and brings certainty from any deep policy and institutional reforms.</w:t>
      </w:r>
      <w:r w:rsidR="00D864E3" w:rsidRPr="002A4A50">
        <w:rPr>
          <w:i/>
        </w:rPr>
        <w:t xml:space="preserve">  </w:t>
      </w:r>
    </w:p>
    <w:p w14:paraId="6A95F775" w14:textId="453457AF" w:rsidR="00D40FFF" w:rsidRPr="00996CF7" w:rsidRDefault="00D40FFF" w:rsidP="00D40FFF">
      <w:pPr>
        <w:pStyle w:val="ListParagraph"/>
        <w:spacing w:after="240" w:line="276" w:lineRule="auto"/>
        <w:ind w:left="0"/>
        <w:contextualSpacing w:val="0"/>
        <w:jc w:val="both"/>
      </w:pPr>
      <w:r w:rsidRPr="00996CF7">
        <w:t>On the public investment front, however, the rate declined from 7.8 % to 4.7% between FY2000 and FY2010 owing to weak tax revenue mobilization and growing current expenditures. There was then a reversal of this trend over FY2010-FY2016.  Public investment recovered well, growing to 7.6% of GDP in FY2016.</w:t>
      </w:r>
      <w:r w:rsidR="00DC2624">
        <w:t xml:space="preserve">  The historical growth of investments between FY1990 and FY 2016 is presented below in Fig 6.</w:t>
      </w:r>
    </w:p>
    <w:p w14:paraId="16434150" w14:textId="2845EC40" w:rsidR="00D40FFF" w:rsidRPr="00B34E80" w:rsidRDefault="00DC2624" w:rsidP="00D40FFF">
      <w:pPr>
        <w:pStyle w:val="Heading5"/>
      </w:pPr>
      <w:bookmarkStart w:id="4" w:name="_Toc480722565"/>
      <w:r w:rsidRPr="00DC2624">
        <w:t>Figure 6</w:t>
      </w:r>
      <w:r w:rsidR="00D40FFF" w:rsidRPr="00DC2624">
        <w:t>:</w:t>
      </w:r>
      <w:r w:rsidR="00D40FFF">
        <w:t xml:space="preserve"> Growth of I</w:t>
      </w:r>
      <w:r>
        <w:t>nvestment</w:t>
      </w:r>
      <w:r w:rsidR="00D40FFF" w:rsidRPr="00B34E80">
        <w:t xml:space="preserve"> (% of GDP)</w:t>
      </w:r>
      <w:bookmarkEnd w:id="4"/>
    </w:p>
    <w:p w14:paraId="2D2D4C91" w14:textId="77777777" w:rsidR="00D40FFF" w:rsidRPr="00DA50ED" w:rsidRDefault="00D40FFF" w:rsidP="00D40FFF">
      <w:pPr>
        <w:pStyle w:val="ListParagraph"/>
        <w:spacing w:after="240"/>
        <w:ind w:left="0"/>
        <w:jc w:val="both"/>
      </w:pPr>
      <w:r>
        <w:tab/>
      </w:r>
      <w:r w:rsidRPr="00DA50ED">
        <w:rPr>
          <w:noProof/>
        </w:rPr>
        <w:drawing>
          <wp:inline distT="0" distB="0" distL="0" distR="0" wp14:anchorId="52817CA9" wp14:editId="4C983291">
            <wp:extent cx="4819650" cy="28575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F3D0DD" w14:textId="68C5183C" w:rsidR="0097319A" w:rsidRPr="004A077F" w:rsidRDefault="00D40FFF" w:rsidP="004A077F">
      <w:pPr>
        <w:pStyle w:val="ListParagraph"/>
        <w:spacing w:before="240" w:after="240"/>
        <w:ind w:left="0"/>
        <w:jc w:val="both"/>
        <w:rPr>
          <w:b/>
          <w:i/>
          <w:sz w:val="20"/>
          <w:szCs w:val="20"/>
        </w:rPr>
      </w:pPr>
      <w:r>
        <w:rPr>
          <w:b/>
          <w:i/>
          <w:sz w:val="20"/>
          <w:szCs w:val="20"/>
        </w:rPr>
        <w:t xml:space="preserve">               Source: Bangladesh Bureau of Statistics</w:t>
      </w:r>
    </w:p>
    <w:p w14:paraId="6C3FA01E" w14:textId="77777777" w:rsidR="004A077F" w:rsidRDefault="004A077F" w:rsidP="0097319A">
      <w:pPr>
        <w:pStyle w:val="ListParagraph"/>
        <w:spacing w:after="240" w:line="276" w:lineRule="auto"/>
        <w:ind w:left="0"/>
        <w:contextualSpacing w:val="0"/>
        <w:jc w:val="both"/>
      </w:pPr>
    </w:p>
    <w:p w14:paraId="088B8509" w14:textId="0BF4329E" w:rsidR="009B6A12" w:rsidRPr="00C61A30" w:rsidRDefault="009B6A12" w:rsidP="009B6A12">
      <w:pPr>
        <w:spacing w:line="276" w:lineRule="auto"/>
        <w:rPr>
          <w:b/>
        </w:rPr>
      </w:pPr>
      <w:r>
        <w:rPr>
          <w:b/>
        </w:rPr>
        <w:t>2.</w:t>
      </w:r>
      <w:r w:rsidRPr="00C61A30">
        <w:rPr>
          <w:b/>
        </w:rPr>
        <w:t xml:space="preserve"> </w:t>
      </w:r>
      <w:r>
        <w:rPr>
          <w:b/>
        </w:rPr>
        <w:t xml:space="preserve">Some </w:t>
      </w:r>
      <w:r w:rsidRPr="00C61A30">
        <w:rPr>
          <w:b/>
        </w:rPr>
        <w:t xml:space="preserve">Policy Challenges: </w:t>
      </w:r>
    </w:p>
    <w:p w14:paraId="6B7B5A85" w14:textId="77777777" w:rsidR="009B6A12" w:rsidRPr="00C61A30" w:rsidRDefault="009B6A12" w:rsidP="009B6A12">
      <w:pPr>
        <w:spacing w:line="276" w:lineRule="auto"/>
        <w:jc w:val="both"/>
        <w:rPr>
          <w:b/>
        </w:rPr>
      </w:pPr>
    </w:p>
    <w:p w14:paraId="764C9F9E" w14:textId="77777777" w:rsidR="009B6A12" w:rsidRPr="00D16678" w:rsidRDefault="009B6A12" w:rsidP="009B6A12">
      <w:pPr>
        <w:spacing w:after="240" w:line="269" w:lineRule="auto"/>
        <w:jc w:val="both"/>
        <w:rPr>
          <w:color w:val="FF0000"/>
        </w:rPr>
      </w:pPr>
      <w:r w:rsidRPr="00DF68EA">
        <w:t xml:space="preserve">The rapid growth in private investment rate from 10% of GDP in FY1990 to 22% in FY2010 did not happen by accident.  A number of good policies including sound macroeconomic management, trade and investment deregulation, the expansion of infrastructure services and expansion of labor and quality improvements contributed to that effort.  A detailed review of these determinants is available in Ahmed (2005; 2006). </w:t>
      </w:r>
      <w:r>
        <w:rPr>
          <w:color w:val="FF0000"/>
        </w:rPr>
        <w:t xml:space="preserve"> </w:t>
      </w:r>
      <w:r>
        <w:t>S</w:t>
      </w:r>
      <w:r w:rsidRPr="00DF68EA">
        <w:t>ound macroeconomic management has been a hallmark of economic policy making in Bangladesh. Occasional hiccups and deviation from this path were quickly corrected and on average the long-term trend of various macroeconomic management indicators show a facilitating environment for the expansion of private investment. The stability of the macroeconomic environment has been a major enabler of the rapid expansion of private investment (Ahmed 2015).</w:t>
      </w:r>
      <w:r>
        <w:t xml:space="preserve">  </w:t>
      </w:r>
    </w:p>
    <w:p w14:paraId="7494619D" w14:textId="77777777" w:rsidR="009B6A12" w:rsidRPr="00DF68EA" w:rsidRDefault="009B6A12" w:rsidP="009B6A12">
      <w:pPr>
        <w:spacing w:after="240" w:line="269" w:lineRule="auto"/>
        <w:jc w:val="both"/>
      </w:pPr>
      <w:r w:rsidRPr="00DF68EA">
        <w:rPr>
          <w:b/>
        </w:rPr>
        <w:t xml:space="preserve">Investment deregulation: </w:t>
      </w:r>
      <w:r w:rsidRPr="00DF68EA">
        <w:t xml:space="preserve">In the 1970s and 1980s Bangladesh manufacturing and organized services were characterized by a domination of state-owned enterprises and state controls over prices, investment and external trade.  The deregulation process started in the 1980s but gained momentum after 1990.  Since then, there has been a major and progressive investment deregulation to boost domestic and foreign investment.  The deregulation effort has involved privatization, removal of quantitative restrictions, simplifying business registration process and encouraging foreign investment through relaxation of ownership restrictions. </w:t>
      </w:r>
    </w:p>
    <w:p w14:paraId="7B71AF8E" w14:textId="77777777" w:rsidR="009B6A12" w:rsidRPr="00DF68EA" w:rsidRDefault="009B6A12" w:rsidP="009B6A12">
      <w:pPr>
        <w:spacing w:after="240" w:line="269" w:lineRule="auto"/>
        <w:jc w:val="both"/>
      </w:pPr>
      <w:r w:rsidRPr="00DF68EA">
        <w:rPr>
          <w:b/>
        </w:rPr>
        <w:t xml:space="preserve">Trade liberalization: </w:t>
      </w:r>
      <w:r w:rsidRPr="00DF68EA">
        <w:t>Much of the trade liberalization happened during 1990-2005. Although Bangladesh was a late starter compared with other developing countries including in South Asia, the magnitude of liberalization is impressive when measured against the starting point.  This involved virtual dismantling of almost all quantitative restrictions on trade, sharp reduction of average trade tariffs and the establishment of the free trade zones (Export Promotion Zones (EPZs)). The hugely positive response of the readymade garments (RMG) sector to trade liberalization and related other policies (such as back-to-back LCs, fiscal incentives and access to concession trade finance) is illustrative of the role trade liberalization in promoting investments, exports, GDP growth and employment.</w:t>
      </w:r>
    </w:p>
    <w:p w14:paraId="5368CD9A" w14:textId="77777777" w:rsidR="009B6A12" w:rsidRPr="00DF68EA" w:rsidRDefault="009B6A12" w:rsidP="009B6A12">
      <w:pPr>
        <w:spacing w:after="240" w:line="269" w:lineRule="auto"/>
        <w:jc w:val="both"/>
      </w:pPr>
      <w:r w:rsidRPr="00DF68EA">
        <w:rPr>
          <w:b/>
        </w:rPr>
        <w:t>Fiscal incentives</w:t>
      </w:r>
      <w:r w:rsidRPr="00DF68EA">
        <w:t>: To attract foreign investment and promote domestic investment the Government offers a fairly liberal set of fiscal incentives involving tax holidays, lower income tax rate, accelerated depreciation and low import duties on capital and intermediate goods imports. Exports also enjoy duty drawback benefits.  In many ways, the fiscal incentives in regards to exemption of profits or low rates offered to selected sectors (RMG) might be too liberal and an overkill and as such needs to be re-examined to avoid an unnecessary erosion of the tax revenue base.</w:t>
      </w:r>
    </w:p>
    <w:p w14:paraId="76A45FE3" w14:textId="77777777" w:rsidR="009B6A12" w:rsidRPr="00DF68EA" w:rsidRDefault="009B6A12" w:rsidP="009B6A12">
      <w:pPr>
        <w:spacing w:after="240" w:line="269" w:lineRule="auto"/>
        <w:jc w:val="both"/>
      </w:pPr>
      <w:r w:rsidRPr="00DF68EA">
        <w:rPr>
          <w:b/>
        </w:rPr>
        <w:t>Supply of labor and employment policies</w:t>
      </w:r>
      <w:r w:rsidRPr="00DF68EA">
        <w:t>: The abundant supply of labor is a major positive contributor to private investment and expansion of manufacturing production and exports, especially in RMG. Low wage cost remains a substantial advantage for Bangladesh that contributes to cost competitiveness in labor-intensive manufacturing such as RMG.  Government policy in regards to education and labor markets has played an important facilitating role.  Bangladesh labor markets relating to all three major sectors (agriculture, manufacturing and services) work flexibly and the transaction costs of employment in terms of hiring, termination and wage setting are among the lowest in developing countries and certainly within South Asia (Ahmed, 2015).  While this flexibility is a big plus, recent developments in the RMG sector suggest that the absence of prudential regulatory norms regarding worker safety and social insurance including coverage of accidents is a serious problem that needs to be corrected.</w:t>
      </w:r>
    </w:p>
    <w:p w14:paraId="0DE44082" w14:textId="09D0EBBF" w:rsidR="009B6A12" w:rsidRDefault="009B6A12" w:rsidP="009B6A12">
      <w:pPr>
        <w:pStyle w:val="ListParagraph"/>
        <w:spacing w:after="240" w:line="271" w:lineRule="auto"/>
        <w:ind w:left="0"/>
        <w:contextualSpacing w:val="0"/>
        <w:jc w:val="both"/>
      </w:pPr>
      <w:r w:rsidRPr="00876F8F">
        <w:t>The above analysis suggests that the returns to good policies can be substantial.  B</w:t>
      </w:r>
      <w:r>
        <w:t>ut it also raises</w:t>
      </w:r>
      <w:r w:rsidRPr="00876F8F">
        <w:t xml:space="preserve"> two questions:  first, why the FDI response in Bangladesh has been sluggish in comparison w</w:t>
      </w:r>
      <w:r>
        <w:t>ith the dynamic Asian economies</w:t>
      </w:r>
      <w:r w:rsidRPr="00876F8F">
        <w:t>; and second what explains the stagnation of the private investment rate over the past few years?  The answers to these two questions are inter-related and can be obtained by reviewing the emerging constraints to investment.</w:t>
      </w:r>
    </w:p>
    <w:p w14:paraId="0F7E6AF8" w14:textId="399E0267" w:rsidR="003F692C" w:rsidRPr="003F692C" w:rsidRDefault="009B6A12" w:rsidP="0097319A">
      <w:pPr>
        <w:pStyle w:val="ListParagraph"/>
        <w:spacing w:after="240" w:line="276" w:lineRule="auto"/>
        <w:ind w:left="0"/>
        <w:contextualSpacing w:val="0"/>
        <w:jc w:val="both"/>
        <w:rPr>
          <w:b/>
        </w:rPr>
      </w:pPr>
      <w:r>
        <w:rPr>
          <w:b/>
        </w:rPr>
        <w:t>3</w:t>
      </w:r>
      <w:r w:rsidR="00883845">
        <w:rPr>
          <w:b/>
        </w:rPr>
        <w:t>.</w:t>
      </w:r>
      <w:r w:rsidR="003F692C">
        <w:rPr>
          <w:b/>
        </w:rPr>
        <w:t xml:space="preserve"> </w:t>
      </w:r>
      <w:r w:rsidR="0097319A" w:rsidRPr="003F692C">
        <w:rPr>
          <w:b/>
        </w:rPr>
        <w:t>Bangladesh Investment trend</w:t>
      </w:r>
      <w:r w:rsidR="00883845">
        <w:rPr>
          <w:b/>
        </w:rPr>
        <w:t xml:space="preserve"> – the Issues and Challenges</w:t>
      </w:r>
      <w:r w:rsidR="0097319A" w:rsidRPr="003F692C">
        <w:rPr>
          <w:b/>
        </w:rPr>
        <w:t>:</w:t>
      </w:r>
    </w:p>
    <w:p w14:paraId="6B28EB38" w14:textId="5F669225" w:rsidR="0097319A" w:rsidRPr="00EF72C8" w:rsidRDefault="003F692C" w:rsidP="0097319A">
      <w:pPr>
        <w:pStyle w:val="ListParagraph"/>
        <w:spacing w:after="240" w:line="276" w:lineRule="auto"/>
        <w:ind w:left="0"/>
        <w:contextualSpacing w:val="0"/>
        <w:jc w:val="both"/>
      </w:pPr>
      <w:r>
        <w:rPr>
          <w:b/>
          <w:i/>
        </w:rPr>
        <w:t>Getting desired higher levels of private investments has been a key challenge.</w:t>
      </w:r>
      <w:r>
        <w:t xml:space="preserve"> </w:t>
      </w:r>
      <w:r w:rsidR="0097319A" w:rsidRPr="00EF72C8">
        <w:t xml:space="preserve">While the Bangladesh economy has done well in terms of GDP growth and exports, one negative development is the </w:t>
      </w:r>
      <w:r w:rsidR="004A077F">
        <w:t xml:space="preserve">near </w:t>
      </w:r>
      <w:r w:rsidR="0097319A" w:rsidRPr="00EF72C8">
        <w:t xml:space="preserve">stagnation of the private investment effort in recent years.  The government to support achieving </w:t>
      </w:r>
      <w:r w:rsidR="004A077F">
        <w:t xml:space="preserve">its </w:t>
      </w:r>
      <w:r w:rsidR="0097319A" w:rsidRPr="00EF72C8">
        <w:t>overall growth targets had also set private and publi</w:t>
      </w:r>
      <w:r w:rsidR="0097319A">
        <w:t>c investment targets over both 6</w:t>
      </w:r>
      <w:r w:rsidR="0097319A" w:rsidRPr="0097319A">
        <w:rPr>
          <w:vertAlign w:val="superscript"/>
        </w:rPr>
        <w:t>th</w:t>
      </w:r>
      <w:r w:rsidR="0097319A">
        <w:t xml:space="preserve"> FYP and 7th FYP. The 6</w:t>
      </w:r>
      <w:r w:rsidR="0097319A" w:rsidRPr="0097319A">
        <w:rPr>
          <w:vertAlign w:val="superscript"/>
        </w:rPr>
        <w:t>th</w:t>
      </w:r>
      <w:r w:rsidR="0097319A">
        <w:t xml:space="preserve"> </w:t>
      </w:r>
      <w:r w:rsidR="0097319A" w:rsidRPr="00EF72C8">
        <w:t>FYP had targeted an increase in the investment rate growing from 24</w:t>
      </w:r>
      <w:r w:rsidR="0097319A">
        <w:t xml:space="preserve">% of GDP in FY10 to 32% by FY15. </w:t>
      </w:r>
      <w:r w:rsidR="0097319A" w:rsidRPr="00EF72C8">
        <w:t xml:space="preserve">The worrisome factor is that since FY2012, the private investment as a share of GDP has remained virtually flat at around 22% </w:t>
      </w:r>
      <w:r w:rsidR="00DC2624" w:rsidRPr="00DC2624">
        <w:t>(Figure 7</w:t>
      </w:r>
      <w:r w:rsidR="0097319A" w:rsidRPr="00DC2624">
        <w:t>).</w:t>
      </w:r>
      <w:r w:rsidR="0097319A" w:rsidRPr="00EF72C8">
        <w:t xml:space="preserve"> This is worrisome because the </w:t>
      </w:r>
      <w:r w:rsidR="0097319A">
        <w:t>6</w:t>
      </w:r>
      <w:r w:rsidR="0097319A" w:rsidRPr="0097319A">
        <w:rPr>
          <w:vertAlign w:val="superscript"/>
        </w:rPr>
        <w:t>th</w:t>
      </w:r>
      <w:r w:rsidR="0097319A">
        <w:t xml:space="preserve"> FYP </w:t>
      </w:r>
      <w:r w:rsidR="00DC2624">
        <w:t xml:space="preserve">had </w:t>
      </w:r>
      <w:r w:rsidR="00DC2624" w:rsidRPr="00EF72C8">
        <w:t>identified</w:t>
      </w:r>
      <w:r w:rsidR="0097319A" w:rsidRPr="00EF72C8">
        <w:t xml:space="preserve"> private investment as a major engine of growth and exports, especially in the manufacturing sector. </w:t>
      </w:r>
    </w:p>
    <w:p w14:paraId="1BD4B097" w14:textId="443F16A2" w:rsidR="0097319A" w:rsidRPr="00EF72C8" w:rsidRDefault="00DC2624" w:rsidP="0097319A">
      <w:pPr>
        <w:pStyle w:val="Heading5"/>
      </w:pPr>
      <w:bookmarkStart w:id="5" w:name="_Toc480722566"/>
      <w:r w:rsidRPr="00DC2624">
        <w:t>Figure 7</w:t>
      </w:r>
      <w:r w:rsidR="0097319A" w:rsidRPr="00DC2624">
        <w:t>:</w:t>
      </w:r>
      <w:r w:rsidR="0097319A" w:rsidRPr="00EF72C8">
        <w:t xml:space="preserve"> The Private Investment Challenge (% of GDP)</w:t>
      </w:r>
      <w:bookmarkEnd w:id="5"/>
    </w:p>
    <w:p w14:paraId="49876466" w14:textId="77777777" w:rsidR="0097319A" w:rsidRDefault="0097319A" w:rsidP="0097319A">
      <w:pPr>
        <w:pStyle w:val="ListParagraph"/>
        <w:spacing w:after="240"/>
        <w:ind w:left="0"/>
        <w:jc w:val="both"/>
      </w:pPr>
      <w:r>
        <w:tab/>
      </w:r>
      <w:r w:rsidRPr="00796520">
        <w:rPr>
          <w:noProof/>
        </w:rPr>
        <w:drawing>
          <wp:inline distT="0" distB="0" distL="0" distR="0" wp14:anchorId="665FC822" wp14:editId="038D9B65">
            <wp:extent cx="4819650" cy="2819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ab/>
      </w:r>
      <w:r>
        <w:tab/>
      </w:r>
    </w:p>
    <w:p w14:paraId="6A238B32" w14:textId="77777777" w:rsidR="0097319A" w:rsidRPr="00796520" w:rsidRDefault="0097319A" w:rsidP="0097319A">
      <w:pPr>
        <w:pStyle w:val="ListParagraph"/>
        <w:spacing w:after="240"/>
        <w:ind w:left="0"/>
        <w:contextualSpacing w:val="0"/>
        <w:jc w:val="both"/>
        <w:rPr>
          <w:b/>
          <w:i/>
        </w:rPr>
      </w:pPr>
      <w:r>
        <w:tab/>
      </w:r>
      <w:r w:rsidRPr="00796520">
        <w:rPr>
          <w:b/>
          <w:i/>
        </w:rPr>
        <w:t>Source: Bangladesh Bureau of Statistics</w:t>
      </w:r>
    </w:p>
    <w:p w14:paraId="709FFDD0" w14:textId="00E219BA" w:rsidR="0097319A" w:rsidRDefault="0097319A" w:rsidP="0097319A">
      <w:pPr>
        <w:pStyle w:val="ListParagraph"/>
        <w:spacing w:after="240" w:line="276" w:lineRule="auto"/>
        <w:ind w:left="0"/>
        <w:contextualSpacing w:val="0"/>
        <w:jc w:val="both"/>
      </w:pPr>
      <w:r w:rsidRPr="00EF72C8">
        <w:t xml:space="preserve">It should be noted that, while the current total </w:t>
      </w:r>
      <w:r w:rsidR="004A077F">
        <w:t>investment rate of 29% of GDP has been</w:t>
      </w:r>
      <w:r w:rsidRPr="00EF72C8">
        <w:t xml:space="preserve"> adequate to sustain the investment needs of the average GDP growth rate of 6-7% overall and 5-6% per capi</w:t>
      </w:r>
      <w:r w:rsidR="004A077F">
        <w:t xml:space="preserve">ta of the past 6 years; this may </w:t>
      </w:r>
      <w:r w:rsidRPr="00EF72C8">
        <w:t xml:space="preserve">not </w:t>
      </w:r>
      <w:r w:rsidR="004A077F">
        <w:t xml:space="preserve">be </w:t>
      </w:r>
      <w:r w:rsidRPr="00EF72C8">
        <w:t xml:space="preserve">adequate to take the economy to the next stages of the development path involving sustained 8% overall GDP growth and 7% growth of per capita GDP that will be required </w:t>
      </w:r>
      <w:r w:rsidR="00DC2624">
        <w:t xml:space="preserve">to achieve the vision of </w:t>
      </w:r>
      <w:r w:rsidR="002D2E83">
        <w:t>Higher Income Country (</w:t>
      </w:r>
      <w:r w:rsidR="00DC2624">
        <w:t>HIC</w:t>
      </w:r>
      <w:r w:rsidR="002D2E83">
        <w:t>)</w:t>
      </w:r>
      <w:r w:rsidR="00DC2624">
        <w:t xml:space="preserve"> around 2041</w:t>
      </w:r>
      <w:r w:rsidRPr="00EF72C8">
        <w:t xml:space="preserve">.  </w:t>
      </w:r>
      <w:r w:rsidR="002D2E83">
        <w:t>The path will be</w:t>
      </w:r>
      <w:r w:rsidR="004A077F">
        <w:t xml:space="preserve"> quite challenging.</w:t>
      </w:r>
      <w:r w:rsidRPr="00EF72C8">
        <w:t xml:space="preserve"> </w:t>
      </w:r>
    </w:p>
    <w:p w14:paraId="5C123524" w14:textId="0F0DD587" w:rsidR="00C33F2D" w:rsidRPr="009607AB" w:rsidRDefault="00C33F2D" w:rsidP="00C33F2D">
      <w:pPr>
        <w:pStyle w:val="ListParagraph"/>
        <w:spacing w:after="240" w:line="276" w:lineRule="auto"/>
        <w:ind w:left="0"/>
        <w:contextualSpacing w:val="0"/>
      </w:pPr>
      <w:r>
        <w:t>As a</w:t>
      </w:r>
      <w:r w:rsidR="00DC2624">
        <w:t xml:space="preserve"> PRI </w:t>
      </w:r>
      <w:r>
        <w:t xml:space="preserve">projection </w:t>
      </w:r>
      <w:r w:rsidR="004A077F">
        <w:t>had shown</w:t>
      </w:r>
      <w:r>
        <w:t xml:space="preserve"> (Figure 8 below), t</w:t>
      </w:r>
      <w:r w:rsidR="0097319A" w:rsidRPr="009607AB">
        <w:t xml:space="preserve">he income expansion path </w:t>
      </w:r>
      <w:r w:rsidR="004A077F">
        <w:t xml:space="preserve">even </w:t>
      </w:r>
      <w:r w:rsidR="0097319A" w:rsidRPr="009607AB">
        <w:t xml:space="preserve">for </w:t>
      </w:r>
      <w:r w:rsidR="002D2E83">
        <w:t xml:space="preserve">Upper Middle-Income Country (UMIC) </w:t>
      </w:r>
      <w:r w:rsidR="0097319A" w:rsidRPr="009607AB">
        <w:t>is steep and requires many policies but especia</w:t>
      </w:r>
      <w:r>
        <w:t xml:space="preserve">lly a massive investment effort. </w:t>
      </w:r>
      <w:bookmarkStart w:id="6" w:name="_Toc480722569"/>
      <w:r w:rsidRPr="00C33F2D">
        <w:t>In fact, both public and private investment rate must expand to enable Bangladesh move to the 8% GDP growth path and achieve the target of upper middle income (UMIC) by FY2030.   The investment rate needs to go up from the present 29% of GDP to 34% of GDP to achieve 8% growth rate by FY2020 and 35% of GDP by FY2022 to sustain that effort.  This substantial expansion in the investment rate is needed partly to accommodate the growing capital intensity of production in Bangladesh and partly to finance the additional 1-2% growth in GDP.  As in the past, the momentum has to come from private investment.</w:t>
      </w:r>
      <w:r w:rsidRPr="009607AB">
        <w:t xml:space="preserve"> </w:t>
      </w:r>
    </w:p>
    <w:p w14:paraId="7F066CB7" w14:textId="77777777" w:rsidR="00C33F2D" w:rsidRPr="00C33F2D" w:rsidRDefault="00C33F2D" w:rsidP="00C33F2D">
      <w:pPr>
        <w:pStyle w:val="ListParagraph"/>
        <w:spacing w:after="240" w:line="276" w:lineRule="auto"/>
        <w:ind w:left="0"/>
        <w:contextualSpacing w:val="0"/>
      </w:pPr>
    </w:p>
    <w:p w14:paraId="57827FA7" w14:textId="32989281" w:rsidR="0097319A" w:rsidRPr="00973CE2" w:rsidRDefault="001E36A2" w:rsidP="0097319A">
      <w:pPr>
        <w:pStyle w:val="Heading5"/>
      </w:pPr>
      <w:r w:rsidRPr="00C33F2D">
        <w:t>Figure 8</w:t>
      </w:r>
      <w:r w:rsidR="0097319A">
        <w:t>: Transition P</w:t>
      </w:r>
      <w:r w:rsidR="0097319A" w:rsidRPr="00973CE2">
        <w:t>ath to UMIC (USD)</w:t>
      </w:r>
      <w:bookmarkEnd w:id="6"/>
    </w:p>
    <w:p w14:paraId="446806A7" w14:textId="77777777" w:rsidR="0097319A" w:rsidRDefault="0097319A" w:rsidP="0097319A">
      <w:pPr>
        <w:pStyle w:val="ListParagraph"/>
        <w:spacing w:after="240"/>
        <w:ind w:left="0"/>
        <w:jc w:val="both"/>
      </w:pPr>
      <w:r>
        <w:tab/>
        <w:t xml:space="preserve">       </w:t>
      </w:r>
      <w:r w:rsidRPr="002104FA">
        <w:rPr>
          <w:noProof/>
        </w:rPr>
        <w:drawing>
          <wp:inline distT="0" distB="0" distL="0" distR="0" wp14:anchorId="6A8F1967" wp14:editId="0ECE689A">
            <wp:extent cx="4419600" cy="25527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D41E77" w14:textId="77777777" w:rsidR="0097319A" w:rsidRPr="00A804F7" w:rsidRDefault="0097319A" w:rsidP="0097319A">
      <w:pPr>
        <w:pStyle w:val="ListParagraph"/>
        <w:spacing w:after="240"/>
        <w:ind w:left="0"/>
        <w:contextualSpacing w:val="0"/>
        <w:jc w:val="both"/>
        <w:rPr>
          <w:b/>
          <w:i/>
        </w:rPr>
      </w:pPr>
      <w:r>
        <w:tab/>
        <w:t xml:space="preserve">      </w:t>
      </w:r>
      <w:r>
        <w:rPr>
          <w:b/>
          <w:i/>
          <w:sz w:val="20"/>
        </w:rPr>
        <w:t>Source: Sadiq Ahmed - PRI</w:t>
      </w:r>
      <w:r w:rsidRPr="00A804F7">
        <w:rPr>
          <w:b/>
          <w:i/>
          <w:sz w:val="20"/>
        </w:rPr>
        <w:t xml:space="preserve"> Projections</w:t>
      </w:r>
    </w:p>
    <w:p w14:paraId="15A1A75B" w14:textId="57BE4773" w:rsidR="0097319A" w:rsidRDefault="00C33F2D" w:rsidP="00D20AB2">
      <w:pPr>
        <w:pStyle w:val="ListParagraph"/>
        <w:spacing w:after="240" w:line="276" w:lineRule="auto"/>
        <w:ind w:left="0"/>
        <w:contextualSpacing w:val="0"/>
      </w:pPr>
      <w:r>
        <w:t xml:space="preserve">As evident from Fig. 8, </w:t>
      </w:r>
      <w:r w:rsidR="001E36A2">
        <w:t>the projected transition path will be</w:t>
      </w:r>
      <w:r>
        <w:t xml:space="preserve"> quite steep and challenging based on what has been achieved so far in investments, particularly private investments. </w:t>
      </w:r>
      <w:r w:rsidR="0097319A" w:rsidRPr="009607AB">
        <w:t>Achieving a 4-5-percentage point of GDP increase in the private investment rate in the next 5 years is not an easy task, especially in view of the stagnation in the investment rate over the previous 5 years. There needs to be substantial changes in the policy and regulatory framework for private investment, with particular emphasis on attracting higher FDI inflows.</w:t>
      </w:r>
    </w:p>
    <w:p w14:paraId="759E05A7" w14:textId="1A8B2573" w:rsidR="0097319A" w:rsidRPr="00EF72C8" w:rsidRDefault="00D20AB2" w:rsidP="00D20AB2">
      <w:pPr>
        <w:pStyle w:val="ListParagraph"/>
        <w:spacing w:after="240" w:line="276" w:lineRule="auto"/>
        <w:ind w:left="0"/>
        <w:contextualSpacing w:val="0"/>
      </w:pPr>
      <w:r>
        <w:rPr>
          <w:b/>
          <w:i/>
        </w:rPr>
        <w:t xml:space="preserve">Poor FDI flows have been a </w:t>
      </w:r>
      <w:r w:rsidR="004A077F">
        <w:rPr>
          <w:b/>
          <w:i/>
        </w:rPr>
        <w:t>stumbling block</w:t>
      </w:r>
      <w:r w:rsidR="0097319A">
        <w:rPr>
          <w:b/>
          <w:i/>
        </w:rPr>
        <w:t xml:space="preserve"> to raising investment rates. </w:t>
      </w:r>
      <w:r w:rsidR="0097319A">
        <w:t>A</w:t>
      </w:r>
      <w:r>
        <w:t xml:space="preserve"> very</w:t>
      </w:r>
      <w:r w:rsidR="0097319A">
        <w:t xml:space="preserve"> </w:t>
      </w:r>
      <w:r w:rsidR="0097319A" w:rsidRPr="00EF72C8">
        <w:t xml:space="preserve">concerning factor is that the response from foreign direct investment (FDI) has been lack luster </w:t>
      </w:r>
      <w:r w:rsidRPr="002C039C">
        <w:t>(Figure 9</w:t>
      </w:r>
      <w:r w:rsidR="0097319A" w:rsidRPr="002C039C">
        <w:t>).</w:t>
      </w:r>
      <w:r w:rsidR="0097319A" w:rsidRPr="00EF72C8">
        <w:t xml:space="preserve">  Although FDI flows have picked up recently, reaching $2.3 billion in 2015, this is still much below potential.  Total FDI flows in Bangladesh are relatively insignificant in relation to total supply to developing countries (Ahmed and Sattar 2012). For example, as compared with $1.6 billion FDI inflow in Bangladesh in 2013, FDI inflows amounted to $124 billion in China, $29 billion for India, $18 billion for Indonesia and $9 billion for Vietnam.  </w:t>
      </w:r>
    </w:p>
    <w:p w14:paraId="61413BD5" w14:textId="6D4CFB55" w:rsidR="0029703F" w:rsidRDefault="00D20AB2" w:rsidP="007D208C">
      <w:pPr>
        <w:pStyle w:val="ListParagraph"/>
        <w:spacing w:after="240" w:line="276" w:lineRule="auto"/>
        <w:ind w:left="0"/>
        <w:contextualSpacing w:val="0"/>
        <w:jc w:val="both"/>
      </w:pPr>
      <w:bookmarkStart w:id="7" w:name="_Toc480722567"/>
      <w:r w:rsidRPr="00EF72C8">
        <w:t>More rece</w:t>
      </w:r>
      <w:r>
        <w:t>ntly, as illustrated in Figure 10</w:t>
      </w:r>
      <w:r w:rsidRPr="00EF72C8">
        <w:t xml:space="preserve">, FDI flows in 2016 amounted to $139 billion in China, $92 billion for </w:t>
      </w:r>
      <w:r w:rsidR="004A077F" w:rsidRPr="00EF72C8">
        <w:t>Hong Kong</w:t>
      </w:r>
      <w:r w:rsidRPr="00EF72C8">
        <w:t>, $50 billion each for Singapore and Brazil, and $42 billion for India (UNCTAD, 2017).  These numbers easily dwarf the $ 2 billion or so inflow in Bangladesh.  They also indicate the large FDI flows that are still available for developing countries despite prevailing global financial difficulties.</w:t>
      </w:r>
    </w:p>
    <w:p w14:paraId="595DA680" w14:textId="08B2E12A" w:rsidR="0097319A" w:rsidRPr="00EF72C8" w:rsidRDefault="00D20AB2" w:rsidP="0097319A">
      <w:pPr>
        <w:pStyle w:val="Heading5"/>
      </w:pPr>
      <w:r w:rsidRPr="002C039C">
        <w:t>Figure 9</w:t>
      </w:r>
      <w:r w:rsidR="0097319A" w:rsidRPr="002C039C">
        <w:t>:</w:t>
      </w:r>
      <w:r w:rsidR="0097319A" w:rsidRPr="00EF72C8">
        <w:t xml:space="preserve"> Flow of FDI ($ millions)</w:t>
      </w:r>
      <w:bookmarkEnd w:id="7"/>
    </w:p>
    <w:p w14:paraId="78C9664C" w14:textId="77777777" w:rsidR="0097319A" w:rsidRDefault="0097319A" w:rsidP="0097319A">
      <w:pPr>
        <w:jc w:val="both"/>
      </w:pPr>
      <w:r>
        <w:t xml:space="preserve">       </w:t>
      </w:r>
      <w:r>
        <w:rPr>
          <w:noProof/>
        </w:rPr>
        <w:drawing>
          <wp:inline distT="0" distB="0" distL="0" distR="0" wp14:anchorId="1F8F89CE" wp14:editId="60A65D9B">
            <wp:extent cx="5238750" cy="28384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F0BB01" w14:textId="478CF133" w:rsidR="009B6A12" w:rsidRPr="007D208C" w:rsidRDefault="0097319A" w:rsidP="007D208C">
      <w:pPr>
        <w:pStyle w:val="ListParagraph"/>
        <w:spacing w:after="240"/>
        <w:ind w:left="0"/>
        <w:contextualSpacing w:val="0"/>
        <w:jc w:val="both"/>
        <w:rPr>
          <w:b/>
          <w:i/>
          <w:sz w:val="20"/>
          <w:szCs w:val="20"/>
        </w:rPr>
      </w:pPr>
      <w:r>
        <w:t xml:space="preserve">       </w:t>
      </w:r>
      <w:r w:rsidRPr="00B61382">
        <w:rPr>
          <w:b/>
          <w:i/>
          <w:sz w:val="20"/>
          <w:szCs w:val="20"/>
        </w:rPr>
        <w:t>Source: Bangladesh Bank</w:t>
      </w:r>
      <w:bookmarkStart w:id="8" w:name="_Toc480722568"/>
    </w:p>
    <w:p w14:paraId="1F6D672A" w14:textId="77777777" w:rsidR="007D208C" w:rsidRDefault="007D208C" w:rsidP="0097319A">
      <w:pPr>
        <w:pStyle w:val="Heading5"/>
      </w:pPr>
    </w:p>
    <w:p w14:paraId="431B6F5A" w14:textId="77777777" w:rsidR="007D208C" w:rsidRDefault="007D208C" w:rsidP="0097319A">
      <w:pPr>
        <w:pStyle w:val="Heading5"/>
      </w:pPr>
    </w:p>
    <w:p w14:paraId="0E8BB946" w14:textId="77777777" w:rsidR="007D208C" w:rsidRDefault="007D208C" w:rsidP="0097319A">
      <w:pPr>
        <w:pStyle w:val="Heading5"/>
      </w:pPr>
    </w:p>
    <w:p w14:paraId="214F6349" w14:textId="77777777" w:rsidR="007D208C" w:rsidRDefault="007D208C" w:rsidP="0097319A">
      <w:pPr>
        <w:pStyle w:val="Heading5"/>
      </w:pPr>
    </w:p>
    <w:p w14:paraId="7DA0AB7A" w14:textId="77777777" w:rsidR="007D208C" w:rsidRDefault="007D208C" w:rsidP="0097319A">
      <w:pPr>
        <w:pStyle w:val="Heading5"/>
      </w:pPr>
    </w:p>
    <w:p w14:paraId="17DF5DDC" w14:textId="77777777" w:rsidR="007D208C" w:rsidRDefault="007D208C" w:rsidP="0097319A">
      <w:pPr>
        <w:pStyle w:val="Heading5"/>
      </w:pPr>
    </w:p>
    <w:p w14:paraId="6F20822F" w14:textId="77777777" w:rsidR="007D208C" w:rsidRDefault="007D208C" w:rsidP="0097319A">
      <w:pPr>
        <w:pStyle w:val="Heading5"/>
      </w:pPr>
    </w:p>
    <w:p w14:paraId="4D2F26EE" w14:textId="77777777" w:rsidR="007D208C" w:rsidRDefault="007D208C" w:rsidP="0097319A">
      <w:pPr>
        <w:pStyle w:val="Heading5"/>
      </w:pPr>
    </w:p>
    <w:p w14:paraId="24F55AFE" w14:textId="77777777" w:rsidR="007D208C" w:rsidRDefault="007D208C" w:rsidP="0097319A">
      <w:pPr>
        <w:pStyle w:val="Heading5"/>
      </w:pPr>
    </w:p>
    <w:p w14:paraId="73B096A4" w14:textId="77777777" w:rsidR="007D208C" w:rsidRDefault="007D208C" w:rsidP="0097319A">
      <w:pPr>
        <w:pStyle w:val="Heading5"/>
      </w:pPr>
    </w:p>
    <w:p w14:paraId="79C67E5B" w14:textId="275BCD98" w:rsidR="0097319A" w:rsidRPr="00EF72C8" w:rsidRDefault="00D20AB2" w:rsidP="0097319A">
      <w:pPr>
        <w:pStyle w:val="Heading5"/>
      </w:pPr>
      <w:r>
        <w:t>Figure 10</w:t>
      </w:r>
      <w:r w:rsidR="0097319A" w:rsidRPr="00EF72C8">
        <w:t>: Inflow of FDI 2016 (USD Billion)</w:t>
      </w:r>
      <w:bookmarkEnd w:id="8"/>
    </w:p>
    <w:p w14:paraId="4EEA6836" w14:textId="77777777" w:rsidR="0097319A" w:rsidRDefault="0097319A" w:rsidP="0097319A">
      <w:pPr>
        <w:pStyle w:val="ListParagraph"/>
        <w:spacing w:after="240"/>
        <w:ind w:left="0"/>
        <w:jc w:val="both"/>
      </w:pPr>
      <w:r>
        <w:tab/>
        <w:t xml:space="preserve">     </w:t>
      </w:r>
      <w:r w:rsidRPr="0068266C">
        <w:rPr>
          <w:noProof/>
        </w:rPr>
        <w:drawing>
          <wp:inline distT="0" distB="0" distL="0" distR="0" wp14:anchorId="6961DEDE" wp14:editId="6AAFE980">
            <wp:extent cx="4724400" cy="2418567"/>
            <wp:effectExtent l="0" t="0" r="0" b="127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19CB49" w14:textId="30A66D0D" w:rsidR="0097319A" w:rsidRPr="002732E5" w:rsidRDefault="0097319A" w:rsidP="002732E5">
      <w:pPr>
        <w:pStyle w:val="ListParagraph"/>
        <w:spacing w:after="240"/>
        <w:ind w:left="0"/>
        <w:contextualSpacing w:val="0"/>
        <w:jc w:val="both"/>
        <w:rPr>
          <w:b/>
          <w:i/>
          <w:sz w:val="20"/>
        </w:rPr>
      </w:pPr>
      <w:r>
        <w:t xml:space="preserve">                  </w:t>
      </w:r>
      <w:r w:rsidRPr="0068266C">
        <w:rPr>
          <w:b/>
          <w:i/>
          <w:sz w:val="20"/>
        </w:rPr>
        <w:t>Source: UNCTAD, 2017</w:t>
      </w:r>
    </w:p>
    <w:p w14:paraId="2BBDBEE2" w14:textId="33983E37" w:rsidR="0097319A" w:rsidRPr="009607AB" w:rsidRDefault="0097319A" w:rsidP="0097319A">
      <w:pPr>
        <w:pStyle w:val="ListParagraph"/>
        <w:spacing w:after="240" w:line="276" w:lineRule="auto"/>
        <w:ind w:left="0"/>
        <w:contextualSpacing w:val="0"/>
        <w:jc w:val="both"/>
      </w:pPr>
      <w:r w:rsidRPr="009607AB">
        <w:t>Bangladesh had also adopted several strat</w:t>
      </w:r>
      <w:r w:rsidR="00C63FDE">
        <w:t>egies as expressed through the 6</w:t>
      </w:r>
      <w:r w:rsidR="00C63FDE" w:rsidRPr="00C63FDE">
        <w:rPr>
          <w:vertAlign w:val="superscript"/>
        </w:rPr>
        <w:t>th</w:t>
      </w:r>
      <w:r w:rsidR="00C63FDE">
        <w:t xml:space="preserve"> </w:t>
      </w:r>
      <w:r w:rsidRPr="009607AB">
        <w:t>FYP and the 7</w:t>
      </w:r>
      <w:r w:rsidRPr="009607AB">
        <w:rPr>
          <w:vertAlign w:val="superscript"/>
        </w:rPr>
        <w:t>th</w:t>
      </w:r>
      <w:r w:rsidRPr="009607AB">
        <w:t xml:space="preserve"> FYP to help achieve that goal.  Two such initiatives were</w:t>
      </w:r>
      <w:r w:rsidR="002C039C">
        <w:t xml:space="preserve"> adaption of the PPP policy and</w:t>
      </w:r>
      <w:r w:rsidR="002C039C" w:rsidRPr="009607AB">
        <w:t xml:space="preserve"> the setting up of Special Economic Zones (SEZs) </w:t>
      </w:r>
      <w:r w:rsidR="002C039C">
        <w:t xml:space="preserve">under </w:t>
      </w:r>
      <w:r w:rsidRPr="009607AB">
        <w:t>the Special Economic Zones Act</w:t>
      </w:r>
      <w:r w:rsidR="002C039C">
        <w:t xml:space="preserve"> 2010</w:t>
      </w:r>
      <w:r w:rsidRPr="009607AB">
        <w:t xml:space="preserve">. Both </w:t>
      </w:r>
      <w:r w:rsidR="002C039C">
        <w:t>of these initiatives were expected to help to</w:t>
      </w:r>
      <w:r w:rsidRPr="009607AB">
        <w:t xml:space="preserve"> catalyze </w:t>
      </w:r>
      <w:r w:rsidR="002C039C">
        <w:t xml:space="preserve">higher levels of </w:t>
      </w:r>
      <w:r w:rsidRPr="009607AB">
        <w:t>new private sector investments</w:t>
      </w:r>
      <w:r w:rsidR="002C039C">
        <w:t xml:space="preserve"> (including higher levels of FDI)</w:t>
      </w:r>
      <w:r w:rsidRPr="009607AB">
        <w:t xml:space="preserve"> both in manufacturing and exports</w:t>
      </w:r>
      <w:r w:rsidR="002C039C">
        <w:t>,</w:t>
      </w:r>
      <w:r w:rsidRPr="009607AB">
        <w:t xml:space="preserve"> and also helping fill up the resource gap </w:t>
      </w:r>
      <w:r w:rsidR="002C039C">
        <w:t>needed to build new infrastructure.</w:t>
      </w:r>
    </w:p>
    <w:p w14:paraId="2950A8F6" w14:textId="11211B5C" w:rsidR="0097319A" w:rsidRPr="00511521" w:rsidRDefault="0097319A" w:rsidP="0097319A">
      <w:pPr>
        <w:spacing w:line="276" w:lineRule="auto"/>
        <w:jc w:val="both"/>
      </w:pPr>
      <w:r w:rsidRPr="00511521">
        <w:rPr>
          <w:b/>
          <w:i/>
        </w:rPr>
        <w:t>Public investments for facilitating private investments:</w:t>
      </w:r>
      <w:r w:rsidRPr="00511521">
        <w:t xml:space="preserve"> </w:t>
      </w:r>
      <w:r w:rsidR="002732E5">
        <w:t xml:space="preserve">One of the main challenges relating to investment climate and doing business environment in Bangladesh is the huge deficiency in all aspects of quality and also quantity of infrastructure, for which public investments along with PPP investments are absolutely essential. </w:t>
      </w:r>
      <w:r w:rsidRPr="000D3268">
        <w:t xml:space="preserve">Public investments are critical for facilitating private investments.  While it is true for all aspects of public investments it is particularly true for investments in strategic infrastructure like power, energy supply, roads, railway, waterway, ports, and IT related infrastructure.  </w:t>
      </w:r>
      <w:r>
        <w:t xml:space="preserve">As it will be shown later Bangladesh performs very poorly in terms of infrastructure quality, which negatively impacts its </w:t>
      </w:r>
      <w:r w:rsidR="00B43205">
        <w:t>Global Competitive Index (</w:t>
      </w:r>
      <w:r>
        <w:t>GCI</w:t>
      </w:r>
      <w:r w:rsidR="00B43205">
        <w:t>)</w:t>
      </w:r>
      <w:r>
        <w:t xml:space="preserve"> rankings.  </w:t>
      </w:r>
      <w:r w:rsidRPr="000D3268">
        <w:t>All these are extremely important in reducing cost of doing business and that way facilitates higher levels of private investments.</w:t>
      </w:r>
      <w:r w:rsidRPr="00511521">
        <w:t xml:space="preserve">  </w:t>
      </w:r>
      <w:r>
        <w:t>There needs to be efficient implementation</w:t>
      </w:r>
      <w:r w:rsidRPr="00511521">
        <w:t xml:space="preserve"> of public investment through the Annual Development Plan (ADP)</w:t>
      </w:r>
      <w:r>
        <w:t xml:space="preserve"> along with PPP investments to help Bangladesh reduce cost of doing business and thus improve its rankings in Global Competitive Index (GCI), Global Logistic Index (GLI), the Doing Business (DB) indicators </w:t>
      </w:r>
      <w:r w:rsidRPr="00877035">
        <w:rPr>
          <w:i/>
        </w:rPr>
        <w:t>(to be discussed later</w:t>
      </w:r>
      <w:r>
        <w:t xml:space="preserve">) so as to spur domestic and foreign investments. </w:t>
      </w:r>
    </w:p>
    <w:p w14:paraId="166EBC70" w14:textId="77777777" w:rsidR="0097319A" w:rsidRPr="00511521" w:rsidRDefault="0097319A" w:rsidP="0097319A">
      <w:pPr>
        <w:jc w:val="both"/>
      </w:pPr>
    </w:p>
    <w:p w14:paraId="17E0B35E" w14:textId="1EACCBFC" w:rsidR="00742893" w:rsidRDefault="006C758D" w:rsidP="00116059">
      <w:pPr>
        <w:spacing w:line="276" w:lineRule="auto"/>
      </w:pPr>
      <w:r>
        <w:t xml:space="preserve">While there has been improvement in allocation for public investments through the </w:t>
      </w:r>
      <w:r w:rsidR="000B0529">
        <w:t>ADPs</w:t>
      </w:r>
      <w:r w:rsidR="00F039AF">
        <w:t xml:space="preserve">, </w:t>
      </w:r>
      <w:r w:rsidR="000B0529">
        <w:t>a</w:t>
      </w:r>
      <w:r w:rsidR="00F039AF">
        <w:t xml:space="preserve">n even bigger challenge is the constant </w:t>
      </w:r>
      <w:r w:rsidR="000B0529">
        <w:t xml:space="preserve">is the </w:t>
      </w:r>
      <w:r w:rsidR="00F039AF">
        <w:t>lag in providing resources for</w:t>
      </w:r>
      <w:r w:rsidR="00DD7CBC">
        <w:t xml:space="preserve"> operation and maintenance (O&amp;M) of the infrastructure that had already been built. </w:t>
      </w:r>
      <w:r w:rsidR="0097319A" w:rsidRPr="00511521">
        <w:t>How</w:t>
      </w:r>
      <w:r w:rsidR="000B0529">
        <w:t xml:space="preserve">ever, a very </w:t>
      </w:r>
      <w:r w:rsidR="00116059">
        <w:t>big disappointment</w:t>
      </w:r>
      <w:r w:rsidR="00DD7CBC">
        <w:t xml:space="preserve"> has in the inability to mobilize </w:t>
      </w:r>
      <w:r w:rsidR="000B0529">
        <w:t xml:space="preserve">requisite </w:t>
      </w:r>
      <w:r w:rsidR="00DD7CBC">
        <w:t xml:space="preserve">resources through PPP for infrastructure projects. </w:t>
      </w:r>
      <w:r w:rsidR="0097319A" w:rsidRPr="00511521">
        <w:t>Despite ambitious plans, the PPP strategy has not taken off in any significant shape for a host of reasons including institutional challenges</w:t>
      </w:r>
      <w:r w:rsidR="00C32540">
        <w:t>, and the doing business environment itself stymies increased flow of private investments</w:t>
      </w:r>
      <w:r w:rsidR="0097319A" w:rsidRPr="00511521">
        <w:t>.  The net result is a substantial shortfall in public investment rate in compari</w:t>
      </w:r>
      <w:r w:rsidR="0097319A">
        <w:t>son with the 6</w:t>
      </w:r>
      <w:r w:rsidR="0097319A" w:rsidRPr="0097319A">
        <w:rPr>
          <w:vertAlign w:val="superscript"/>
        </w:rPr>
        <w:t>th</w:t>
      </w:r>
      <w:r w:rsidR="0097319A">
        <w:t xml:space="preserve"> FYP targets, and is likely to happen during 7</w:t>
      </w:r>
      <w:r w:rsidR="0097319A" w:rsidRPr="00877035">
        <w:rPr>
          <w:vertAlign w:val="superscript"/>
        </w:rPr>
        <w:t>th</w:t>
      </w:r>
      <w:r w:rsidR="0097319A">
        <w:t xml:space="preserve"> FYP period, if remedial measures are not immediately taken. Unless there is marked improvement in all these indicators and come in line with countries like Korea, China, Vietnam etc. it will</w:t>
      </w:r>
      <w:r w:rsidR="000B0529">
        <w:t xml:space="preserve"> be challenging to attain</w:t>
      </w:r>
      <w:r w:rsidR="00C32540">
        <w:t xml:space="preserve"> the 2041 goal of transforming into</w:t>
      </w:r>
      <w:r w:rsidR="0097319A">
        <w:t xml:space="preserve"> a HIC</w:t>
      </w:r>
      <w:r w:rsidR="002D2E83">
        <w:t>.</w:t>
      </w:r>
    </w:p>
    <w:p w14:paraId="1D2CC89A" w14:textId="77777777" w:rsidR="00742893" w:rsidRDefault="00742893" w:rsidP="00742893">
      <w:pPr>
        <w:spacing w:line="276" w:lineRule="auto"/>
        <w:jc w:val="both"/>
      </w:pPr>
    </w:p>
    <w:p w14:paraId="3260A70D" w14:textId="23CFD447" w:rsidR="002B70CC" w:rsidRPr="00742893" w:rsidRDefault="00742893" w:rsidP="00742893">
      <w:pPr>
        <w:spacing w:line="276" w:lineRule="auto"/>
        <w:jc w:val="both"/>
      </w:pPr>
      <w:r w:rsidRPr="00742893">
        <w:rPr>
          <w:b/>
          <w:i/>
        </w:rPr>
        <w:t>H</w:t>
      </w:r>
      <w:r w:rsidR="0097319A" w:rsidRPr="00742893">
        <w:rPr>
          <w:b/>
          <w:i/>
        </w:rPr>
        <w:t xml:space="preserve">igher levels of </w:t>
      </w:r>
      <w:r w:rsidRPr="00742893">
        <w:rPr>
          <w:b/>
          <w:i/>
        </w:rPr>
        <w:t xml:space="preserve">private </w:t>
      </w:r>
      <w:r w:rsidR="0097319A" w:rsidRPr="00742893">
        <w:rPr>
          <w:b/>
          <w:i/>
        </w:rPr>
        <w:t>investments</w:t>
      </w:r>
      <w:r w:rsidRPr="00742893">
        <w:rPr>
          <w:b/>
          <w:i/>
        </w:rPr>
        <w:t xml:space="preserve"> in manufacturing sector, particularly </w:t>
      </w:r>
      <w:r w:rsidR="00E65B14">
        <w:rPr>
          <w:b/>
          <w:i/>
        </w:rPr>
        <w:t>ready-made garments (</w:t>
      </w:r>
      <w:r w:rsidRPr="00742893">
        <w:rPr>
          <w:b/>
          <w:i/>
        </w:rPr>
        <w:t>RMG</w:t>
      </w:r>
      <w:r w:rsidR="00E65B14">
        <w:rPr>
          <w:b/>
          <w:i/>
        </w:rPr>
        <w:t>)</w:t>
      </w:r>
      <w:r w:rsidRPr="00742893">
        <w:rPr>
          <w:b/>
          <w:i/>
        </w:rPr>
        <w:t>, facilitated it in</w:t>
      </w:r>
      <w:r w:rsidR="002B70CC" w:rsidRPr="00742893">
        <w:rPr>
          <w:b/>
          <w:i/>
        </w:rPr>
        <w:t xml:space="preserve"> leading the robust GDP growth.</w:t>
      </w:r>
      <w:r w:rsidR="002B70CC">
        <w:rPr>
          <w:b/>
        </w:rPr>
        <w:t xml:space="preserve"> </w:t>
      </w:r>
      <w:bookmarkEnd w:id="3"/>
      <w:r w:rsidR="00AA4CEB">
        <w:t xml:space="preserve"> </w:t>
      </w:r>
      <w:r w:rsidR="002B70CC" w:rsidRPr="00742893">
        <w:t xml:space="preserve">The underlying growth strategy in the </w:t>
      </w:r>
      <w:r w:rsidR="00D864E3" w:rsidRPr="00742893">
        <w:t>6</w:t>
      </w:r>
      <w:r w:rsidR="00D864E3" w:rsidRPr="00742893">
        <w:rPr>
          <w:vertAlign w:val="superscript"/>
        </w:rPr>
        <w:t>th</w:t>
      </w:r>
      <w:r w:rsidR="00D864E3" w:rsidRPr="00742893">
        <w:t xml:space="preserve"> </w:t>
      </w:r>
      <w:r w:rsidR="002B70CC" w:rsidRPr="00742893">
        <w:t xml:space="preserve">FYP </w:t>
      </w:r>
      <w:r w:rsidR="00D864E3" w:rsidRPr="00742893">
        <w:t>and 7</w:t>
      </w:r>
      <w:r w:rsidR="00D864E3" w:rsidRPr="00742893">
        <w:rPr>
          <w:vertAlign w:val="superscript"/>
        </w:rPr>
        <w:t>th</w:t>
      </w:r>
      <w:r w:rsidR="00D864E3" w:rsidRPr="00742893">
        <w:t xml:space="preserve"> FYP </w:t>
      </w:r>
      <w:r w:rsidR="00B43205">
        <w:t>had</w:t>
      </w:r>
      <w:r w:rsidR="00171818" w:rsidRPr="00742893">
        <w:t xml:space="preserve"> aimed</w:t>
      </w:r>
      <w:r w:rsidR="002B70CC" w:rsidRPr="00742893">
        <w:t xml:space="preserve"> at facilitating a faster transformation of the Bangladesh economy away from a primarily agrarian one towards a modern manufacturing and services oriented economy. This has yielded good results for the manufacturing sector in terms of growth in the arena of exports, domestic production, and job creation and its continuous increase in share of the GDP </w:t>
      </w:r>
      <w:r w:rsidR="00116059" w:rsidRPr="00116059">
        <w:t>(Fig. 11 and 12</w:t>
      </w:r>
      <w:r w:rsidR="002B70CC" w:rsidRPr="00116059">
        <w:t xml:space="preserve"> below).</w:t>
      </w:r>
      <w:r w:rsidR="002B70CC" w:rsidRPr="00742893">
        <w:t xml:space="preserve">  The main contributor to this robust growth performance of the manufacturing sector has been </w:t>
      </w:r>
      <w:r>
        <w:t xml:space="preserve">investments in </w:t>
      </w:r>
      <w:r w:rsidR="002B70CC" w:rsidRPr="00742893">
        <w:t xml:space="preserve">the </w:t>
      </w:r>
      <w:r>
        <w:t xml:space="preserve">export oriented </w:t>
      </w:r>
      <w:r w:rsidR="00E65B14">
        <w:t>RMG</w:t>
      </w:r>
      <w:r w:rsidR="002B70CC" w:rsidRPr="00742893">
        <w:t xml:space="preserve"> </w:t>
      </w:r>
      <w:r>
        <w:t>sector</w:t>
      </w:r>
      <w:r w:rsidR="002B70CC" w:rsidRPr="00742893">
        <w:t xml:space="preserve">. </w:t>
      </w:r>
    </w:p>
    <w:p w14:paraId="04583E98" w14:textId="77777777" w:rsidR="00116059" w:rsidRDefault="00116059" w:rsidP="002B70CC">
      <w:pPr>
        <w:spacing w:line="276" w:lineRule="auto"/>
        <w:jc w:val="both"/>
      </w:pPr>
    </w:p>
    <w:p w14:paraId="6A0B5D66" w14:textId="5376F095" w:rsidR="009B6A12" w:rsidRPr="00FA6CC3" w:rsidRDefault="00171818" w:rsidP="00FA6CC3">
      <w:pPr>
        <w:spacing w:line="276" w:lineRule="auto"/>
        <w:jc w:val="both"/>
        <w:rPr>
          <w:color w:val="000000" w:themeColor="text1"/>
        </w:rPr>
      </w:pPr>
      <w:r>
        <w:t>The robust manufacturing</w:t>
      </w:r>
      <w:r w:rsidR="002B70CC" w:rsidRPr="00170887">
        <w:t xml:space="preserve"> growth of past decades Bangladesh has also </w:t>
      </w:r>
      <w:r>
        <w:t xml:space="preserve">helped in structurally transforming </w:t>
      </w:r>
      <w:r w:rsidR="00B43205">
        <w:t xml:space="preserve">of the economy </w:t>
      </w:r>
      <w:r w:rsidR="002B70CC" w:rsidRPr="002F4A5E">
        <w:t>with sha</w:t>
      </w:r>
      <w:r w:rsidR="00B43205">
        <w:t>re of industry in GDP rising, compensating</w:t>
      </w:r>
      <w:r w:rsidR="002B70CC" w:rsidRPr="002F4A5E">
        <w:t xml:space="preserve"> the decline i</w:t>
      </w:r>
      <w:r w:rsidR="00116059">
        <w:t>n the size of agriculture (Fig 11 and 12</w:t>
      </w:r>
      <w:r w:rsidR="002B70CC" w:rsidRPr="002F4A5E">
        <w:rPr>
          <w:lang w:val="bn-IN"/>
        </w:rPr>
        <w:t>)</w:t>
      </w:r>
      <w:r w:rsidR="002B70CC" w:rsidRPr="002F4A5E">
        <w:t xml:space="preserve">. </w:t>
      </w:r>
      <w:r w:rsidR="00AA4CEB" w:rsidRPr="002F4A5E">
        <w:t>Manufacturing, which account</w:t>
      </w:r>
      <w:r w:rsidR="00AA4CEB">
        <w:t xml:space="preserve">s for 70% of industry and has been </w:t>
      </w:r>
      <w:r w:rsidR="00AA4CEB" w:rsidRPr="002F4A5E">
        <w:t xml:space="preserve">driving </w:t>
      </w:r>
      <w:r w:rsidR="00AA4CEB">
        <w:t xml:space="preserve">the </w:t>
      </w:r>
      <w:r w:rsidR="00AA4CEB" w:rsidRPr="002F4A5E">
        <w:t>structural transformation</w:t>
      </w:r>
      <w:r w:rsidR="00AA4CEB">
        <w:t>, will have</w:t>
      </w:r>
      <w:r w:rsidR="00AA4CEB" w:rsidRPr="002F4A5E">
        <w:t xml:space="preserve"> to continue to lead growth acceleration for many </w:t>
      </w:r>
      <w:r w:rsidR="00AA4CEB">
        <w:t xml:space="preserve">more </w:t>
      </w:r>
      <w:r w:rsidR="00B43205">
        <w:t xml:space="preserve">years to come.  </w:t>
      </w:r>
      <w:r w:rsidR="00997A22" w:rsidRPr="00DC7401">
        <w:rPr>
          <w:color w:val="000000" w:themeColor="text1"/>
        </w:rPr>
        <w:t xml:space="preserve">At the same time it has to remain globally competitive and ahead of the curve, </w:t>
      </w:r>
      <w:r w:rsidR="00DC7401" w:rsidRPr="00DC7401">
        <w:rPr>
          <w:color w:val="000000" w:themeColor="text1"/>
        </w:rPr>
        <w:t xml:space="preserve">where </w:t>
      </w:r>
      <w:r w:rsidR="00997A22" w:rsidRPr="00DC7401">
        <w:rPr>
          <w:color w:val="000000" w:themeColor="text1"/>
        </w:rPr>
        <w:t xml:space="preserve">a high performing manufacturing sector will have to reach a high level of industrial sophistication meeting internationally recognized standards of product quality within a compliant production environment. </w:t>
      </w:r>
    </w:p>
    <w:p w14:paraId="69F083BF" w14:textId="77777777" w:rsidR="00FA6CC3" w:rsidRDefault="00FA6CC3" w:rsidP="009B6A12">
      <w:pPr>
        <w:pStyle w:val="Heading5"/>
      </w:pPr>
    </w:p>
    <w:p w14:paraId="0ED7225C" w14:textId="6442ED2D" w:rsidR="002B70CC" w:rsidRPr="00115340" w:rsidRDefault="00116059" w:rsidP="009B6A12">
      <w:pPr>
        <w:pStyle w:val="Heading5"/>
      </w:pPr>
      <w:r w:rsidRPr="00116059">
        <w:t>Figure 11</w:t>
      </w:r>
      <w:r w:rsidR="002B70CC" w:rsidRPr="00116059">
        <w:t>:  Progress with Structural Change</w:t>
      </w:r>
    </w:p>
    <w:p w14:paraId="74B30E72" w14:textId="77777777" w:rsidR="00FA6CC3" w:rsidRDefault="002B70CC" w:rsidP="00FA6CC3">
      <w:pPr>
        <w:spacing w:after="120"/>
        <w:ind w:left="360"/>
        <w:jc w:val="center"/>
      </w:pPr>
      <w:r w:rsidRPr="00492171">
        <w:rPr>
          <w:noProof/>
        </w:rPr>
        <w:drawing>
          <wp:inline distT="0" distB="0" distL="0" distR="0" wp14:anchorId="5B67E30B" wp14:editId="78C448CC">
            <wp:extent cx="4300220" cy="1988820"/>
            <wp:effectExtent l="0" t="0" r="17780" b="17780"/>
            <wp:docPr id="18" name="Char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53DE84" w14:textId="30C3FDE8" w:rsidR="00286569" w:rsidRPr="00FA6CC3" w:rsidRDefault="00FA6CC3" w:rsidP="00FA6CC3">
      <w:pPr>
        <w:spacing w:after="120"/>
        <w:ind w:left="360"/>
      </w:pPr>
      <w:r>
        <w:rPr>
          <w:b/>
          <w:i/>
          <w:sz w:val="20"/>
          <w:szCs w:val="20"/>
        </w:rPr>
        <w:t xml:space="preserve">                  </w:t>
      </w:r>
      <w:r w:rsidR="002B70CC" w:rsidRPr="005F4B36">
        <w:rPr>
          <w:b/>
          <w:i/>
          <w:sz w:val="20"/>
          <w:szCs w:val="20"/>
        </w:rPr>
        <w:t>Source: BB</w:t>
      </w:r>
      <w:r w:rsidR="002B70CC">
        <w:rPr>
          <w:b/>
          <w:i/>
          <w:sz w:val="20"/>
          <w:szCs w:val="20"/>
        </w:rPr>
        <w:t>S</w:t>
      </w:r>
      <w:bookmarkStart w:id="9" w:name="_Toc384659414"/>
    </w:p>
    <w:p w14:paraId="393FDEDE" w14:textId="45AAC38A" w:rsidR="002B70CC" w:rsidRPr="002F4A5E" w:rsidRDefault="00116059" w:rsidP="002B70CC">
      <w:pPr>
        <w:pStyle w:val="Heading5"/>
      </w:pPr>
      <w:r w:rsidRPr="00116059">
        <w:t>Figure 12</w:t>
      </w:r>
      <w:r w:rsidR="002B70CC" w:rsidRPr="00116059">
        <w:t>: Sectoral Growth Trends</w:t>
      </w:r>
      <w:bookmarkEnd w:id="9"/>
    </w:p>
    <w:p w14:paraId="6255BBA5" w14:textId="77777777" w:rsidR="002B70CC" w:rsidRDefault="002B70CC" w:rsidP="002B70CC">
      <w:pPr>
        <w:jc w:val="center"/>
      </w:pPr>
      <w:r>
        <w:rPr>
          <w:noProof/>
        </w:rPr>
        <w:drawing>
          <wp:inline distT="0" distB="0" distL="0" distR="0" wp14:anchorId="6B6D5629" wp14:editId="5C8F5562">
            <wp:extent cx="5248275" cy="2514600"/>
            <wp:effectExtent l="19050" t="0" r="9525" b="0"/>
            <wp:docPr id="33"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E0C9059" w14:textId="77777777" w:rsidR="002B70CC" w:rsidRPr="0074210F" w:rsidRDefault="002B70CC" w:rsidP="002B70CC">
      <w:pPr>
        <w:ind w:left="720"/>
      </w:pPr>
      <w:r w:rsidRPr="0074210F">
        <w:rPr>
          <w:b/>
          <w:i/>
          <w:sz w:val="20"/>
          <w:szCs w:val="20"/>
        </w:rPr>
        <w:t xml:space="preserve">Source: National Accounts, BBS </w:t>
      </w:r>
    </w:p>
    <w:p w14:paraId="678C6EAE" w14:textId="77777777" w:rsidR="00286569" w:rsidRDefault="00286569" w:rsidP="00DC7401">
      <w:pPr>
        <w:spacing w:line="276" w:lineRule="auto"/>
        <w:jc w:val="both"/>
      </w:pPr>
    </w:p>
    <w:p w14:paraId="28398D91" w14:textId="2F7C6D39" w:rsidR="00003764" w:rsidRPr="00FA6CC3" w:rsidRDefault="00DC7401" w:rsidP="00FA6CC3">
      <w:pPr>
        <w:spacing w:line="276" w:lineRule="auto"/>
        <w:jc w:val="both"/>
      </w:pPr>
      <w:r w:rsidRPr="002D2E83">
        <w:t>In order to measure up to the needs, our manufacturing industry has to shape a course based on the</w:t>
      </w:r>
      <w:r w:rsidR="00B5035F" w:rsidRPr="002D2E83">
        <w:t xml:space="preserve"> </w:t>
      </w:r>
      <w:r w:rsidRPr="002D2E83">
        <w:t>global needs</w:t>
      </w:r>
      <w:r w:rsidR="00B5035F" w:rsidRPr="002D2E83">
        <w:t xml:space="preserve"> and national realities; but definitely will require higher levels of capital accumulation. The presence of Global Value Chains (GVCs) </w:t>
      </w:r>
      <w:r w:rsidRPr="002D2E83">
        <w:t>could provide</w:t>
      </w:r>
      <w:r w:rsidR="00B5035F" w:rsidRPr="002D2E83">
        <w:t xml:space="preserve"> a mechanism for firms and farms in </w:t>
      </w:r>
      <w:r w:rsidRPr="002D2E83">
        <w:t>Bangladesh</w:t>
      </w:r>
      <w:r w:rsidR="00B5035F" w:rsidRPr="002D2E83">
        <w:t xml:space="preserve"> to access the world market and advanced technologies</w:t>
      </w:r>
      <w:r w:rsidRPr="002D2E83">
        <w:t xml:space="preserve"> to reach that higher level of industrial sophistication and meeting internationally recognized standards of product quality within a compliant production environment</w:t>
      </w:r>
      <w:r w:rsidR="00B5035F" w:rsidRPr="002D2E83">
        <w:t xml:space="preserve">. </w:t>
      </w:r>
      <w:r w:rsidRPr="002D2E83">
        <w:t xml:space="preserve">These could happen, provided the right policy and institutional support is there and if the investment climate remains conducive for private sector to increase investments (both domestic and FDI). </w:t>
      </w:r>
      <w:r w:rsidR="005F7BAA" w:rsidRPr="002D2E83">
        <w:t xml:space="preserve">Particularly </w:t>
      </w:r>
      <w:r w:rsidR="005F7BAA" w:rsidRPr="002D2E83">
        <w:rPr>
          <w:rFonts w:eastAsia="HelveticaLTStd-Light"/>
        </w:rPr>
        <w:t>f</w:t>
      </w:r>
      <w:r w:rsidR="00B5035F" w:rsidRPr="002D2E83">
        <w:rPr>
          <w:rFonts w:eastAsia="HelveticaLTStd-Light"/>
        </w:rPr>
        <w:t>or accessing world markets and advanced technologies</w:t>
      </w:r>
      <w:r w:rsidR="005F7BAA" w:rsidRPr="002D2E83">
        <w:rPr>
          <w:rFonts w:eastAsia="HelveticaLTStd-Light"/>
        </w:rPr>
        <w:t xml:space="preserve"> and to cash on the GVC opportunity</w:t>
      </w:r>
      <w:r w:rsidR="00B5035F" w:rsidRPr="002D2E83">
        <w:rPr>
          <w:rFonts w:eastAsia="HelveticaLTStd-Light"/>
        </w:rPr>
        <w:t xml:space="preserve"> it will </w:t>
      </w:r>
      <w:r w:rsidR="005F7BAA" w:rsidRPr="002D2E83">
        <w:rPr>
          <w:rFonts w:eastAsia="HelveticaLTStd-Light"/>
        </w:rPr>
        <w:t xml:space="preserve">also </w:t>
      </w:r>
      <w:r w:rsidR="00B5035F" w:rsidRPr="002D2E83">
        <w:rPr>
          <w:rFonts w:eastAsia="HelveticaLTStd-Light"/>
        </w:rPr>
        <w:t>be critic</w:t>
      </w:r>
      <w:r w:rsidR="005F7BAA" w:rsidRPr="002D2E83">
        <w:rPr>
          <w:rFonts w:eastAsia="HelveticaLTStd-Light"/>
        </w:rPr>
        <w:t>al to have increased levels of manufacturing FDI.</w:t>
      </w:r>
      <w:r w:rsidR="00B5035F" w:rsidRPr="002D2E83">
        <w:rPr>
          <w:rFonts w:eastAsia="HelveticaLTStd-Light"/>
        </w:rPr>
        <w:t xml:space="preserve"> </w:t>
      </w:r>
      <w:r w:rsidR="005F7BAA" w:rsidRPr="002D2E83">
        <w:rPr>
          <w:rFonts w:eastAsia="HelveticaLTStd-Light"/>
        </w:rPr>
        <w:t xml:space="preserve">The government has been trying to provide support for this </w:t>
      </w:r>
      <w:r w:rsidR="002D2E83" w:rsidRPr="002D2E83">
        <w:rPr>
          <w:rFonts w:eastAsia="HelveticaLTStd-Light"/>
        </w:rPr>
        <w:t xml:space="preserve">through setting up </w:t>
      </w:r>
      <w:r w:rsidR="00F95D53" w:rsidRPr="002D2E83">
        <w:rPr>
          <w:rFonts w:eastAsia="HelveticaLTStd-Light"/>
        </w:rPr>
        <w:t xml:space="preserve">of </w:t>
      </w:r>
      <w:r w:rsidR="00F95D53">
        <w:rPr>
          <w:rFonts w:eastAsia="HelveticaLTStd-Light"/>
        </w:rPr>
        <w:t>SEZs</w:t>
      </w:r>
      <w:r w:rsidR="002D2E83" w:rsidRPr="002D2E83">
        <w:rPr>
          <w:rFonts w:eastAsia="HelveticaLTStd-Light"/>
        </w:rPr>
        <w:t>.</w:t>
      </w:r>
    </w:p>
    <w:p w14:paraId="2C23B055" w14:textId="2BBAB9D9" w:rsidR="00CE32CA" w:rsidRPr="00C97C9B" w:rsidRDefault="009B6A12" w:rsidP="00CE32CA">
      <w:pPr>
        <w:spacing w:after="100" w:afterAutospacing="1" w:line="276" w:lineRule="auto"/>
        <w:jc w:val="both"/>
        <w:rPr>
          <w:b/>
        </w:rPr>
      </w:pPr>
      <w:r>
        <w:rPr>
          <w:b/>
        </w:rPr>
        <w:t>3</w:t>
      </w:r>
      <w:r w:rsidR="00883845">
        <w:rPr>
          <w:b/>
        </w:rPr>
        <w:t>.1</w:t>
      </w:r>
      <w:r w:rsidR="00CE32CA" w:rsidRPr="00072CE8">
        <w:rPr>
          <w:b/>
        </w:rPr>
        <w:t xml:space="preserve"> </w:t>
      </w:r>
      <w:r w:rsidR="00883845">
        <w:rPr>
          <w:b/>
        </w:rPr>
        <w:t xml:space="preserve">Improving </w:t>
      </w:r>
      <w:r w:rsidR="00CE32CA" w:rsidRPr="00072CE8">
        <w:rPr>
          <w:b/>
        </w:rPr>
        <w:t xml:space="preserve">Doing Business Environment – </w:t>
      </w:r>
      <w:r w:rsidR="00883845">
        <w:rPr>
          <w:b/>
        </w:rPr>
        <w:t xml:space="preserve">Bangladesh needs to </w:t>
      </w:r>
      <w:r w:rsidR="00C63FDE">
        <w:rPr>
          <w:b/>
        </w:rPr>
        <w:t xml:space="preserve">do </w:t>
      </w:r>
      <w:r w:rsidR="00883845">
        <w:rPr>
          <w:b/>
        </w:rPr>
        <w:t xml:space="preserve">much better for attracting </w:t>
      </w:r>
      <w:r w:rsidR="00C63FDE">
        <w:rPr>
          <w:b/>
        </w:rPr>
        <w:t>higher levels of i</w:t>
      </w:r>
      <w:r w:rsidR="00CE32CA" w:rsidRPr="00072CE8">
        <w:rPr>
          <w:b/>
        </w:rPr>
        <w:t xml:space="preserve">nvestment </w:t>
      </w:r>
    </w:p>
    <w:p w14:paraId="188BF356" w14:textId="23F4B39E" w:rsidR="004417EA" w:rsidRDefault="00C528D4" w:rsidP="00D23099">
      <w:pPr>
        <w:spacing w:after="240" w:line="276" w:lineRule="auto"/>
      </w:pPr>
      <w:r w:rsidRPr="00A126FA">
        <w:t xml:space="preserve">The two most important determinants for private sector investment are the cost of doing business and the incentive structure. In order to spur private investments (both domestic and FDI), it will be necessary to reduce cost of doing business relative to competing countries, which in turn will provide the necessary returns to </w:t>
      </w:r>
      <w:r w:rsidR="00A126FA">
        <w:t xml:space="preserve">entrepreneurs in incentivizing them in </w:t>
      </w:r>
      <w:r w:rsidRPr="00A126FA">
        <w:t xml:space="preserve">taking the </w:t>
      </w:r>
      <w:r w:rsidR="00A126FA" w:rsidRPr="00A126FA">
        <w:t>long-term</w:t>
      </w:r>
      <w:r w:rsidRPr="00A126FA">
        <w:t xml:space="preserve"> risks of investments.  This entails </w:t>
      </w:r>
      <w:r w:rsidR="00A126FA">
        <w:t>not only having</w:t>
      </w:r>
      <w:r w:rsidR="00CE32CA" w:rsidRPr="00A126FA">
        <w:t xml:space="preserve"> in place investor friendly supportive policies, along with strengthened legal, regulatory and oth</w:t>
      </w:r>
      <w:r w:rsidRPr="00A126FA">
        <w:t xml:space="preserve">er supporting institutions, but also </w:t>
      </w:r>
      <w:r w:rsidR="00CE32CA" w:rsidRPr="00A126FA">
        <w:t>taking specific measures to sort out the challenges that faces investors including infrastructure, logistics, facilitating services, land and skills</w:t>
      </w:r>
      <w:r w:rsidR="00A126FA">
        <w:t xml:space="preserve"> related challenges</w:t>
      </w:r>
      <w:r w:rsidR="00CE32CA" w:rsidRPr="00A126FA">
        <w:t xml:space="preserve">.   </w:t>
      </w:r>
      <w:r w:rsidR="00A126FA" w:rsidRPr="00A126FA">
        <w:t>This is what is usually referred to as the prevailing investment climate of country.</w:t>
      </w:r>
    </w:p>
    <w:p w14:paraId="5B22407F" w14:textId="3C9F6768" w:rsidR="00CE32CA" w:rsidRPr="00D509FD" w:rsidRDefault="00CE32CA" w:rsidP="00A126FA">
      <w:pPr>
        <w:spacing w:line="276" w:lineRule="auto"/>
        <w:rPr>
          <w:i/>
        </w:rPr>
      </w:pPr>
      <w:r w:rsidRPr="00A06919">
        <w:rPr>
          <w:i/>
        </w:rPr>
        <w:t>Investment climate</w:t>
      </w:r>
      <w:r>
        <w:t xml:space="preserve"> </w:t>
      </w:r>
      <w:r w:rsidRPr="00D509FD">
        <w:t>reflects</w:t>
      </w:r>
      <w:r w:rsidRPr="009E3261">
        <w:t xml:space="preserve"> the overall business environment in the country, which not only reduces the cost of doing business but also allows private sector to operate their businesses in a more transparent and hassle free institutional setting.  It is important for good investment climate to have in place policy certainty and a non-discriminatory regulatory environment, which in turn gives investors</w:t>
      </w:r>
      <w:r w:rsidR="00A126FA">
        <w:t xml:space="preserve"> the comfort level to invest.  </w:t>
      </w:r>
      <w:r w:rsidRPr="009E3261">
        <w:t>So policy and institutions are at the core of investment climate as much as that of facilitating infrastructure</w:t>
      </w:r>
      <w:r>
        <w:t>.</w:t>
      </w:r>
    </w:p>
    <w:p w14:paraId="4C11244C" w14:textId="77777777" w:rsidR="00CE32CA" w:rsidRDefault="00CE32CA" w:rsidP="004417EA">
      <w:pPr>
        <w:spacing w:line="276" w:lineRule="auto"/>
        <w:jc w:val="both"/>
      </w:pPr>
    </w:p>
    <w:p w14:paraId="2A028EFB" w14:textId="7C40CB2F" w:rsidR="004417EA" w:rsidRDefault="004417EA" w:rsidP="004417EA">
      <w:pPr>
        <w:spacing w:line="276" w:lineRule="auto"/>
        <w:jc w:val="both"/>
      </w:pPr>
      <w:r w:rsidRPr="007A2EFA">
        <w:t xml:space="preserve">Investor surveys </w:t>
      </w:r>
      <w:r w:rsidR="00022983">
        <w:t>like Investment Climate Assessments (ICA) or Doing Business</w:t>
      </w:r>
      <w:r w:rsidR="006879CA">
        <w:t xml:space="preserve"> (DB)</w:t>
      </w:r>
      <w:r w:rsidR="00022983">
        <w:t xml:space="preserve"> </w:t>
      </w:r>
      <w:r w:rsidRPr="007A2EFA">
        <w:t>show that what matters more for investors is the general investment climate and competitiveness of the economy. Long delays in contract enforcement, limited access to serviced land, power and gas shortages and red tape have all become major constraints to investment in Bangladesh.</w:t>
      </w:r>
      <w:r>
        <w:t xml:space="preserve">  These are what raise cost of doing business in Bangladesh where it features very poorly and very low in almost all the indices. </w:t>
      </w:r>
      <w:r w:rsidRPr="00B1227D">
        <w:t>As indicated above primary reason for the lower-than-expected increase in private investment during the SFYP and first two years of 7</w:t>
      </w:r>
      <w:r w:rsidRPr="00B1227D">
        <w:rPr>
          <w:vertAlign w:val="superscript"/>
        </w:rPr>
        <w:t>th</w:t>
      </w:r>
      <w:r w:rsidRPr="00B1227D">
        <w:t xml:space="preserve"> FYP has been the continued weakness in the investment climate.  While some domestic private investments are coming there has been very little FDI flowing in, particularly in the manufacturing sector. The inability to attract adequate foreign private investment can only be attributed to a poor investment climate, and the better performance of FDI in neighboring countries is a reflection of this. </w:t>
      </w:r>
    </w:p>
    <w:p w14:paraId="3F33FC04" w14:textId="77777777" w:rsidR="004417EA" w:rsidRDefault="004417EA" w:rsidP="004417EA">
      <w:pPr>
        <w:spacing w:line="276" w:lineRule="auto"/>
        <w:jc w:val="both"/>
      </w:pPr>
    </w:p>
    <w:p w14:paraId="6AB212A8" w14:textId="1D85D297" w:rsidR="00D509FD" w:rsidRPr="00B1227D" w:rsidRDefault="004417EA" w:rsidP="00D509FD">
      <w:pPr>
        <w:spacing w:line="276" w:lineRule="auto"/>
        <w:jc w:val="both"/>
      </w:pPr>
      <w:r>
        <w:t>Capital deepening supported by higher rates of private investments (includes PPP investments in infrastructure) and robust and efficient implementation of public investments will be key driver for Bangladesh to attain its vers</w:t>
      </w:r>
      <w:r w:rsidR="00A126FA">
        <w:t>ion of attainment of HIC around 2041</w:t>
      </w:r>
      <w:r>
        <w:t xml:space="preserve">.  As manufacturing and exports will be the key vehicles achieving this visionary goal, all effort should be in ensuring a very robust response to investment needs, both from the private and public sectors. </w:t>
      </w:r>
      <w:r w:rsidR="00D509FD" w:rsidRPr="00B1227D">
        <w:t>The Government needs to address this challenge much more comprehensively in order to further spur the growth of manufacturing to reach double-digit</w:t>
      </w:r>
      <w:r w:rsidR="00D509FD">
        <w:t xml:space="preserve"> rate, and critical for this to happen is to bring about substantive improvemen</w:t>
      </w:r>
      <w:r w:rsidR="005D566D">
        <w:t xml:space="preserve">t in Bangladesh’s </w:t>
      </w:r>
      <w:r w:rsidR="005D566D" w:rsidRPr="005D566D">
        <w:rPr>
          <w:i/>
        </w:rPr>
        <w:t>“I</w:t>
      </w:r>
      <w:r w:rsidR="00D509FD" w:rsidRPr="005D566D">
        <w:rPr>
          <w:i/>
        </w:rPr>
        <w:t>nvestment Climate</w:t>
      </w:r>
      <w:r w:rsidR="005D566D" w:rsidRPr="005D566D">
        <w:rPr>
          <w:i/>
        </w:rPr>
        <w:t>”</w:t>
      </w:r>
      <w:r w:rsidR="00D509FD" w:rsidRPr="005D566D">
        <w:rPr>
          <w:i/>
        </w:rPr>
        <w:t>.</w:t>
      </w:r>
    </w:p>
    <w:p w14:paraId="2B7A72A6" w14:textId="77777777" w:rsidR="00D509FD" w:rsidRDefault="00D509FD" w:rsidP="005D566D">
      <w:pPr>
        <w:spacing w:line="276" w:lineRule="auto"/>
        <w:jc w:val="both"/>
        <w:rPr>
          <w:color w:val="548DD4" w:themeColor="text2" w:themeTint="99"/>
        </w:rPr>
      </w:pPr>
    </w:p>
    <w:p w14:paraId="7CD260C4" w14:textId="69E92BA4" w:rsidR="00AA2BC2" w:rsidRPr="00D23099" w:rsidRDefault="009B6A12" w:rsidP="00D23099">
      <w:pPr>
        <w:spacing w:line="276" w:lineRule="auto"/>
        <w:jc w:val="both"/>
      </w:pPr>
      <w:r>
        <w:rPr>
          <w:b/>
        </w:rPr>
        <w:t>3</w:t>
      </w:r>
      <w:r w:rsidR="00883845">
        <w:rPr>
          <w:b/>
        </w:rPr>
        <w:t>.2</w:t>
      </w:r>
      <w:r w:rsidR="00D23099">
        <w:rPr>
          <w:b/>
        </w:rPr>
        <w:t xml:space="preserve"> Improving </w:t>
      </w:r>
      <w:r w:rsidR="00D23099" w:rsidRPr="007E413B">
        <w:rPr>
          <w:b/>
        </w:rPr>
        <w:t>Investment Climate and Reducing Cost of Doing Business</w:t>
      </w:r>
      <w:r w:rsidR="00D23099">
        <w:rPr>
          <w:b/>
        </w:rPr>
        <w:t xml:space="preserve"> is need for spurring private sector investments</w:t>
      </w:r>
      <w:r w:rsidR="00D23099" w:rsidRPr="007E413B">
        <w:rPr>
          <w:b/>
        </w:rPr>
        <w:t>:</w:t>
      </w:r>
      <w:r w:rsidR="00D23099" w:rsidRPr="007E413B">
        <w:t xml:space="preserve"> </w:t>
      </w:r>
    </w:p>
    <w:p w14:paraId="2DD7415B" w14:textId="77777777" w:rsidR="00AA2BC2" w:rsidRPr="00C82F92" w:rsidRDefault="00AA2BC2" w:rsidP="00C82F92">
      <w:pPr>
        <w:spacing w:line="276" w:lineRule="auto"/>
        <w:rPr>
          <w:b/>
        </w:rPr>
      </w:pPr>
    </w:p>
    <w:p w14:paraId="164842B6" w14:textId="7040EC9F" w:rsidR="00B84B02" w:rsidRPr="00B84B02" w:rsidRDefault="00D509FD" w:rsidP="00B84B02">
      <w:pPr>
        <w:pStyle w:val="ListParagraph"/>
        <w:spacing w:after="240" w:line="276" w:lineRule="auto"/>
        <w:ind w:left="0"/>
        <w:contextualSpacing w:val="0"/>
        <w:jc w:val="both"/>
      </w:pPr>
      <w:r w:rsidRPr="00853E09">
        <w:rPr>
          <w:b/>
          <w:i/>
        </w:rPr>
        <w:t xml:space="preserve">An efficient and supportive regulatory environment </w:t>
      </w:r>
      <w:r w:rsidR="005D566D" w:rsidRPr="00853E09">
        <w:rPr>
          <w:b/>
          <w:i/>
        </w:rPr>
        <w:t>a must for improved investment climate</w:t>
      </w:r>
      <w:r w:rsidR="005D566D" w:rsidRPr="00B84B02">
        <w:rPr>
          <w:b/>
          <w:i/>
        </w:rPr>
        <w:t>:</w:t>
      </w:r>
      <w:r w:rsidR="005D566D" w:rsidRPr="00B84B02">
        <w:t xml:space="preserve"> </w:t>
      </w:r>
      <w:r w:rsidR="00547D0E" w:rsidRPr="00B84B02">
        <w:t xml:space="preserve"> </w:t>
      </w:r>
      <w:r w:rsidR="00B2157E" w:rsidRPr="00B84B02">
        <w:t xml:space="preserve">The regulatory environment for business can have a determining influence on private investment (World Bank 2004). </w:t>
      </w:r>
      <w:r w:rsidR="00B84B02" w:rsidRPr="00B84B02">
        <w:t xml:space="preserve"> </w:t>
      </w:r>
      <w:r w:rsidR="00AC7C16" w:rsidRPr="00B84B02">
        <w:t xml:space="preserve">Laws, regulations and rules are integral part of a country’s governance structure. These are implemented and enforced through a web of institutions. </w:t>
      </w:r>
      <w:r w:rsidR="00450D94" w:rsidRPr="00B84B02">
        <w:t xml:space="preserve"> </w:t>
      </w:r>
      <w:r w:rsidR="00B84B02" w:rsidRPr="00B84B02">
        <w:t xml:space="preserve">Complex regulations and bureaucratic hurdles tend to increase the transaction costs of doing business and thereby hurt the growth of investment. On the other hand enabling regulations that protect investor interests and simplify business transactions encourage private investment.  </w:t>
      </w:r>
      <w:r w:rsidR="00920BDA" w:rsidRPr="00B84B02">
        <w:t xml:space="preserve">A report by IFC’s Foreign Investment Advisory Service (FIAS) finds that the biggest problem with regulation in Bangladesh is that existing laws are not applied or enforced properly. Part of the reason for lax enforcement is regulatory capture. </w:t>
      </w:r>
      <w:r w:rsidR="00853E09" w:rsidRPr="00B84B02">
        <w:t>The FIAS study points out that very o</w:t>
      </w:r>
      <w:r w:rsidR="00920BDA" w:rsidRPr="00B84B02">
        <w:t>ften, the chief ailment is over regulation, and, occasionally, under regulation or poor regulati</w:t>
      </w:r>
      <w:r w:rsidR="00853E09" w:rsidRPr="00B84B02">
        <w:t xml:space="preserve">on. Regulations tend to be made </w:t>
      </w:r>
      <w:r w:rsidR="00920BDA" w:rsidRPr="00B84B02">
        <w:t xml:space="preserve">without proper social cost and </w:t>
      </w:r>
      <w:r w:rsidR="00853E09" w:rsidRPr="00B84B02">
        <w:t>benefit analysis of regulations, and there is no practice of undertaking</w:t>
      </w:r>
      <w:r w:rsidR="00920BDA" w:rsidRPr="00B84B02">
        <w:t xml:space="preserve"> any Regulatory Impact Assessment (RIA) that takes into account enforcement cost, compliance cost, or the negative externaliti</w:t>
      </w:r>
      <w:r w:rsidR="00853E09" w:rsidRPr="00B84B02">
        <w:t xml:space="preserve">es arising from new regulation.  </w:t>
      </w:r>
    </w:p>
    <w:p w14:paraId="25B3A9F5" w14:textId="7BCA2DB4" w:rsidR="00B2157E" w:rsidRPr="00B84B02" w:rsidRDefault="00B84B02" w:rsidP="00B84B02">
      <w:pPr>
        <w:autoSpaceDE w:val="0"/>
        <w:autoSpaceDN w:val="0"/>
        <w:adjustRightInd w:val="0"/>
        <w:spacing w:line="276" w:lineRule="auto"/>
      </w:pPr>
      <w:r w:rsidRPr="00B84B02">
        <w:t xml:space="preserve">In today’s globalized world where capital is fairly mobile, weak domestic investment climate riddled with too many regulations and bureaucratic hurdles will not only adversely affect the inflow of foreign investment but can also cause domestic capital flight to more hospitable investment environment.   </w:t>
      </w:r>
      <w:r w:rsidR="00853E09" w:rsidRPr="00B84B02">
        <w:t xml:space="preserve">These impact the Doing Business environment and the related indices where Bangladesh continues to perform poorly, and raises risks for good investors. </w:t>
      </w:r>
      <w:r w:rsidR="00B2157E" w:rsidRPr="00B84B02">
        <w:t xml:space="preserve">Making the regulatory environment more business-friendly by improving governance and strengthening institutions will be a pre-requisite for sustained high growth performance of the manufacturing sector necessary for attaining UMIC status, and then moving towards the much desired HIC. </w:t>
      </w:r>
    </w:p>
    <w:p w14:paraId="4B97F2E6" w14:textId="6162AF84" w:rsidR="00920BDA" w:rsidRPr="00B84B02" w:rsidRDefault="00920BDA" w:rsidP="00B84B02">
      <w:pPr>
        <w:spacing w:line="276" w:lineRule="auto"/>
      </w:pPr>
    </w:p>
    <w:p w14:paraId="3B1C6F55" w14:textId="5639F0AF" w:rsidR="00B2157E" w:rsidRPr="00B84B02" w:rsidRDefault="00D23099" w:rsidP="00B84B02">
      <w:pPr>
        <w:autoSpaceDE w:val="0"/>
        <w:autoSpaceDN w:val="0"/>
        <w:adjustRightInd w:val="0"/>
        <w:spacing w:line="276" w:lineRule="auto"/>
      </w:pPr>
      <w:r>
        <w:rPr>
          <w:b/>
          <w:i/>
        </w:rPr>
        <w:t>For attaining</w:t>
      </w:r>
      <w:r w:rsidR="00B84B02" w:rsidRPr="00B84B02">
        <w:rPr>
          <w:b/>
          <w:i/>
        </w:rPr>
        <w:t xml:space="preserve"> higher levels of investments</w:t>
      </w:r>
      <w:r>
        <w:rPr>
          <w:b/>
          <w:i/>
        </w:rPr>
        <w:t xml:space="preserve"> -</w:t>
      </w:r>
      <w:r w:rsidR="00B84B02" w:rsidRPr="00B84B02">
        <w:rPr>
          <w:b/>
          <w:i/>
        </w:rPr>
        <w:t xml:space="preserve"> the markets needs to function efficiently.</w:t>
      </w:r>
      <w:r w:rsidR="00B84B02" w:rsidRPr="00B84B02">
        <w:t xml:space="preserve"> </w:t>
      </w:r>
    </w:p>
    <w:p w14:paraId="21F43C4A" w14:textId="4A1705A8" w:rsidR="00853E09" w:rsidRPr="00B84B02" w:rsidRDefault="00B2157E" w:rsidP="00B84B02">
      <w:pPr>
        <w:autoSpaceDE w:val="0"/>
        <w:autoSpaceDN w:val="0"/>
        <w:adjustRightInd w:val="0"/>
        <w:spacing w:line="276" w:lineRule="auto"/>
      </w:pPr>
      <w:r w:rsidRPr="00B84B02">
        <w:t xml:space="preserve">An important outcome of good investment climate is a better functioning market. Effective functioning of markets, governance, and institutions are prerequisite for a vibrant private sector ready to invest at higher levels.  Markets depend on a complex array of public institutions that shape the quality and effectiveness of governance, which plays a pivotal role in getting markets to work efficiently. It is critical that governments complement markets, encourage rather than penalize entrepreneurship and competition, uphold the rule of law, and limit bureaucratic harassment and corruption. In short, they should provide the foundation of good governance for harnessing higher levels of investments, which will particularly be needed for the desired manufacturing growth to take place. </w:t>
      </w:r>
    </w:p>
    <w:p w14:paraId="0D14B481" w14:textId="77777777" w:rsidR="00920BDA" w:rsidRPr="00B84B02" w:rsidRDefault="00920BDA" w:rsidP="00B84B02">
      <w:pPr>
        <w:spacing w:line="276" w:lineRule="auto"/>
      </w:pPr>
    </w:p>
    <w:p w14:paraId="2D6EF9F4" w14:textId="59EAF5AB" w:rsidR="00A06919" w:rsidRDefault="009F570C" w:rsidP="00F25E4B">
      <w:pPr>
        <w:spacing w:line="276" w:lineRule="auto"/>
      </w:pPr>
      <w:r w:rsidRPr="00D23099">
        <w:rPr>
          <w:b/>
          <w:i/>
        </w:rPr>
        <w:t>Bangladesh lags behind in different globally accepted indices r</w:t>
      </w:r>
      <w:r w:rsidR="00AD72DF" w:rsidRPr="00D23099">
        <w:rPr>
          <w:b/>
          <w:i/>
        </w:rPr>
        <w:t>elating to business environment.</w:t>
      </w:r>
      <w:r w:rsidR="00AD72DF" w:rsidRPr="00B84B02">
        <w:t xml:space="preserve"> </w:t>
      </w:r>
      <w:r w:rsidR="00EC307A" w:rsidRPr="00B84B02">
        <w:t xml:space="preserve">The prevailing regulatory regime of Bangladesh is to be severely challenging as has been reflected in different global indices including the Global Competitiveness Index (GCI) and the World Bank-IFC published Doing Business (DB) indicators. </w:t>
      </w:r>
      <w:r w:rsidR="00AD72DF" w:rsidRPr="00B84B02">
        <w:t>Review of both the GCI and the DB indicators also point out the deficiency in supportive infrastructure and Logistic facilities when compared to other countries.  While inadequate regulations and inadequately functioning institutions raise cost of doing business, so also is inadequacy of supporting infrastructure and logistics</w:t>
      </w:r>
      <w:r w:rsidR="00D23099">
        <w:t xml:space="preserve">.  It is important to note that it is a competitive world and it is not just enough to make </w:t>
      </w:r>
      <w:r w:rsidR="00F25E4B">
        <w:t xml:space="preserve">improvements in all of the </w:t>
      </w:r>
      <w:r w:rsidR="00634840">
        <w:t>above-mentioned</w:t>
      </w:r>
      <w:r w:rsidR="00F25E4B">
        <w:t xml:space="preserve"> constraints, but it is equally important to be ahead of competitors as those countries are also making efforts to improve. </w:t>
      </w:r>
    </w:p>
    <w:p w14:paraId="46B99D2A" w14:textId="77777777" w:rsidR="00F25E4B" w:rsidRPr="00F25E4B" w:rsidRDefault="00F25E4B" w:rsidP="00F25E4B">
      <w:pPr>
        <w:spacing w:line="276" w:lineRule="auto"/>
      </w:pPr>
    </w:p>
    <w:p w14:paraId="229D6983" w14:textId="6D1EB835" w:rsidR="00FF2785" w:rsidRPr="00FF2785" w:rsidRDefault="009B6A12" w:rsidP="00EC5CE1">
      <w:pPr>
        <w:pStyle w:val="ListParagraph"/>
        <w:spacing w:after="240" w:line="276" w:lineRule="auto"/>
        <w:ind w:left="0"/>
        <w:contextualSpacing w:val="0"/>
      </w:pPr>
      <w:r>
        <w:rPr>
          <w:b/>
        </w:rPr>
        <w:t>3</w:t>
      </w:r>
      <w:r w:rsidR="00883845">
        <w:rPr>
          <w:b/>
        </w:rPr>
        <w:t>.3</w:t>
      </w:r>
      <w:r w:rsidR="00EC5CE1">
        <w:rPr>
          <w:b/>
        </w:rPr>
        <w:t xml:space="preserve"> </w:t>
      </w:r>
      <w:r w:rsidR="00EC5CE1" w:rsidRPr="00C82F92">
        <w:rPr>
          <w:b/>
        </w:rPr>
        <w:t>Bangladesh Investment Climate in</w:t>
      </w:r>
      <w:r w:rsidR="00EC5CE1">
        <w:rPr>
          <w:b/>
        </w:rPr>
        <w:t xml:space="preserve"> Comparison </w:t>
      </w:r>
      <w:r w:rsidR="00B84B02" w:rsidRPr="00FF2785">
        <w:rPr>
          <w:b/>
        </w:rPr>
        <w:t xml:space="preserve">to </w:t>
      </w:r>
      <w:r w:rsidR="00AC0C78" w:rsidRPr="00FF2785">
        <w:rPr>
          <w:b/>
        </w:rPr>
        <w:t>some competing Countries.</w:t>
      </w:r>
    </w:p>
    <w:p w14:paraId="3A5B46EA" w14:textId="030E9806" w:rsidR="00452D50" w:rsidRDefault="00452D50" w:rsidP="00452D50">
      <w:pPr>
        <w:pStyle w:val="ListParagraph"/>
        <w:spacing w:after="240" w:line="271" w:lineRule="auto"/>
        <w:ind w:left="0"/>
        <w:contextualSpacing w:val="0"/>
        <w:jc w:val="both"/>
      </w:pPr>
      <w:r w:rsidRPr="00452D50">
        <w:t>In recent years a range of cross- country indicators of investment climate are regularly prepared on an annual cycle by specialized international agencies based on investor surveys. These indicators provide very useful data on the emerging constraints to private investment.  While the implications of each constraint will likely vary by countries, the wealth of knowledge available from these global surveys can be productively used to inform policies.  These cross-country comparisons are especially useful to understand why some countries are able to attract more FDI inflows than others.</w:t>
      </w:r>
    </w:p>
    <w:p w14:paraId="30B65913" w14:textId="30D0941A" w:rsidR="00F96346" w:rsidRPr="00521D34" w:rsidRDefault="00F96346" w:rsidP="00007DF3">
      <w:pPr>
        <w:pStyle w:val="ListParagraph"/>
        <w:spacing w:after="240" w:line="276" w:lineRule="auto"/>
        <w:ind w:left="0"/>
        <w:contextualSpacing w:val="0"/>
        <w:jc w:val="both"/>
      </w:pPr>
      <w:r w:rsidRPr="00521D34">
        <w:rPr>
          <w:b/>
          <w:i/>
        </w:rPr>
        <w:t>The Global Competitiveness Index (GCI)</w:t>
      </w:r>
      <w:r w:rsidRPr="00521D34">
        <w:t xml:space="preserve"> prepared by the World Economic Forum has now become a fairly standard reference point for assessing the competitiveness of an economy in relation to other countries in the list.  The GCI measure is available as a composite index as well as by individual components that comprise the index.  The individual components (12) provide fairly in-depth views about the regulatory environment faced by investors in any country as well other factors affecting competiveness including macroeconomic environment, financial services, skills, infrastructure, institutions and technology.</w:t>
      </w:r>
    </w:p>
    <w:p w14:paraId="4B2B2CFE" w14:textId="77BC6388" w:rsidR="00634840" w:rsidRDefault="00F96346" w:rsidP="0029703F">
      <w:pPr>
        <w:pStyle w:val="ListParagraph"/>
        <w:spacing w:after="240" w:line="276" w:lineRule="auto"/>
        <w:ind w:left="0"/>
        <w:contextualSpacing w:val="0"/>
        <w:jc w:val="both"/>
      </w:pPr>
      <w:r w:rsidRPr="00521D34">
        <w:t xml:space="preserve">The trend in overall competitiveness of Bangladesh as measured by the GCI in relation to its competitors is illustrated in Figure </w:t>
      </w:r>
      <w:r w:rsidR="00634840" w:rsidRPr="00634840">
        <w:t>13</w:t>
      </w:r>
      <w:r w:rsidRPr="00634840">
        <w:t>.</w:t>
      </w:r>
      <w:r w:rsidRPr="00521D34">
        <w:t xml:space="preserve">  Although the number of countries covered in the surveys between 2008 and 2017 has changed slightly from 134 to 138, the relative cross-country rankings within a year are not affected.  Also, the inter-temporal trend showing relative progress across countries provides useful insights. </w:t>
      </w:r>
      <w:bookmarkStart w:id="10" w:name="_Toc480722570"/>
    </w:p>
    <w:p w14:paraId="4E8DAB2F" w14:textId="77777777" w:rsidR="009B6A12" w:rsidRDefault="009B6A12" w:rsidP="00F96346">
      <w:pPr>
        <w:pStyle w:val="Heading5"/>
      </w:pPr>
    </w:p>
    <w:p w14:paraId="08FC0347" w14:textId="3D354D8A" w:rsidR="00F96346" w:rsidRPr="00521D34" w:rsidRDefault="00F96346" w:rsidP="00F96346">
      <w:pPr>
        <w:pStyle w:val="Heading5"/>
      </w:pPr>
      <w:r w:rsidRPr="00521D34">
        <w:t xml:space="preserve">Figure </w:t>
      </w:r>
      <w:r w:rsidR="00634840">
        <w:t>13</w:t>
      </w:r>
      <w:r w:rsidRPr="00634840">
        <w:t>:</w:t>
      </w:r>
      <w:r w:rsidRPr="00521D34">
        <w:t xml:space="preserve"> Global Competitiveness Index (ranking)</w:t>
      </w:r>
      <w:bookmarkEnd w:id="10"/>
    </w:p>
    <w:p w14:paraId="47167889" w14:textId="77777777" w:rsidR="00F96346" w:rsidRDefault="00F96346" w:rsidP="00F96346">
      <w:pPr>
        <w:pStyle w:val="ListParagraph"/>
        <w:spacing w:after="120"/>
        <w:ind w:left="0" w:firstLine="720"/>
        <w:rPr>
          <w:b/>
          <w:bCs/>
          <w:i/>
          <w:iCs/>
          <w:sz w:val="20"/>
          <w:szCs w:val="20"/>
        </w:rPr>
      </w:pPr>
      <w:r>
        <w:rPr>
          <w:noProof/>
        </w:rPr>
        <w:drawing>
          <wp:inline distT="0" distB="0" distL="0" distR="0" wp14:anchorId="5803BD12" wp14:editId="227936BB">
            <wp:extent cx="5200650" cy="22860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1AED05" w14:textId="77777777" w:rsidR="00F96346" w:rsidRDefault="00F96346" w:rsidP="00F96346">
      <w:pPr>
        <w:pStyle w:val="ListParagraph"/>
        <w:spacing w:after="240"/>
        <w:ind w:left="0" w:firstLine="720"/>
        <w:contextualSpacing w:val="0"/>
        <w:jc w:val="both"/>
        <w:rPr>
          <w:b/>
          <w:bCs/>
          <w:i/>
          <w:iCs/>
          <w:sz w:val="20"/>
          <w:szCs w:val="20"/>
        </w:rPr>
      </w:pPr>
      <w:r w:rsidRPr="009806CC">
        <w:rPr>
          <w:b/>
          <w:bCs/>
          <w:i/>
          <w:iCs/>
          <w:sz w:val="20"/>
          <w:szCs w:val="20"/>
        </w:rPr>
        <w:t>Source: GCI, World Economic Forum (20</w:t>
      </w:r>
      <w:r>
        <w:rPr>
          <w:b/>
          <w:bCs/>
          <w:i/>
          <w:iCs/>
          <w:sz w:val="20"/>
          <w:szCs w:val="20"/>
        </w:rPr>
        <w:t>16</w:t>
      </w:r>
      <w:r w:rsidRPr="009806CC">
        <w:rPr>
          <w:b/>
          <w:bCs/>
          <w:i/>
          <w:iCs/>
          <w:sz w:val="20"/>
          <w:szCs w:val="20"/>
        </w:rPr>
        <w:t>-1</w:t>
      </w:r>
      <w:r>
        <w:rPr>
          <w:b/>
          <w:bCs/>
          <w:i/>
          <w:iCs/>
          <w:sz w:val="20"/>
          <w:szCs w:val="20"/>
        </w:rPr>
        <w:t>7</w:t>
      </w:r>
      <w:r w:rsidRPr="009806CC">
        <w:rPr>
          <w:b/>
          <w:bCs/>
          <w:i/>
          <w:iCs/>
          <w:sz w:val="20"/>
          <w:szCs w:val="20"/>
        </w:rPr>
        <w:t xml:space="preserve"> and 2008-09)</w:t>
      </w:r>
    </w:p>
    <w:p w14:paraId="33BD02CE" w14:textId="5269E690" w:rsidR="003F4B1F" w:rsidRPr="00521D34" w:rsidRDefault="003F4B1F" w:rsidP="003F4B1F">
      <w:pPr>
        <w:pStyle w:val="ListParagraph"/>
        <w:spacing w:after="240" w:line="276" w:lineRule="auto"/>
        <w:ind w:left="0"/>
        <w:contextualSpacing w:val="0"/>
        <w:jc w:val="both"/>
      </w:pPr>
      <w:r w:rsidRPr="00521D34">
        <w:t xml:space="preserve">The two main messages conveyed by </w:t>
      </w:r>
      <w:r w:rsidR="00521D34" w:rsidRPr="00634840">
        <w:t xml:space="preserve">Figure </w:t>
      </w:r>
      <w:r w:rsidR="00634840">
        <w:t>13</w:t>
      </w:r>
      <w:r w:rsidRPr="00521D34">
        <w:t xml:space="preserve"> are that: first, the competiveness of the Bangladesh economy relative to competitors remains a serious challenge. China, Indonesia, India, Vietnam and Sri Lanka are much more competitive than Bangladesh. And second, between 2008 and 2017 Bangladesh has made some progress with improving its competitiveness, but China, Indonesia, Vietnam and Sri Lanka have improved faster.  As a result, the competitiveness gap with these countries has widened.  The one exception in competitiveness performance is Pakistan. In 2008 Pakistan was well ahead of Bangladesh but its performance deteriorated sharply over the past 9 years and had fallen behind Bangladesh in 2016.  </w:t>
      </w:r>
    </w:p>
    <w:p w14:paraId="4725FDF6" w14:textId="39207300" w:rsidR="00253845" w:rsidRDefault="003F4B1F" w:rsidP="00521D34">
      <w:pPr>
        <w:pStyle w:val="ListParagraph"/>
        <w:spacing w:after="240" w:line="276" w:lineRule="auto"/>
        <w:ind w:left="0"/>
        <w:contextualSpacing w:val="0"/>
        <w:jc w:val="both"/>
      </w:pPr>
      <w:r>
        <w:t xml:space="preserve">An important thing to note is that the better performing countries like Singapore, Malaysia, South Korea, and China </w:t>
      </w:r>
      <w:r w:rsidR="004E4903">
        <w:t>have scores 5 and above (Table 2</w:t>
      </w:r>
      <w:r>
        <w:t xml:space="preserve"> below).  Other catching up countries like India, Vietnam and Thailand had scores above 4.  Only Bangladesh and Pakistan in the list below have 3.8 and 3.5 respectively.  </w:t>
      </w:r>
      <w:r w:rsidR="004E4903">
        <w:t>Bangladesh will have to aim at raising its score to above 5 in the coming years, in order t</w:t>
      </w:r>
      <w:r>
        <w:t xml:space="preserve">o improve its rankings and make it as competitive as </w:t>
      </w:r>
      <w:r w:rsidR="00521D34">
        <w:t>Singapore, South Korea, Malaysia, and China</w:t>
      </w:r>
      <w:r w:rsidR="004E4903">
        <w:t xml:space="preserve">. </w:t>
      </w:r>
      <w:r w:rsidR="00521D34">
        <w:t xml:space="preserve">It should be noted that these are relative rankings and other competitor countries are also striving to increase their scores and rankings.  So Bangladesh will have to increase its efforts manifolds to not only catch up but also go over </w:t>
      </w:r>
      <w:r w:rsidR="004E4903">
        <w:t>competitors’</w:t>
      </w:r>
      <w:r w:rsidR="00521D34">
        <w:t xml:space="preserve"> scores to be able to attract desired levels of FDI.</w:t>
      </w:r>
    </w:p>
    <w:p w14:paraId="455BAE81" w14:textId="77777777" w:rsidR="0029703F" w:rsidRDefault="0029703F" w:rsidP="002025EF">
      <w:pPr>
        <w:jc w:val="center"/>
        <w:rPr>
          <w:b/>
        </w:rPr>
      </w:pPr>
    </w:p>
    <w:p w14:paraId="128F5374" w14:textId="4603E78F" w:rsidR="002025EF" w:rsidRDefault="003F4B1F" w:rsidP="002025EF">
      <w:pPr>
        <w:jc w:val="center"/>
        <w:rPr>
          <w:b/>
        </w:rPr>
      </w:pPr>
      <w:r w:rsidRPr="004E4903">
        <w:rPr>
          <w:b/>
        </w:rPr>
        <w:t>Table</w:t>
      </w:r>
      <w:r w:rsidR="004E4903" w:rsidRPr="004E4903">
        <w:rPr>
          <w:b/>
        </w:rPr>
        <w:t xml:space="preserve"> 2</w:t>
      </w:r>
      <w:r w:rsidRPr="004E4903">
        <w:rPr>
          <w:b/>
        </w:rPr>
        <w:t xml:space="preserve">.  </w:t>
      </w:r>
      <w:r w:rsidR="002025EF" w:rsidRPr="00DA14F2">
        <w:rPr>
          <w:b/>
        </w:rPr>
        <w:t xml:space="preserve"> Global Competitiveness Index (GCI) 2016</w:t>
      </w:r>
    </w:p>
    <w:p w14:paraId="3428E65E" w14:textId="77777777" w:rsidR="002025EF" w:rsidRPr="00DA14F2" w:rsidRDefault="002025EF" w:rsidP="002025EF">
      <w:pPr>
        <w:jc w:val="center"/>
        <w:rPr>
          <w:b/>
        </w:rPr>
      </w:pPr>
    </w:p>
    <w:tbl>
      <w:tblPr>
        <w:tblW w:w="7395" w:type="dxa"/>
        <w:tblInd w:w="828" w:type="dxa"/>
        <w:tblLayout w:type="fixed"/>
        <w:tblLook w:val="04A0" w:firstRow="1" w:lastRow="0" w:firstColumn="1" w:lastColumn="0" w:noHBand="0" w:noVBand="1"/>
      </w:tblPr>
      <w:tblGrid>
        <w:gridCol w:w="2895"/>
        <w:gridCol w:w="2430"/>
        <w:gridCol w:w="2070"/>
      </w:tblGrid>
      <w:tr w:rsidR="002025EF" w:rsidRPr="004D474F" w14:paraId="6EFBF565" w14:textId="77777777" w:rsidTr="002025EF">
        <w:trPr>
          <w:trHeight w:val="300"/>
        </w:trPr>
        <w:tc>
          <w:tcPr>
            <w:tcW w:w="2895" w:type="dxa"/>
            <w:tcBorders>
              <w:top w:val="single" w:sz="4" w:space="0" w:color="auto"/>
              <w:left w:val="single" w:sz="4" w:space="0" w:color="auto"/>
              <w:bottom w:val="single" w:sz="4" w:space="0" w:color="auto"/>
              <w:right w:val="nil"/>
            </w:tcBorders>
            <w:shd w:val="clear" w:color="auto" w:fill="auto"/>
            <w:noWrap/>
            <w:vAlign w:val="bottom"/>
            <w:hideMark/>
          </w:tcPr>
          <w:p w14:paraId="1F8134C0" w14:textId="77777777" w:rsidR="002025EF" w:rsidRPr="004D474F" w:rsidRDefault="002025EF" w:rsidP="00E11F98">
            <w:pPr>
              <w:rPr>
                <w:color w:val="000000"/>
              </w:rPr>
            </w:pPr>
            <w:r w:rsidRPr="004D474F">
              <w:rPr>
                <w:color w:val="000000"/>
              </w:rPr>
              <w:t>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178A6" w14:textId="77777777" w:rsidR="002025EF" w:rsidRPr="004D474F" w:rsidRDefault="002025EF" w:rsidP="002025EF">
            <w:pPr>
              <w:jc w:val="center"/>
              <w:rPr>
                <w:b/>
                <w:bCs/>
                <w:color w:val="000000"/>
                <w:sz w:val="20"/>
                <w:szCs w:val="20"/>
              </w:rPr>
            </w:pPr>
            <w:r w:rsidRPr="004D474F">
              <w:rPr>
                <w:b/>
                <w:bCs/>
                <w:color w:val="000000"/>
                <w:sz w:val="20"/>
                <w:szCs w:val="20"/>
              </w:rPr>
              <w:t>Rank</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110E5C69" w14:textId="77777777" w:rsidR="002025EF" w:rsidRPr="004D474F" w:rsidRDefault="002025EF" w:rsidP="002025EF">
            <w:pPr>
              <w:jc w:val="center"/>
              <w:rPr>
                <w:b/>
                <w:bCs/>
                <w:color w:val="000000"/>
                <w:sz w:val="20"/>
                <w:szCs w:val="20"/>
              </w:rPr>
            </w:pPr>
            <w:r w:rsidRPr="004D474F">
              <w:rPr>
                <w:b/>
                <w:bCs/>
                <w:color w:val="000000"/>
                <w:sz w:val="20"/>
                <w:szCs w:val="20"/>
              </w:rPr>
              <w:t>Score</w:t>
            </w:r>
          </w:p>
        </w:tc>
      </w:tr>
      <w:tr w:rsidR="002025EF" w:rsidRPr="004D474F" w14:paraId="015DCF3A" w14:textId="77777777" w:rsidTr="002025EF">
        <w:trPr>
          <w:trHeight w:val="300"/>
        </w:trPr>
        <w:tc>
          <w:tcPr>
            <w:tcW w:w="2895" w:type="dxa"/>
            <w:tcBorders>
              <w:top w:val="nil"/>
              <w:left w:val="single" w:sz="4" w:space="0" w:color="auto"/>
              <w:bottom w:val="nil"/>
              <w:right w:val="nil"/>
            </w:tcBorders>
            <w:shd w:val="clear" w:color="auto" w:fill="auto"/>
            <w:vAlign w:val="bottom"/>
            <w:hideMark/>
          </w:tcPr>
          <w:p w14:paraId="530207F2" w14:textId="77777777" w:rsidR="002025EF" w:rsidRPr="004D474F" w:rsidRDefault="002025EF" w:rsidP="00E11F98">
            <w:pPr>
              <w:rPr>
                <w:b/>
                <w:bCs/>
                <w:color w:val="333333"/>
                <w:sz w:val="20"/>
                <w:szCs w:val="20"/>
              </w:rPr>
            </w:pPr>
            <w:r w:rsidRPr="004D474F">
              <w:rPr>
                <w:b/>
                <w:bCs/>
                <w:color w:val="333333"/>
                <w:sz w:val="20"/>
                <w:szCs w:val="20"/>
              </w:rPr>
              <w:t>Bangladesh</w:t>
            </w:r>
          </w:p>
        </w:tc>
        <w:tc>
          <w:tcPr>
            <w:tcW w:w="2430" w:type="dxa"/>
            <w:tcBorders>
              <w:top w:val="nil"/>
              <w:left w:val="single" w:sz="4" w:space="0" w:color="auto"/>
              <w:bottom w:val="nil"/>
              <w:right w:val="single" w:sz="4" w:space="0" w:color="auto"/>
            </w:tcBorders>
            <w:shd w:val="clear" w:color="auto" w:fill="auto"/>
            <w:noWrap/>
            <w:vAlign w:val="bottom"/>
            <w:hideMark/>
          </w:tcPr>
          <w:p w14:paraId="0FF7AA41" w14:textId="77777777" w:rsidR="002025EF" w:rsidRPr="004D474F" w:rsidRDefault="002025EF" w:rsidP="002025EF">
            <w:pPr>
              <w:jc w:val="center"/>
              <w:rPr>
                <w:color w:val="000000"/>
                <w:sz w:val="20"/>
                <w:szCs w:val="20"/>
              </w:rPr>
            </w:pPr>
            <w:r w:rsidRPr="004D474F">
              <w:rPr>
                <w:color w:val="000000"/>
                <w:sz w:val="20"/>
                <w:szCs w:val="20"/>
              </w:rPr>
              <w:t>106</w:t>
            </w:r>
          </w:p>
        </w:tc>
        <w:tc>
          <w:tcPr>
            <w:tcW w:w="2070" w:type="dxa"/>
            <w:tcBorders>
              <w:top w:val="nil"/>
              <w:left w:val="nil"/>
              <w:bottom w:val="nil"/>
              <w:right w:val="single" w:sz="4" w:space="0" w:color="auto"/>
            </w:tcBorders>
            <w:shd w:val="clear" w:color="auto" w:fill="auto"/>
            <w:noWrap/>
            <w:vAlign w:val="bottom"/>
            <w:hideMark/>
          </w:tcPr>
          <w:p w14:paraId="2B4B4333" w14:textId="77777777" w:rsidR="002025EF" w:rsidRPr="004D474F" w:rsidRDefault="002025EF" w:rsidP="002025EF">
            <w:pPr>
              <w:ind w:left="252" w:right="-108" w:hanging="450"/>
              <w:jc w:val="center"/>
              <w:rPr>
                <w:color w:val="000000"/>
                <w:sz w:val="20"/>
                <w:szCs w:val="20"/>
              </w:rPr>
            </w:pPr>
            <w:r w:rsidRPr="004D474F">
              <w:rPr>
                <w:color w:val="000000"/>
                <w:sz w:val="20"/>
                <w:szCs w:val="20"/>
              </w:rPr>
              <w:t>3.8</w:t>
            </w:r>
          </w:p>
        </w:tc>
      </w:tr>
      <w:tr w:rsidR="002025EF" w:rsidRPr="004D474F" w14:paraId="0BBC924C" w14:textId="77777777" w:rsidTr="002025EF">
        <w:trPr>
          <w:trHeight w:val="300"/>
        </w:trPr>
        <w:tc>
          <w:tcPr>
            <w:tcW w:w="2895" w:type="dxa"/>
            <w:tcBorders>
              <w:top w:val="nil"/>
              <w:left w:val="single" w:sz="4" w:space="0" w:color="auto"/>
              <w:bottom w:val="nil"/>
              <w:right w:val="nil"/>
            </w:tcBorders>
            <w:shd w:val="clear" w:color="auto" w:fill="auto"/>
            <w:vAlign w:val="bottom"/>
            <w:hideMark/>
          </w:tcPr>
          <w:p w14:paraId="06E3936E" w14:textId="77777777" w:rsidR="002025EF" w:rsidRPr="004D474F" w:rsidRDefault="002025EF" w:rsidP="00E11F98">
            <w:pPr>
              <w:rPr>
                <w:b/>
                <w:bCs/>
                <w:color w:val="000000"/>
                <w:sz w:val="20"/>
                <w:szCs w:val="20"/>
              </w:rPr>
            </w:pPr>
            <w:r w:rsidRPr="004D474F">
              <w:rPr>
                <w:b/>
                <w:bCs/>
                <w:color w:val="000000"/>
                <w:sz w:val="20"/>
                <w:szCs w:val="20"/>
              </w:rPr>
              <w:t>Singapore</w:t>
            </w:r>
          </w:p>
        </w:tc>
        <w:tc>
          <w:tcPr>
            <w:tcW w:w="2430" w:type="dxa"/>
            <w:tcBorders>
              <w:top w:val="nil"/>
              <w:left w:val="single" w:sz="4" w:space="0" w:color="auto"/>
              <w:bottom w:val="nil"/>
              <w:right w:val="single" w:sz="4" w:space="0" w:color="auto"/>
            </w:tcBorders>
            <w:shd w:val="clear" w:color="auto" w:fill="auto"/>
            <w:noWrap/>
            <w:vAlign w:val="bottom"/>
            <w:hideMark/>
          </w:tcPr>
          <w:p w14:paraId="639B8EA5" w14:textId="77777777" w:rsidR="002025EF" w:rsidRPr="004D474F" w:rsidRDefault="002025EF" w:rsidP="002025EF">
            <w:pPr>
              <w:jc w:val="center"/>
              <w:rPr>
                <w:color w:val="000000"/>
                <w:sz w:val="20"/>
                <w:szCs w:val="20"/>
              </w:rPr>
            </w:pPr>
            <w:r w:rsidRPr="004D474F">
              <w:rPr>
                <w:color w:val="000000"/>
                <w:sz w:val="20"/>
                <w:szCs w:val="20"/>
              </w:rPr>
              <w:t>2</w:t>
            </w:r>
          </w:p>
        </w:tc>
        <w:tc>
          <w:tcPr>
            <w:tcW w:w="2070" w:type="dxa"/>
            <w:tcBorders>
              <w:top w:val="nil"/>
              <w:left w:val="nil"/>
              <w:bottom w:val="nil"/>
              <w:right w:val="single" w:sz="4" w:space="0" w:color="auto"/>
            </w:tcBorders>
            <w:shd w:val="clear" w:color="auto" w:fill="auto"/>
            <w:noWrap/>
            <w:vAlign w:val="bottom"/>
            <w:hideMark/>
          </w:tcPr>
          <w:p w14:paraId="61BC314F" w14:textId="77777777" w:rsidR="002025EF" w:rsidRPr="004D474F" w:rsidRDefault="002025EF" w:rsidP="002025EF">
            <w:pPr>
              <w:jc w:val="center"/>
              <w:rPr>
                <w:color w:val="000000"/>
                <w:sz w:val="20"/>
                <w:szCs w:val="20"/>
              </w:rPr>
            </w:pPr>
            <w:r w:rsidRPr="004D474F">
              <w:rPr>
                <w:color w:val="000000"/>
                <w:sz w:val="20"/>
                <w:szCs w:val="20"/>
              </w:rPr>
              <w:t>5.8</w:t>
            </w:r>
          </w:p>
        </w:tc>
      </w:tr>
      <w:tr w:rsidR="002025EF" w:rsidRPr="004D474F" w14:paraId="1E025B93" w14:textId="77777777" w:rsidTr="002025EF">
        <w:trPr>
          <w:trHeight w:val="300"/>
        </w:trPr>
        <w:tc>
          <w:tcPr>
            <w:tcW w:w="2895" w:type="dxa"/>
            <w:tcBorders>
              <w:top w:val="nil"/>
              <w:left w:val="single" w:sz="4" w:space="0" w:color="auto"/>
              <w:bottom w:val="nil"/>
              <w:right w:val="nil"/>
            </w:tcBorders>
            <w:shd w:val="clear" w:color="auto" w:fill="auto"/>
            <w:noWrap/>
            <w:vAlign w:val="bottom"/>
            <w:hideMark/>
          </w:tcPr>
          <w:p w14:paraId="5C4524FB" w14:textId="77777777" w:rsidR="002025EF" w:rsidRPr="004D474F" w:rsidRDefault="002025EF" w:rsidP="00E11F98">
            <w:pPr>
              <w:rPr>
                <w:b/>
                <w:bCs/>
                <w:color w:val="000000"/>
                <w:sz w:val="20"/>
                <w:szCs w:val="20"/>
              </w:rPr>
            </w:pPr>
            <w:r w:rsidRPr="004D474F">
              <w:rPr>
                <w:b/>
                <w:bCs/>
                <w:color w:val="000000"/>
                <w:sz w:val="20"/>
                <w:szCs w:val="20"/>
              </w:rPr>
              <w:t>Malaysia</w:t>
            </w:r>
          </w:p>
        </w:tc>
        <w:tc>
          <w:tcPr>
            <w:tcW w:w="2430" w:type="dxa"/>
            <w:tcBorders>
              <w:top w:val="nil"/>
              <w:left w:val="single" w:sz="4" w:space="0" w:color="auto"/>
              <w:bottom w:val="nil"/>
              <w:right w:val="single" w:sz="4" w:space="0" w:color="auto"/>
            </w:tcBorders>
            <w:shd w:val="clear" w:color="auto" w:fill="auto"/>
            <w:noWrap/>
            <w:vAlign w:val="bottom"/>
            <w:hideMark/>
          </w:tcPr>
          <w:p w14:paraId="63A893F0" w14:textId="77777777" w:rsidR="002025EF" w:rsidRPr="004D474F" w:rsidRDefault="002025EF" w:rsidP="002025EF">
            <w:pPr>
              <w:jc w:val="center"/>
              <w:rPr>
                <w:color w:val="000000"/>
                <w:sz w:val="20"/>
                <w:szCs w:val="20"/>
              </w:rPr>
            </w:pPr>
            <w:r w:rsidRPr="004D474F">
              <w:rPr>
                <w:color w:val="000000"/>
                <w:sz w:val="20"/>
                <w:szCs w:val="20"/>
              </w:rPr>
              <w:t>25</w:t>
            </w:r>
          </w:p>
        </w:tc>
        <w:tc>
          <w:tcPr>
            <w:tcW w:w="2070" w:type="dxa"/>
            <w:tcBorders>
              <w:top w:val="nil"/>
              <w:left w:val="nil"/>
              <w:bottom w:val="nil"/>
              <w:right w:val="single" w:sz="4" w:space="0" w:color="auto"/>
            </w:tcBorders>
            <w:shd w:val="clear" w:color="auto" w:fill="auto"/>
            <w:noWrap/>
            <w:vAlign w:val="bottom"/>
            <w:hideMark/>
          </w:tcPr>
          <w:p w14:paraId="55404776" w14:textId="77777777" w:rsidR="002025EF" w:rsidRPr="004D474F" w:rsidRDefault="002025EF" w:rsidP="002025EF">
            <w:pPr>
              <w:jc w:val="center"/>
              <w:rPr>
                <w:color w:val="000000"/>
                <w:sz w:val="20"/>
                <w:szCs w:val="20"/>
              </w:rPr>
            </w:pPr>
            <w:r w:rsidRPr="004D474F">
              <w:rPr>
                <w:color w:val="000000"/>
                <w:sz w:val="20"/>
                <w:szCs w:val="20"/>
              </w:rPr>
              <w:t>5.2</w:t>
            </w:r>
          </w:p>
        </w:tc>
      </w:tr>
      <w:tr w:rsidR="002025EF" w:rsidRPr="004D474F" w14:paraId="1100CE37" w14:textId="77777777" w:rsidTr="002025EF">
        <w:trPr>
          <w:trHeight w:val="300"/>
        </w:trPr>
        <w:tc>
          <w:tcPr>
            <w:tcW w:w="2895" w:type="dxa"/>
            <w:tcBorders>
              <w:top w:val="nil"/>
              <w:left w:val="single" w:sz="4" w:space="0" w:color="auto"/>
              <w:bottom w:val="nil"/>
              <w:right w:val="nil"/>
            </w:tcBorders>
            <w:shd w:val="clear" w:color="auto" w:fill="auto"/>
            <w:vAlign w:val="bottom"/>
            <w:hideMark/>
          </w:tcPr>
          <w:p w14:paraId="5B7FEAD8" w14:textId="77777777" w:rsidR="002025EF" w:rsidRPr="004D474F" w:rsidRDefault="002025EF" w:rsidP="00E11F98">
            <w:pPr>
              <w:rPr>
                <w:b/>
                <w:bCs/>
                <w:color w:val="000000"/>
                <w:sz w:val="20"/>
                <w:szCs w:val="20"/>
              </w:rPr>
            </w:pPr>
            <w:r w:rsidRPr="004D474F">
              <w:rPr>
                <w:b/>
                <w:bCs/>
                <w:color w:val="000000"/>
                <w:sz w:val="20"/>
                <w:szCs w:val="20"/>
              </w:rPr>
              <w:t>South Korea</w:t>
            </w:r>
          </w:p>
        </w:tc>
        <w:tc>
          <w:tcPr>
            <w:tcW w:w="2430" w:type="dxa"/>
            <w:tcBorders>
              <w:top w:val="nil"/>
              <w:left w:val="single" w:sz="4" w:space="0" w:color="auto"/>
              <w:bottom w:val="nil"/>
              <w:right w:val="single" w:sz="4" w:space="0" w:color="auto"/>
            </w:tcBorders>
            <w:shd w:val="clear" w:color="auto" w:fill="auto"/>
            <w:noWrap/>
            <w:vAlign w:val="bottom"/>
            <w:hideMark/>
          </w:tcPr>
          <w:p w14:paraId="55615581" w14:textId="77777777" w:rsidR="002025EF" w:rsidRPr="004D474F" w:rsidRDefault="002025EF" w:rsidP="002025EF">
            <w:pPr>
              <w:jc w:val="center"/>
              <w:rPr>
                <w:color w:val="000000"/>
                <w:sz w:val="20"/>
                <w:szCs w:val="20"/>
              </w:rPr>
            </w:pPr>
            <w:r w:rsidRPr="004D474F">
              <w:rPr>
                <w:color w:val="000000"/>
                <w:sz w:val="20"/>
                <w:szCs w:val="20"/>
              </w:rPr>
              <w:t>26</w:t>
            </w:r>
          </w:p>
        </w:tc>
        <w:tc>
          <w:tcPr>
            <w:tcW w:w="2070" w:type="dxa"/>
            <w:tcBorders>
              <w:top w:val="nil"/>
              <w:left w:val="nil"/>
              <w:bottom w:val="nil"/>
              <w:right w:val="single" w:sz="4" w:space="0" w:color="auto"/>
            </w:tcBorders>
            <w:shd w:val="clear" w:color="auto" w:fill="auto"/>
            <w:noWrap/>
            <w:vAlign w:val="bottom"/>
            <w:hideMark/>
          </w:tcPr>
          <w:p w14:paraId="121A2B6E" w14:textId="77777777" w:rsidR="002025EF" w:rsidRPr="004D474F" w:rsidRDefault="002025EF" w:rsidP="002025EF">
            <w:pPr>
              <w:jc w:val="center"/>
              <w:rPr>
                <w:color w:val="000000"/>
                <w:sz w:val="20"/>
                <w:szCs w:val="20"/>
              </w:rPr>
            </w:pPr>
            <w:r w:rsidRPr="004D474F">
              <w:rPr>
                <w:color w:val="000000"/>
                <w:sz w:val="20"/>
                <w:szCs w:val="20"/>
              </w:rPr>
              <w:t>5.0</w:t>
            </w:r>
          </w:p>
        </w:tc>
      </w:tr>
      <w:tr w:rsidR="002025EF" w:rsidRPr="004D474F" w14:paraId="47296207" w14:textId="77777777" w:rsidTr="002025EF">
        <w:trPr>
          <w:trHeight w:val="300"/>
        </w:trPr>
        <w:tc>
          <w:tcPr>
            <w:tcW w:w="2895" w:type="dxa"/>
            <w:tcBorders>
              <w:top w:val="nil"/>
              <w:left w:val="single" w:sz="4" w:space="0" w:color="auto"/>
              <w:bottom w:val="nil"/>
              <w:right w:val="nil"/>
            </w:tcBorders>
            <w:shd w:val="clear" w:color="auto" w:fill="auto"/>
            <w:noWrap/>
            <w:vAlign w:val="bottom"/>
            <w:hideMark/>
          </w:tcPr>
          <w:p w14:paraId="66F3D0BF" w14:textId="77777777" w:rsidR="002025EF" w:rsidRPr="004D474F" w:rsidRDefault="002025EF" w:rsidP="00E11F98">
            <w:pPr>
              <w:rPr>
                <w:b/>
                <w:bCs/>
                <w:color w:val="000000"/>
                <w:sz w:val="20"/>
                <w:szCs w:val="20"/>
              </w:rPr>
            </w:pPr>
            <w:r w:rsidRPr="004D474F">
              <w:rPr>
                <w:b/>
                <w:bCs/>
                <w:color w:val="000000"/>
                <w:sz w:val="20"/>
                <w:szCs w:val="20"/>
              </w:rPr>
              <w:t>China</w:t>
            </w:r>
          </w:p>
        </w:tc>
        <w:tc>
          <w:tcPr>
            <w:tcW w:w="2430" w:type="dxa"/>
            <w:tcBorders>
              <w:top w:val="nil"/>
              <w:left w:val="single" w:sz="4" w:space="0" w:color="auto"/>
              <w:bottom w:val="nil"/>
              <w:right w:val="single" w:sz="4" w:space="0" w:color="auto"/>
            </w:tcBorders>
            <w:shd w:val="clear" w:color="auto" w:fill="auto"/>
            <w:noWrap/>
            <w:vAlign w:val="bottom"/>
            <w:hideMark/>
          </w:tcPr>
          <w:p w14:paraId="329C1524" w14:textId="77777777" w:rsidR="002025EF" w:rsidRPr="004D474F" w:rsidRDefault="002025EF" w:rsidP="002025EF">
            <w:pPr>
              <w:jc w:val="center"/>
              <w:rPr>
                <w:color w:val="000000"/>
                <w:sz w:val="20"/>
                <w:szCs w:val="20"/>
              </w:rPr>
            </w:pPr>
            <w:r w:rsidRPr="004D474F">
              <w:rPr>
                <w:color w:val="000000"/>
                <w:sz w:val="20"/>
                <w:szCs w:val="20"/>
              </w:rPr>
              <w:t>28</w:t>
            </w:r>
          </w:p>
        </w:tc>
        <w:tc>
          <w:tcPr>
            <w:tcW w:w="2070" w:type="dxa"/>
            <w:tcBorders>
              <w:top w:val="nil"/>
              <w:left w:val="nil"/>
              <w:bottom w:val="nil"/>
              <w:right w:val="single" w:sz="4" w:space="0" w:color="auto"/>
            </w:tcBorders>
            <w:shd w:val="clear" w:color="auto" w:fill="auto"/>
            <w:noWrap/>
            <w:vAlign w:val="bottom"/>
            <w:hideMark/>
          </w:tcPr>
          <w:p w14:paraId="28E3D32E" w14:textId="77777777" w:rsidR="002025EF" w:rsidRPr="004D474F" w:rsidRDefault="002025EF" w:rsidP="002025EF">
            <w:pPr>
              <w:jc w:val="center"/>
              <w:rPr>
                <w:color w:val="000000"/>
                <w:sz w:val="20"/>
                <w:szCs w:val="20"/>
              </w:rPr>
            </w:pPr>
            <w:r w:rsidRPr="004D474F">
              <w:rPr>
                <w:color w:val="000000"/>
                <w:sz w:val="20"/>
                <w:szCs w:val="20"/>
              </w:rPr>
              <w:t>5.0</w:t>
            </w:r>
          </w:p>
        </w:tc>
      </w:tr>
      <w:tr w:rsidR="002025EF" w:rsidRPr="004D474F" w14:paraId="59946778" w14:textId="77777777" w:rsidTr="002025EF">
        <w:trPr>
          <w:trHeight w:val="300"/>
        </w:trPr>
        <w:tc>
          <w:tcPr>
            <w:tcW w:w="2895" w:type="dxa"/>
            <w:tcBorders>
              <w:top w:val="nil"/>
              <w:left w:val="single" w:sz="4" w:space="0" w:color="auto"/>
              <w:bottom w:val="nil"/>
              <w:right w:val="nil"/>
            </w:tcBorders>
            <w:shd w:val="clear" w:color="auto" w:fill="auto"/>
            <w:noWrap/>
            <w:vAlign w:val="bottom"/>
            <w:hideMark/>
          </w:tcPr>
          <w:p w14:paraId="19A289FA" w14:textId="77777777" w:rsidR="002025EF" w:rsidRPr="004D474F" w:rsidRDefault="002025EF" w:rsidP="00E11F98">
            <w:pPr>
              <w:rPr>
                <w:b/>
                <w:bCs/>
                <w:color w:val="000000"/>
                <w:sz w:val="20"/>
                <w:szCs w:val="20"/>
              </w:rPr>
            </w:pPr>
            <w:r w:rsidRPr="004D474F">
              <w:rPr>
                <w:b/>
                <w:bCs/>
                <w:color w:val="000000"/>
                <w:sz w:val="20"/>
                <w:szCs w:val="20"/>
              </w:rPr>
              <w:t>Thailand</w:t>
            </w:r>
          </w:p>
        </w:tc>
        <w:tc>
          <w:tcPr>
            <w:tcW w:w="2430" w:type="dxa"/>
            <w:tcBorders>
              <w:top w:val="nil"/>
              <w:left w:val="single" w:sz="4" w:space="0" w:color="auto"/>
              <w:bottom w:val="nil"/>
              <w:right w:val="single" w:sz="4" w:space="0" w:color="auto"/>
            </w:tcBorders>
            <w:shd w:val="clear" w:color="auto" w:fill="auto"/>
            <w:noWrap/>
            <w:vAlign w:val="bottom"/>
            <w:hideMark/>
          </w:tcPr>
          <w:p w14:paraId="0B93F0B9" w14:textId="77777777" w:rsidR="002025EF" w:rsidRPr="004D474F" w:rsidRDefault="002025EF" w:rsidP="002025EF">
            <w:pPr>
              <w:jc w:val="center"/>
              <w:rPr>
                <w:color w:val="000000"/>
                <w:sz w:val="20"/>
                <w:szCs w:val="20"/>
              </w:rPr>
            </w:pPr>
            <w:r w:rsidRPr="004D474F">
              <w:rPr>
                <w:color w:val="000000"/>
                <w:sz w:val="20"/>
                <w:szCs w:val="20"/>
              </w:rPr>
              <w:t>34</w:t>
            </w:r>
          </w:p>
        </w:tc>
        <w:tc>
          <w:tcPr>
            <w:tcW w:w="2070" w:type="dxa"/>
            <w:tcBorders>
              <w:top w:val="nil"/>
              <w:left w:val="nil"/>
              <w:bottom w:val="nil"/>
              <w:right w:val="single" w:sz="4" w:space="0" w:color="auto"/>
            </w:tcBorders>
            <w:shd w:val="clear" w:color="auto" w:fill="auto"/>
            <w:noWrap/>
            <w:vAlign w:val="bottom"/>
            <w:hideMark/>
          </w:tcPr>
          <w:p w14:paraId="4586A5D3" w14:textId="77777777" w:rsidR="002025EF" w:rsidRPr="004D474F" w:rsidRDefault="002025EF" w:rsidP="002025EF">
            <w:pPr>
              <w:jc w:val="center"/>
              <w:rPr>
                <w:color w:val="000000"/>
                <w:sz w:val="20"/>
                <w:szCs w:val="20"/>
              </w:rPr>
            </w:pPr>
            <w:r w:rsidRPr="004D474F">
              <w:rPr>
                <w:color w:val="000000"/>
                <w:sz w:val="20"/>
                <w:szCs w:val="20"/>
              </w:rPr>
              <w:t>4.6</w:t>
            </w:r>
          </w:p>
        </w:tc>
      </w:tr>
      <w:tr w:rsidR="002025EF" w:rsidRPr="004D474F" w14:paraId="04B9699B" w14:textId="77777777" w:rsidTr="002025EF">
        <w:trPr>
          <w:trHeight w:val="300"/>
        </w:trPr>
        <w:tc>
          <w:tcPr>
            <w:tcW w:w="2895" w:type="dxa"/>
            <w:tcBorders>
              <w:top w:val="nil"/>
              <w:left w:val="single" w:sz="4" w:space="0" w:color="auto"/>
              <w:bottom w:val="nil"/>
              <w:right w:val="nil"/>
            </w:tcBorders>
            <w:shd w:val="clear" w:color="auto" w:fill="auto"/>
            <w:noWrap/>
            <w:vAlign w:val="bottom"/>
            <w:hideMark/>
          </w:tcPr>
          <w:p w14:paraId="2D523BF0" w14:textId="77777777" w:rsidR="002025EF" w:rsidRPr="004D474F" w:rsidRDefault="002025EF" w:rsidP="00E11F98">
            <w:pPr>
              <w:rPr>
                <w:b/>
                <w:bCs/>
                <w:color w:val="000000"/>
                <w:sz w:val="20"/>
                <w:szCs w:val="20"/>
              </w:rPr>
            </w:pPr>
            <w:r w:rsidRPr="004D474F">
              <w:rPr>
                <w:b/>
                <w:bCs/>
                <w:color w:val="000000"/>
                <w:sz w:val="20"/>
                <w:szCs w:val="20"/>
              </w:rPr>
              <w:t>India</w:t>
            </w:r>
          </w:p>
        </w:tc>
        <w:tc>
          <w:tcPr>
            <w:tcW w:w="2430" w:type="dxa"/>
            <w:tcBorders>
              <w:top w:val="nil"/>
              <w:left w:val="single" w:sz="4" w:space="0" w:color="auto"/>
              <w:bottom w:val="nil"/>
              <w:right w:val="single" w:sz="4" w:space="0" w:color="auto"/>
            </w:tcBorders>
            <w:shd w:val="clear" w:color="auto" w:fill="auto"/>
            <w:noWrap/>
            <w:vAlign w:val="bottom"/>
            <w:hideMark/>
          </w:tcPr>
          <w:p w14:paraId="46D23BC1" w14:textId="77777777" w:rsidR="002025EF" w:rsidRPr="004D474F" w:rsidRDefault="002025EF" w:rsidP="002025EF">
            <w:pPr>
              <w:jc w:val="center"/>
              <w:rPr>
                <w:color w:val="000000"/>
                <w:sz w:val="20"/>
                <w:szCs w:val="20"/>
              </w:rPr>
            </w:pPr>
            <w:r w:rsidRPr="004D474F">
              <w:rPr>
                <w:color w:val="000000"/>
                <w:sz w:val="20"/>
                <w:szCs w:val="20"/>
              </w:rPr>
              <w:t>39</w:t>
            </w:r>
          </w:p>
        </w:tc>
        <w:tc>
          <w:tcPr>
            <w:tcW w:w="2070" w:type="dxa"/>
            <w:tcBorders>
              <w:top w:val="nil"/>
              <w:left w:val="nil"/>
              <w:bottom w:val="nil"/>
              <w:right w:val="single" w:sz="4" w:space="0" w:color="auto"/>
            </w:tcBorders>
            <w:shd w:val="clear" w:color="auto" w:fill="auto"/>
            <w:noWrap/>
            <w:vAlign w:val="bottom"/>
            <w:hideMark/>
          </w:tcPr>
          <w:p w14:paraId="0A4B4597" w14:textId="77777777" w:rsidR="002025EF" w:rsidRPr="004D474F" w:rsidRDefault="002025EF" w:rsidP="002025EF">
            <w:pPr>
              <w:jc w:val="center"/>
              <w:rPr>
                <w:color w:val="000000"/>
                <w:sz w:val="20"/>
                <w:szCs w:val="20"/>
              </w:rPr>
            </w:pPr>
            <w:r w:rsidRPr="004D474F">
              <w:rPr>
                <w:color w:val="000000"/>
                <w:sz w:val="20"/>
                <w:szCs w:val="20"/>
              </w:rPr>
              <w:t>4.5</w:t>
            </w:r>
          </w:p>
        </w:tc>
      </w:tr>
      <w:tr w:rsidR="002025EF" w:rsidRPr="004D474F" w14:paraId="5A653020" w14:textId="77777777" w:rsidTr="002025EF">
        <w:trPr>
          <w:trHeight w:val="300"/>
        </w:trPr>
        <w:tc>
          <w:tcPr>
            <w:tcW w:w="2895" w:type="dxa"/>
            <w:tcBorders>
              <w:top w:val="nil"/>
              <w:left w:val="single" w:sz="4" w:space="0" w:color="auto"/>
              <w:bottom w:val="nil"/>
              <w:right w:val="nil"/>
            </w:tcBorders>
            <w:shd w:val="clear" w:color="auto" w:fill="auto"/>
            <w:noWrap/>
            <w:vAlign w:val="bottom"/>
            <w:hideMark/>
          </w:tcPr>
          <w:p w14:paraId="5815182E" w14:textId="77777777" w:rsidR="002025EF" w:rsidRPr="004D474F" w:rsidRDefault="002025EF" w:rsidP="00E11F98">
            <w:pPr>
              <w:rPr>
                <w:b/>
                <w:bCs/>
                <w:color w:val="000000"/>
                <w:sz w:val="20"/>
                <w:szCs w:val="20"/>
              </w:rPr>
            </w:pPr>
            <w:r w:rsidRPr="004D474F">
              <w:rPr>
                <w:b/>
                <w:bCs/>
                <w:color w:val="000000"/>
                <w:sz w:val="20"/>
                <w:szCs w:val="20"/>
              </w:rPr>
              <w:t>Vietnam</w:t>
            </w:r>
          </w:p>
        </w:tc>
        <w:tc>
          <w:tcPr>
            <w:tcW w:w="2430" w:type="dxa"/>
            <w:tcBorders>
              <w:top w:val="nil"/>
              <w:left w:val="single" w:sz="4" w:space="0" w:color="auto"/>
              <w:bottom w:val="nil"/>
              <w:right w:val="single" w:sz="4" w:space="0" w:color="auto"/>
            </w:tcBorders>
            <w:shd w:val="clear" w:color="auto" w:fill="auto"/>
            <w:noWrap/>
            <w:vAlign w:val="bottom"/>
            <w:hideMark/>
          </w:tcPr>
          <w:p w14:paraId="3C4D7161" w14:textId="77777777" w:rsidR="002025EF" w:rsidRPr="004D474F" w:rsidRDefault="002025EF" w:rsidP="002025EF">
            <w:pPr>
              <w:jc w:val="center"/>
              <w:rPr>
                <w:color w:val="000000"/>
                <w:sz w:val="20"/>
                <w:szCs w:val="20"/>
              </w:rPr>
            </w:pPr>
            <w:r w:rsidRPr="004D474F">
              <w:rPr>
                <w:color w:val="000000"/>
                <w:sz w:val="20"/>
                <w:szCs w:val="20"/>
              </w:rPr>
              <w:t>60</w:t>
            </w:r>
          </w:p>
        </w:tc>
        <w:tc>
          <w:tcPr>
            <w:tcW w:w="2070" w:type="dxa"/>
            <w:tcBorders>
              <w:top w:val="nil"/>
              <w:left w:val="nil"/>
              <w:bottom w:val="nil"/>
              <w:right w:val="single" w:sz="4" w:space="0" w:color="auto"/>
            </w:tcBorders>
            <w:shd w:val="clear" w:color="auto" w:fill="auto"/>
            <w:noWrap/>
            <w:vAlign w:val="bottom"/>
            <w:hideMark/>
          </w:tcPr>
          <w:p w14:paraId="020379D2" w14:textId="77777777" w:rsidR="002025EF" w:rsidRPr="004D474F" w:rsidRDefault="002025EF" w:rsidP="002025EF">
            <w:pPr>
              <w:jc w:val="center"/>
              <w:rPr>
                <w:color w:val="000000"/>
                <w:sz w:val="20"/>
                <w:szCs w:val="20"/>
              </w:rPr>
            </w:pPr>
            <w:r w:rsidRPr="004D474F">
              <w:rPr>
                <w:color w:val="000000"/>
                <w:sz w:val="20"/>
                <w:szCs w:val="20"/>
              </w:rPr>
              <w:t>4.3</w:t>
            </w:r>
          </w:p>
        </w:tc>
      </w:tr>
      <w:tr w:rsidR="002025EF" w:rsidRPr="004D474F" w14:paraId="04D33DAA" w14:textId="77777777" w:rsidTr="002025EF">
        <w:trPr>
          <w:trHeight w:val="300"/>
        </w:trPr>
        <w:tc>
          <w:tcPr>
            <w:tcW w:w="2895" w:type="dxa"/>
            <w:tcBorders>
              <w:top w:val="nil"/>
              <w:left w:val="single" w:sz="4" w:space="0" w:color="auto"/>
              <w:bottom w:val="single" w:sz="4" w:space="0" w:color="auto"/>
              <w:right w:val="nil"/>
            </w:tcBorders>
            <w:shd w:val="clear" w:color="auto" w:fill="auto"/>
            <w:noWrap/>
            <w:vAlign w:val="bottom"/>
            <w:hideMark/>
          </w:tcPr>
          <w:p w14:paraId="76F4165D" w14:textId="77777777" w:rsidR="002025EF" w:rsidRPr="004D474F" w:rsidRDefault="002025EF" w:rsidP="00E11F98">
            <w:pPr>
              <w:rPr>
                <w:b/>
                <w:bCs/>
                <w:color w:val="000000"/>
                <w:sz w:val="20"/>
                <w:szCs w:val="20"/>
              </w:rPr>
            </w:pPr>
            <w:r w:rsidRPr="004D474F">
              <w:rPr>
                <w:b/>
                <w:bCs/>
                <w:color w:val="000000"/>
                <w:sz w:val="20"/>
                <w:szCs w:val="20"/>
              </w:rPr>
              <w:t>Pakistan</w:t>
            </w:r>
          </w:p>
        </w:tc>
        <w:tc>
          <w:tcPr>
            <w:tcW w:w="2430" w:type="dxa"/>
            <w:tcBorders>
              <w:top w:val="nil"/>
              <w:left w:val="single" w:sz="4" w:space="0" w:color="auto"/>
              <w:bottom w:val="single" w:sz="4" w:space="0" w:color="auto"/>
              <w:right w:val="single" w:sz="4" w:space="0" w:color="auto"/>
            </w:tcBorders>
            <w:shd w:val="clear" w:color="auto" w:fill="auto"/>
            <w:noWrap/>
            <w:vAlign w:val="bottom"/>
            <w:hideMark/>
          </w:tcPr>
          <w:p w14:paraId="0D0ADD5B" w14:textId="77777777" w:rsidR="002025EF" w:rsidRPr="004D474F" w:rsidRDefault="002025EF" w:rsidP="002025EF">
            <w:pPr>
              <w:jc w:val="center"/>
              <w:rPr>
                <w:color w:val="000000"/>
                <w:sz w:val="20"/>
                <w:szCs w:val="20"/>
              </w:rPr>
            </w:pPr>
            <w:r w:rsidRPr="004D474F">
              <w:rPr>
                <w:color w:val="000000"/>
                <w:sz w:val="20"/>
                <w:szCs w:val="20"/>
              </w:rPr>
              <w:t>122</w:t>
            </w:r>
          </w:p>
        </w:tc>
        <w:tc>
          <w:tcPr>
            <w:tcW w:w="2070" w:type="dxa"/>
            <w:tcBorders>
              <w:top w:val="nil"/>
              <w:left w:val="nil"/>
              <w:bottom w:val="single" w:sz="4" w:space="0" w:color="auto"/>
              <w:right w:val="single" w:sz="4" w:space="0" w:color="auto"/>
            </w:tcBorders>
            <w:shd w:val="clear" w:color="auto" w:fill="auto"/>
            <w:noWrap/>
            <w:vAlign w:val="bottom"/>
            <w:hideMark/>
          </w:tcPr>
          <w:p w14:paraId="74DAB15D" w14:textId="77777777" w:rsidR="002025EF" w:rsidRPr="004D474F" w:rsidRDefault="002025EF" w:rsidP="002025EF">
            <w:pPr>
              <w:jc w:val="center"/>
              <w:rPr>
                <w:color w:val="000000"/>
                <w:sz w:val="20"/>
                <w:szCs w:val="20"/>
              </w:rPr>
            </w:pPr>
            <w:r w:rsidRPr="004D474F">
              <w:rPr>
                <w:color w:val="000000"/>
                <w:sz w:val="20"/>
                <w:szCs w:val="20"/>
              </w:rPr>
              <w:t>3.5</w:t>
            </w:r>
          </w:p>
        </w:tc>
      </w:tr>
    </w:tbl>
    <w:p w14:paraId="36F1666B" w14:textId="65F2F188" w:rsidR="002025EF" w:rsidRPr="00647951" w:rsidRDefault="002025EF" w:rsidP="002025EF">
      <w:pPr>
        <w:rPr>
          <w:b/>
          <w:i/>
          <w:sz w:val="20"/>
          <w:szCs w:val="20"/>
        </w:rPr>
      </w:pPr>
      <w:r>
        <w:rPr>
          <w:b/>
          <w:i/>
          <w:sz w:val="20"/>
          <w:szCs w:val="20"/>
        </w:rPr>
        <w:t xml:space="preserve">               </w:t>
      </w:r>
      <w:r w:rsidRPr="00647951">
        <w:rPr>
          <w:b/>
          <w:i/>
          <w:sz w:val="20"/>
          <w:szCs w:val="20"/>
        </w:rPr>
        <w:t>Source: Global Competitiveness Report 2016-2017, World Economic Forum</w:t>
      </w:r>
    </w:p>
    <w:p w14:paraId="059DD209" w14:textId="77777777" w:rsidR="002025EF" w:rsidRDefault="002025EF" w:rsidP="00253845">
      <w:pPr>
        <w:spacing w:line="276" w:lineRule="auto"/>
        <w:jc w:val="both"/>
      </w:pPr>
    </w:p>
    <w:p w14:paraId="0A7973AE" w14:textId="3B35DBD6" w:rsidR="00F96346" w:rsidRPr="008708C6" w:rsidRDefault="00FF2785" w:rsidP="00F96346">
      <w:pPr>
        <w:pStyle w:val="ListParagraph"/>
        <w:spacing w:after="240" w:line="276" w:lineRule="auto"/>
        <w:ind w:left="0"/>
        <w:contextualSpacing w:val="0"/>
        <w:jc w:val="both"/>
      </w:pPr>
      <w:r w:rsidRPr="008708C6">
        <w:rPr>
          <w:b/>
          <w:i/>
        </w:rPr>
        <w:t>Doing Business (DB).</w:t>
      </w:r>
      <w:r w:rsidRPr="008708C6">
        <w:t xml:space="preserve"> </w:t>
      </w:r>
      <w:r w:rsidR="00F96346" w:rsidRPr="008708C6">
        <w:t>A big component of the GCI is the regulatory environment as measured by the International Finance Corporation’s (IFC) cost or ease of Doing Business (DB) indicators.  The DB indicators are very helpful to measure the progress with deregulation in terms of results on the ground, and not just regulations in the books, and as such they reflect both the regulatory gaps and associated implementation challenges.</w:t>
      </w:r>
    </w:p>
    <w:p w14:paraId="38F09241" w14:textId="2096BAB6" w:rsidR="008D1D57" w:rsidRDefault="00F96346" w:rsidP="009B6A12">
      <w:pPr>
        <w:pStyle w:val="ListParagraph"/>
        <w:spacing w:after="240" w:line="276" w:lineRule="auto"/>
        <w:ind w:left="0"/>
        <w:contextualSpacing w:val="0"/>
        <w:jc w:val="both"/>
      </w:pPr>
      <w:r w:rsidRPr="008708C6">
        <w:t>The DB indicators provide an overall ease of doing business index ranking as well as rankings for each of the 10 regulatory areas that affect business decisions.  The overall DB index for 2017 for Bangladesh and comparators based on 190 countries is indicated in Figure</w:t>
      </w:r>
      <w:r w:rsidR="007C6224">
        <w:t xml:space="preserve"> 14</w:t>
      </w:r>
      <w:r w:rsidRPr="004E4903">
        <w:t>.</w:t>
      </w:r>
      <w:r w:rsidRPr="008708C6">
        <w:t xml:space="preserve">  Some interesting results emerge from this comparison.  First, despite past progress, the regulatory environment in Bangladesh is substantially less favorable than competitors; it is ranked at a low score of 176 as compared with the worst performing country ranking of 190 for Somalia. Second, all other countries in the comparator list have a relatively better regulatory environment than Bangladesh.  </w:t>
      </w:r>
      <w:bookmarkStart w:id="11" w:name="_Toc480722571"/>
    </w:p>
    <w:p w14:paraId="69706FC8" w14:textId="735F5400" w:rsidR="00F96346" w:rsidRPr="00E16828" w:rsidRDefault="00F96346" w:rsidP="00F96346">
      <w:pPr>
        <w:pStyle w:val="Heading5"/>
      </w:pPr>
      <w:r w:rsidRPr="00E16828">
        <w:t>Figure</w:t>
      </w:r>
      <w:r w:rsidR="007C6224">
        <w:t xml:space="preserve"> 14</w:t>
      </w:r>
      <w:r w:rsidRPr="00E16828">
        <w:t>: Doing Business Rankings 2017 (out of 190)</w:t>
      </w:r>
      <w:bookmarkEnd w:id="11"/>
    </w:p>
    <w:p w14:paraId="197D3096" w14:textId="77777777" w:rsidR="00F96346" w:rsidRDefault="00F96346" w:rsidP="00F96346">
      <w:pPr>
        <w:pStyle w:val="ListParagraph"/>
        <w:spacing w:after="120"/>
        <w:ind w:left="0"/>
        <w:jc w:val="center"/>
      </w:pPr>
      <w:r>
        <w:rPr>
          <w:noProof/>
        </w:rPr>
        <w:drawing>
          <wp:inline distT="0" distB="0" distL="0" distR="0" wp14:anchorId="733BF867" wp14:editId="5EB58D2A">
            <wp:extent cx="5362575" cy="2377440"/>
            <wp:effectExtent l="0" t="0" r="9525"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DE341C" w14:textId="65A96B0B" w:rsidR="00727DC5" w:rsidRPr="00FA6CC3" w:rsidRDefault="00F96346" w:rsidP="00FA6CC3">
      <w:pPr>
        <w:pStyle w:val="ListParagraph"/>
        <w:spacing w:after="240"/>
        <w:ind w:left="0"/>
        <w:contextualSpacing w:val="0"/>
        <w:jc w:val="both"/>
        <w:rPr>
          <w:b/>
          <w:bCs/>
          <w:i/>
          <w:iCs/>
          <w:sz w:val="20"/>
          <w:szCs w:val="20"/>
        </w:rPr>
      </w:pPr>
      <w:r>
        <w:rPr>
          <w:b/>
          <w:bCs/>
          <w:i/>
          <w:iCs/>
          <w:sz w:val="20"/>
          <w:szCs w:val="20"/>
        </w:rPr>
        <w:t xml:space="preserve">     </w:t>
      </w:r>
      <w:r w:rsidRPr="00A43DBC">
        <w:rPr>
          <w:b/>
          <w:bCs/>
          <w:i/>
          <w:iCs/>
          <w:sz w:val="20"/>
          <w:szCs w:val="20"/>
        </w:rPr>
        <w:t xml:space="preserve">Source: IFC Doing Business Database </w:t>
      </w:r>
    </w:p>
    <w:p w14:paraId="43240DDF" w14:textId="110E6F5B" w:rsidR="005D2A6E" w:rsidRPr="004E4903" w:rsidRDefault="004E4903" w:rsidP="005D2A6E">
      <w:r>
        <w:t xml:space="preserve">The Doing Business challenges becomes more apparent from Table 3 below which gives a breakdown of the different components of the composite overall index.  Bangladesh </w:t>
      </w:r>
      <w:r w:rsidR="0089303E">
        <w:t xml:space="preserve">ranks </w:t>
      </w:r>
      <w:r w:rsidR="00876C5E">
        <w:t xml:space="preserve">relatively </w:t>
      </w:r>
      <w:r w:rsidR="0089303E">
        <w:t>poo</w:t>
      </w:r>
      <w:r w:rsidR="00D959E7">
        <w:t>rly in all the components of the index.  Bangladesh will have to address each of the components and needs to better than the competing countries to move ahead in its rankings.</w:t>
      </w:r>
    </w:p>
    <w:p w14:paraId="3CE8C196" w14:textId="777EA6D5" w:rsidR="00727DC5" w:rsidRDefault="00727DC5" w:rsidP="00727DC5">
      <w:pPr>
        <w:jc w:val="center"/>
        <w:rPr>
          <w:b/>
        </w:rPr>
      </w:pPr>
      <w:r w:rsidRPr="00D959E7">
        <w:rPr>
          <w:b/>
        </w:rPr>
        <w:t>Table</w:t>
      </w:r>
      <w:r w:rsidR="00D959E7" w:rsidRPr="00D959E7">
        <w:rPr>
          <w:b/>
        </w:rPr>
        <w:t xml:space="preserve"> 3</w:t>
      </w:r>
      <w:r w:rsidRPr="00D959E7">
        <w:rPr>
          <w:b/>
        </w:rPr>
        <w:t>.</w:t>
      </w:r>
      <w:r>
        <w:rPr>
          <w:b/>
        </w:rPr>
        <w:t xml:space="preserve">  </w:t>
      </w:r>
      <w:r w:rsidRPr="00DA14F2">
        <w:rPr>
          <w:b/>
        </w:rPr>
        <w:t>Ease of Doing Business Rankings, 2016</w:t>
      </w:r>
    </w:p>
    <w:p w14:paraId="0981D052" w14:textId="77777777" w:rsidR="00727DC5" w:rsidRPr="00DA14F2" w:rsidRDefault="00727DC5" w:rsidP="00727DC5">
      <w:pPr>
        <w:jc w:val="center"/>
        <w:rPr>
          <w:b/>
        </w:rPr>
      </w:pPr>
    </w:p>
    <w:tbl>
      <w:tblPr>
        <w:tblW w:w="5000" w:type="pct"/>
        <w:tblLayout w:type="fixed"/>
        <w:tblLook w:val="04A0" w:firstRow="1" w:lastRow="0" w:firstColumn="1" w:lastColumn="0" w:noHBand="0" w:noVBand="1"/>
      </w:tblPr>
      <w:tblGrid>
        <w:gridCol w:w="1199"/>
        <w:gridCol w:w="906"/>
        <w:gridCol w:w="906"/>
        <w:gridCol w:w="998"/>
        <w:gridCol w:w="903"/>
        <w:gridCol w:w="1089"/>
        <w:gridCol w:w="815"/>
        <w:gridCol w:w="722"/>
        <w:gridCol w:w="817"/>
        <w:gridCol w:w="951"/>
      </w:tblGrid>
      <w:tr w:rsidR="00727DC5" w:rsidRPr="00647951" w14:paraId="64077D6D" w14:textId="77777777" w:rsidTr="00727DC5">
        <w:trPr>
          <w:trHeight w:val="900"/>
        </w:trPr>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761D2" w14:textId="77777777" w:rsidR="00727DC5" w:rsidRPr="00D96BF4" w:rsidRDefault="00727DC5" w:rsidP="00727DC5">
            <w:pPr>
              <w:rPr>
                <w:color w:val="000000"/>
                <w:sz w:val="18"/>
                <w:szCs w:val="18"/>
              </w:rPr>
            </w:pPr>
            <w:r w:rsidRPr="00D96BF4">
              <w:rPr>
                <w:color w:val="000000"/>
                <w:sz w:val="18"/>
                <w:szCs w:val="18"/>
              </w:rPr>
              <w:t> </w:t>
            </w:r>
          </w:p>
        </w:tc>
        <w:tc>
          <w:tcPr>
            <w:tcW w:w="487" w:type="pct"/>
            <w:tcBorders>
              <w:top w:val="single" w:sz="4" w:space="0" w:color="auto"/>
              <w:left w:val="nil"/>
              <w:bottom w:val="single" w:sz="4" w:space="0" w:color="auto"/>
              <w:right w:val="nil"/>
            </w:tcBorders>
            <w:shd w:val="clear" w:color="auto" w:fill="auto"/>
            <w:vAlign w:val="bottom"/>
            <w:hideMark/>
          </w:tcPr>
          <w:p w14:paraId="5B509652" w14:textId="77777777" w:rsidR="00727DC5" w:rsidRPr="00D96BF4" w:rsidRDefault="00727DC5" w:rsidP="00727DC5">
            <w:pPr>
              <w:rPr>
                <w:color w:val="000000"/>
                <w:sz w:val="18"/>
                <w:szCs w:val="18"/>
              </w:rPr>
            </w:pPr>
            <w:r w:rsidRPr="00D96BF4">
              <w:rPr>
                <w:color w:val="000000"/>
                <w:sz w:val="18"/>
                <w:szCs w:val="18"/>
              </w:rPr>
              <w:t>Overall Ranking</w:t>
            </w:r>
          </w:p>
        </w:tc>
        <w:tc>
          <w:tcPr>
            <w:tcW w:w="4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DA3AA3F" w14:textId="77777777" w:rsidR="00727DC5" w:rsidRPr="00D96BF4" w:rsidRDefault="00727DC5" w:rsidP="00727DC5">
            <w:pPr>
              <w:rPr>
                <w:color w:val="000000"/>
                <w:sz w:val="18"/>
                <w:szCs w:val="18"/>
              </w:rPr>
            </w:pPr>
            <w:r w:rsidRPr="00D96BF4">
              <w:rPr>
                <w:color w:val="000000"/>
                <w:sz w:val="18"/>
                <w:szCs w:val="18"/>
              </w:rPr>
              <w:t>Starting a business</w:t>
            </w:r>
          </w:p>
        </w:tc>
        <w:tc>
          <w:tcPr>
            <w:tcW w:w="536" w:type="pct"/>
            <w:tcBorders>
              <w:top w:val="single" w:sz="4" w:space="0" w:color="auto"/>
              <w:left w:val="nil"/>
              <w:bottom w:val="single" w:sz="4" w:space="0" w:color="auto"/>
              <w:right w:val="nil"/>
            </w:tcBorders>
            <w:shd w:val="clear" w:color="auto" w:fill="auto"/>
            <w:vAlign w:val="bottom"/>
            <w:hideMark/>
          </w:tcPr>
          <w:p w14:paraId="4AC7004A" w14:textId="77777777" w:rsidR="00727DC5" w:rsidRPr="00D96BF4" w:rsidRDefault="00727DC5" w:rsidP="00727DC5">
            <w:pPr>
              <w:rPr>
                <w:color w:val="000000"/>
                <w:sz w:val="18"/>
                <w:szCs w:val="18"/>
              </w:rPr>
            </w:pPr>
            <w:r w:rsidRPr="00D96BF4">
              <w:rPr>
                <w:color w:val="000000"/>
                <w:sz w:val="18"/>
                <w:szCs w:val="18"/>
              </w:rPr>
              <w:t>Dealing with construction permits</w:t>
            </w:r>
          </w:p>
        </w:tc>
        <w:tc>
          <w:tcPr>
            <w:tcW w:w="4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62E2B6" w14:textId="77777777" w:rsidR="00727DC5" w:rsidRPr="00D96BF4" w:rsidRDefault="00727DC5" w:rsidP="00727DC5">
            <w:pPr>
              <w:rPr>
                <w:color w:val="000000"/>
                <w:sz w:val="18"/>
                <w:szCs w:val="18"/>
              </w:rPr>
            </w:pPr>
            <w:r w:rsidRPr="00D96BF4">
              <w:rPr>
                <w:color w:val="000000"/>
                <w:sz w:val="18"/>
                <w:szCs w:val="18"/>
              </w:rPr>
              <w:t>Getting electricity</w:t>
            </w:r>
          </w:p>
        </w:tc>
        <w:tc>
          <w:tcPr>
            <w:tcW w:w="585" w:type="pct"/>
            <w:tcBorders>
              <w:top w:val="single" w:sz="4" w:space="0" w:color="auto"/>
              <w:left w:val="nil"/>
              <w:bottom w:val="single" w:sz="4" w:space="0" w:color="auto"/>
              <w:right w:val="nil"/>
            </w:tcBorders>
            <w:shd w:val="clear" w:color="auto" w:fill="auto"/>
            <w:vAlign w:val="bottom"/>
            <w:hideMark/>
          </w:tcPr>
          <w:p w14:paraId="1FA03311" w14:textId="77777777" w:rsidR="00727DC5" w:rsidRPr="00D96BF4" w:rsidRDefault="00727DC5" w:rsidP="00727DC5">
            <w:pPr>
              <w:rPr>
                <w:color w:val="000000"/>
                <w:sz w:val="18"/>
                <w:szCs w:val="18"/>
              </w:rPr>
            </w:pPr>
            <w:r w:rsidRPr="00D96BF4">
              <w:rPr>
                <w:color w:val="000000"/>
                <w:sz w:val="18"/>
                <w:szCs w:val="18"/>
              </w:rPr>
              <w:t>Registering Property</w:t>
            </w:r>
          </w:p>
        </w:tc>
        <w:tc>
          <w:tcPr>
            <w:tcW w:w="43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FD3C992" w14:textId="77777777" w:rsidR="00727DC5" w:rsidRPr="00D96BF4" w:rsidRDefault="00727DC5" w:rsidP="00727DC5">
            <w:pPr>
              <w:rPr>
                <w:color w:val="000000"/>
                <w:sz w:val="18"/>
                <w:szCs w:val="18"/>
              </w:rPr>
            </w:pPr>
            <w:r w:rsidRPr="00D96BF4">
              <w:rPr>
                <w:color w:val="000000"/>
                <w:sz w:val="18"/>
                <w:szCs w:val="18"/>
              </w:rPr>
              <w:t>Getting Credit</w:t>
            </w:r>
          </w:p>
        </w:tc>
        <w:tc>
          <w:tcPr>
            <w:tcW w:w="38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AE8E14B" w14:textId="77777777" w:rsidR="00727DC5" w:rsidRPr="00D96BF4" w:rsidRDefault="00727DC5" w:rsidP="00727DC5">
            <w:pPr>
              <w:rPr>
                <w:color w:val="000000"/>
                <w:sz w:val="18"/>
                <w:szCs w:val="18"/>
              </w:rPr>
            </w:pPr>
            <w:r w:rsidRPr="00D96BF4">
              <w:rPr>
                <w:color w:val="000000"/>
                <w:sz w:val="18"/>
                <w:szCs w:val="18"/>
              </w:rPr>
              <w:t>Paying taxes</w:t>
            </w:r>
          </w:p>
        </w:tc>
        <w:tc>
          <w:tcPr>
            <w:tcW w:w="439" w:type="pct"/>
            <w:tcBorders>
              <w:top w:val="single" w:sz="4" w:space="0" w:color="auto"/>
              <w:left w:val="nil"/>
              <w:bottom w:val="single" w:sz="4" w:space="0" w:color="auto"/>
              <w:right w:val="nil"/>
            </w:tcBorders>
            <w:shd w:val="clear" w:color="auto" w:fill="auto"/>
            <w:vAlign w:val="bottom"/>
            <w:hideMark/>
          </w:tcPr>
          <w:p w14:paraId="3317F2BB" w14:textId="77777777" w:rsidR="00727DC5" w:rsidRPr="00D96BF4" w:rsidRDefault="00727DC5" w:rsidP="00727DC5">
            <w:pPr>
              <w:rPr>
                <w:color w:val="000000"/>
                <w:sz w:val="18"/>
                <w:szCs w:val="18"/>
              </w:rPr>
            </w:pPr>
            <w:r w:rsidRPr="00D96BF4">
              <w:rPr>
                <w:color w:val="000000"/>
                <w:sz w:val="18"/>
                <w:szCs w:val="18"/>
              </w:rPr>
              <w:t>Trading across borders</w:t>
            </w:r>
          </w:p>
        </w:tc>
        <w:tc>
          <w:tcPr>
            <w:tcW w:w="51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C7CCC5" w14:textId="77777777" w:rsidR="00727DC5" w:rsidRPr="00D96BF4" w:rsidRDefault="00727DC5" w:rsidP="00727DC5">
            <w:pPr>
              <w:rPr>
                <w:color w:val="000000"/>
                <w:sz w:val="18"/>
                <w:szCs w:val="18"/>
              </w:rPr>
            </w:pPr>
            <w:r w:rsidRPr="00D96BF4">
              <w:rPr>
                <w:color w:val="000000"/>
                <w:sz w:val="18"/>
                <w:szCs w:val="18"/>
              </w:rPr>
              <w:t>Enforcing contracts</w:t>
            </w:r>
          </w:p>
        </w:tc>
      </w:tr>
      <w:tr w:rsidR="00727DC5" w:rsidRPr="00647951" w14:paraId="17FC8527" w14:textId="77777777" w:rsidTr="00727DC5">
        <w:trPr>
          <w:trHeight w:val="305"/>
        </w:trPr>
        <w:tc>
          <w:tcPr>
            <w:tcW w:w="644" w:type="pct"/>
            <w:tcBorders>
              <w:top w:val="nil"/>
              <w:left w:val="single" w:sz="4" w:space="0" w:color="auto"/>
              <w:bottom w:val="nil"/>
              <w:right w:val="single" w:sz="4" w:space="0" w:color="auto"/>
            </w:tcBorders>
            <w:shd w:val="clear" w:color="auto" w:fill="auto"/>
            <w:vAlign w:val="center"/>
            <w:hideMark/>
          </w:tcPr>
          <w:p w14:paraId="0E63B2F7" w14:textId="77777777" w:rsidR="00727DC5" w:rsidRPr="00D96BF4" w:rsidRDefault="00727DC5" w:rsidP="00727DC5">
            <w:pPr>
              <w:rPr>
                <w:b/>
                <w:bCs/>
                <w:color w:val="000000"/>
                <w:sz w:val="18"/>
                <w:szCs w:val="18"/>
              </w:rPr>
            </w:pPr>
            <w:r w:rsidRPr="00D96BF4">
              <w:rPr>
                <w:b/>
                <w:bCs/>
                <w:color w:val="000000"/>
                <w:sz w:val="18"/>
                <w:szCs w:val="18"/>
              </w:rPr>
              <w:t>Bangladesh</w:t>
            </w:r>
          </w:p>
        </w:tc>
        <w:tc>
          <w:tcPr>
            <w:tcW w:w="487" w:type="pct"/>
            <w:tcBorders>
              <w:top w:val="nil"/>
              <w:left w:val="nil"/>
              <w:bottom w:val="nil"/>
              <w:right w:val="nil"/>
            </w:tcBorders>
            <w:shd w:val="clear" w:color="auto" w:fill="auto"/>
            <w:noWrap/>
            <w:vAlign w:val="bottom"/>
            <w:hideMark/>
          </w:tcPr>
          <w:p w14:paraId="21D56495" w14:textId="77777777" w:rsidR="00727DC5" w:rsidRPr="00D96BF4" w:rsidRDefault="00727DC5" w:rsidP="00727DC5">
            <w:pPr>
              <w:jc w:val="right"/>
              <w:rPr>
                <w:color w:val="000000"/>
                <w:sz w:val="18"/>
                <w:szCs w:val="18"/>
              </w:rPr>
            </w:pPr>
            <w:r w:rsidRPr="00D96BF4">
              <w:rPr>
                <w:color w:val="000000"/>
                <w:sz w:val="18"/>
                <w:szCs w:val="18"/>
              </w:rPr>
              <w:t>176</w:t>
            </w:r>
          </w:p>
        </w:tc>
        <w:tc>
          <w:tcPr>
            <w:tcW w:w="487" w:type="pct"/>
            <w:tcBorders>
              <w:top w:val="nil"/>
              <w:left w:val="single" w:sz="4" w:space="0" w:color="auto"/>
              <w:bottom w:val="nil"/>
              <w:right w:val="single" w:sz="4" w:space="0" w:color="auto"/>
            </w:tcBorders>
            <w:shd w:val="clear" w:color="auto" w:fill="auto"/>
            <w:noWrap/>
            <w:vAlign w:val="bottom"/>
            <w:hideMark/>
          </w:tcPr>
          <w:p w14:paraId="12805A1C" w14:textId="77777777" w:rsidR="00727DC5" w:rsidRPr="00D96BF4" w:rsidRDefault="00727DC5" w:rsidP="00727DC5">
            <w:pPr>
              <w:jc w:val="right"/>
              <w:rPr>
                <w:color w:val="000000"/>
                <w:sz w:val="18"/>
                <w:szCs w:val="18"/>
              </w:rPr>
            </w:pPr>
            <w:r w:rsidRPr="00D96BF4">
              <w:rPr>
                <w:color w:val="000000"/>
                <w:sz w:val="18"/>
                <w:szCs w:val="18"/>
              </w:rPr>
              <w:t>122</w:t>
            </w:r>
          </w:p>
        </w:tc>
        <w:tc>
          <w:tcPr>
            <w:tcW w:w="536" w:type="pct"/>
            <w:tcBorders>
              <w:top w:val="nil"/>
              <w:left w:val="nil"/>
              <w:bottom w:val="nil"/>
              <w:right w:val="nil"/>
            </w:tcBorders>
            <w:shd w:val="clear" w:color="auto" w:fill="auto"/>
            <w:noWrap/>
            <w:vAlign w:val="bottom"/>
            <w:hideMark/>
          </w:tcPr>
          <w:p w14:paraId="610D9D91" w14:textId="77777777" w:rsidR="00727DC5" w:rsidRPr="00D96BF4" w:rsidRDefault="00727DC5" w:rsidP="00727DC5">
            <w:pPr>
              <w:jc w:val="right"/>
              <w:rPr>
                <w:color w:val="000000"/>
                <w:sz w:val="18"/>
                <w:szCs w:val="18"/>
              </w:rPr>
            </w:pPr>
            <w:r w:rsidRPr="00D96BF4">
              <w:rPr>
                <w:color w:val="000000"/>
                <w:sz w:val="18"/>
                <w:szCs w:val="18"/>
              </w:rPr>
              <w:t>138</w:t>
            </w:r>
          </w:p>
        </w:tc>
        <w:tc>
          <w:tcPr>
            <w:tcW w:w="485" w:type="pct"/>
            <w:tcBorders>
              <w:top w:val="nil"/>
              <w:left w:val="single" w:sz="4" w:space="0" w:color="auto"/>
              <w:bottom w:val="nil"/>
              <w:right w:val="single" w:sz="4" w:space="0" w:color="auto"/>
            </w:tcBorders>
            <w:shd w:val="clear" w:color="auto" w:fill="auto"/>
            <w:noWrap/>
            <w:vAlign w:val="bottom"/>
            <w:hideMark/>
          </w:tcPr>
          <w:p w14:paraId="6262A2C2" w14:textId="77777777" w:rsidR="00727DC5" w:rsidRPr="00D96BF4" w:rsidRDefault="00727DC5" w:rsidP="00727DC5">
            <w:pPr>
              <w:jc w:val="right"/>
              <w:rPr>
                <w:color w:val="000000"/>
                <w:sz w:val="18"/>
                <w:szCs w:val="18"/>
              </w:rPr>
            </w:pPr>
            <w:r w:rsidRPr="00D96BF4">
              <w:rPr>
                <w:color w:val="000000"/>
                <w:sz w:val="18"/>
                <w:szCs w:val="18"/>
              </w:rPr>
              <w:t>187</w:t>
            </w:r>
          </w:p>
        </w:tc>
        <w:tc>
          <w:tcPr>
            <w:tcW w:w="585" w:type="pct"/>
            <w:tcBorders>
              <w:top w:val="nil"/>
              <w:left w:val="nil"/>
              <w:bottom w:val="nil"/>
              <w:right w:val="nil"/>
            </w:tcBorders>
            <w:shd w:val="clear" w:color="auto" w:fill="auto"/>
            <w:noWrap/>
            <w:vAlign w:val="bottom"/>
            <w:hideMark/>
          </w:tcPr>
          <w:p w14:paraId="7D0AD992" w14:textId="77777777" w:rsidR="00727DC5" w:rsidRPr="00D96BF4" w:rsidRDefault="00727DC5" w:rsidP="00727DC5">
            <w:pPr>
              <w:jc w:val="right"/>
              <w:rPr>
                <w:color w:val="000000"/>
                <w:sz w:val="18"/>
                <w:szCs w:val="18"/>
              </w:rPr>
            </w:pPr>
            <w:r w:rsidRPr="00D96BF4">
              <w:rPr>
                <w:color w:val="000000"/>
                <w:sz w:val="18"/>
                <w:szCs w:val="18"/>
              </w:rPr>
              <w:t>185</w:t>
            </w:r>
          </w:p>
        </w:tc>
        <w:tc>
          <w:tcPr>
            <w:tcW w:w="438" w:type="pct"/>
            <w:tcBorders>
              <w:top w:val="nil"/>
              <w:left w:val="single" w:sz="4" w:space="0" w:color="auto"/>
              <w:bottom w:val="nil"/>
              <w:right w:val="single" w:sz="4" w:space="0" w:color="auto"/>
            </w:tcBorders>
            <w:shd w:val="clear" w:color="auto" w:fill="auto"/>
            <w:noWrap/>
            <w:vAlign w:val="bottom"/>
            <w:hideMark/>
          </w:tcPr>
          <w:p w14:paraId="2449A1DD" w14:textId="77777777" w:rsidR="00727DC5" w:rsidRPr="00D96BF4" w:rsidRDefault="00727DC5" w:rsidP="00727DC5">
            <w:pPr>
              <w:jc w:val="right"/>
              <w:rPr>
                <w:color w:val="000000"/>
                <w:sz w:val="18"/>
                <w:szCs w:val="18"/>
              </w:rPr>
            </w:pPr>
            <w:r w:rsidRPr="00D96BF4">
              <w:rPr>
                <w:color w:val="000000"/>
                <w:sz w:val="18"/>
                <w:szCs w:val="18"/>
              </w:rPr>
              <w:t>157</w:t>
            </w:r>
          </w:p>
        </w:tc>
        <w:tc>
          <w:tcPr>
            <w:tcW w:w="388" w:type="pct"/>
            <w:tcBorders>
              <w:top w:val="nil"/>
              <w:left w:val="single" w:sz="4" w:space="0" w:color="auto"/>
              <w:bottom w:val="nil"/>
              <w:right w:val="single" w:sz="4" w:space="0" w:color="auto"/>
            </w:tcBorders>
            <w:shd w:val="clear" w:color="auto" w:fill="auto"/>
            <w:noWrap/>
            <w:vAlign w:val="bottom"/>
            <w:hideMark/>
          </w:tcPr>
          <w:p w14:paraId="37D35D73" w14:textId="77777777" w:rsidR="00727DC5" w:rsidRPr="00D96BF4" w:rsidRDefault="00727DC5" w:rsidP="00727DC5">
            <w:pPr>
              <w:jc w:val="right"/>
              <w:rPr>
                <w:color w:val="000000"/>
                <w:sz w:val="18"/>
                <w:szCs w:val="18"/>
              </w:rPr>
            </w:pPr>
            <w:r w:rsidRPr="00D96BF4">
              <w:rPr>
                <w:color w:val="000000"/>
                <w:sz w:val="18"/>
                <w:szCs w:val="18"/>
              </w:rPr>
              <w:t>151</w:t>
            </w:r>
          </w:p>
        </w:tc>
        <w:tc>
          <w:tcPr>
            <w:tcW w:w="439" w:type="pct"/>
            <w:tcBorders>
              <w:top w:val="nil"/>
              <w:left w:val="nil"/>
              <w:bottom w:val="nil"/>
              <w:right w:val="nil"/>
            </w:tcBorders>
            <w:shd w:val="clear" w:color="auto" w:fill="auto"/>
            <w:noWrap/>
            <w:vAlign w:val="bottom"/>
            <w:hideMark/>
          </w:tcPr>
          <w:p w14:paraId="42B4C72A" w14:textId="77777777" w:rsidR="00727DC5" w:rsidRPr="00D96BF4" w:rsidRDefault="00727DC5" w:rsidP="00727DC5">
            <w:pPr>
              <w:jc w:val="right"/>
              <w:rPr>
                <w:color w:val="000000"/>
                <w:sz w:val="18"/>
                <w:szCs w:val="18"/>
              </w:rPr>
            </w:pPr>
            <w:r w:rsidRPr="00D96BF4">
              <w:rPr>
                <w:color w:val="000000"/>
                <w:sz w:val="18"/>
                <w:szCs w:val="18"/>
              </w:rPr>
              <w:t>173</w:t>
            </w:r>
          </w:p>
        </w:tc>
        <w:tc>
          <w:tcPr>
            <w:tcW w:w="511" w:type="pct"/>
            <w:tcBorders>
              <w:top w:val="nil"/>
              <w:left w:val="single" w:sz="4" w:space="0" w:color="auto"/>
              <w:bottom w:val="nil"/>
              <w:right w:val="single" w:sz="4" w:space="0" w:color="auto"/>
            </w:tcBorders>
            <w:shd w:val="clear" w:color="auto" w:fill="auto"/>
            <w:noWrap/>
            <w:vAlign w:val="bottom"/>
            <w:hideMark/>
          </w:tcPr>
          <w:p w14:paraId="2C496D8D" w14:textId="77777777" w:rsidR="00727DC5" w:rsidRPr="00D96BF4" w:rsidRDefault="00727DC5" w:rsidP="00727DC5">
            <w:pPr>
              <w:jc w:val="right"/>
              <w:rPr>
                <w:color w:val="000000"/>
                <w:sz w:val="18"/>
                <w:szCs w:val="18"/>
              </w:rPr>
            </w:pPr>
            <w:r w:rsidRPr="00D96BF4">
              <w:rPr>
                <w:color w:val="000000"/>
                <w:sz w:val="18"/>
                <w:szCs w:val="18"/>
              </w:rPr>
              <w:t>189</w:t>
            </w:r>
          </w:p>
        </w:tc>
      </w:tr>
      <w:tr w:rsidR="00727DC5" w:rsidRPr="00647951" w14:paraId="20509A90" w14:textId="77777777" w:rsidTr="00727DC5">
        <w:trPr>
          <w:trHeight w:val="300"/>
        </w:trPr>
        <w:tc>
          <w:tcPr>
            <w:tcW w:w="644" w:type="pct"/>
            <w:tcBorders>
              <w:top w:val="nil"/>
              <w:left w:val="single" w:sz="4" w:space="0" w:color="auto"/>
              <w:bottom w:val="nil"/>
              <w:right w:val="single" w:sz="4" w:space="0" w:color="auto"/>
            </w:tcBorders>
            <w:shd w:val="clear" w:color="auto" w:fill="auto"/>
            <w:vAlign w:val="center"/>
            <w:hideMark/>
          </w:tcPr>
          <w:p w14:paraId="4D8CF538" w14:textId="77777777" w:rsidR="00727DC5" w:rsidRPr="00D96BF4" w:rsidRDefault="00727DC5" w:rsidP="00727DC5">
            <w:pPr>
              <w:rPr>
                <w:b/>
                <w:bCs/>
                <w:color w:val="000000"/>
                <w:sz w:val="18"/>
                <w:szCs w:val="18"/>
              </w:rPr>
            </w:pPr>
            <w:r w:rsidRPr="00D96BF4">
              <w:rPr>
                <w:b/>
                <w:bCs/>
                <w:color w:val="000000"/>
                <w:sz w:val="18"/>
                <w:szCs w:val="18"/>
              </w:rPr>
              <w:t>Singapore</w:t>
            </w:r>
          </w:p>
        </w:tc>
        <w:tc>
          <w:tcPr>
            <w:tcW w:w="487" w:type="pct"/>
            <w:tcBorders>
              <w:top w:val="nil"/>
              <w:left w:val="nil"/>
              <w:bottom w:val="nil"/>
              <w:right w:val="nil"/>
            </w:tcBorders>
            <w:shd w:val="clear" w:color="auto" w:fill="auto"/>
            <w:noWrap/>
            <w:vAlign w:val="bottom"/>
            <w:hideMark/>
          </w:tcPr>
          <w:p w14:paraId="33A84D32" w14:textId="77777777" w:rsidR="00727DC5" w:rsidRPr="00D96BF4" w:rsidRDefault="00727DC5" w:rsidP="00727DC5">
            <w:pPr>
              <w:jc w:val="right"/>
              <w:rPr>
                <w:color w:val="000000"/>
                <w:sz w:val="18"/>
                <w:szCs w:val="18"/>
              </w:rPr>
            </w:pPr>
            <w:r w:rsidRPr="00D96BF4">
              <w:rPr>
                <w:color w:val="000000"/>
                <w:sz w:val="18"/>
                <w:szCs w:val="18"/>
              </w:rPr>
              <w:t>2</w:t>
            </w:r>
          </w:p>
        </w:tc>
        <w:tc>
          <w:tcPr>
            <w:tcW w:w="487" w:type="pct"/>
            <w:tcBorders>
              <w:top w:val="nil"/>
              <w:left w:val="single" w:sz="4" w:space="0" w:color="auto"/>
              <w:bottom w:val="nil"/>
              <w:right w:val="single" w:sz="4" w:space="0" w:color="auto"/>
            </w:tcBorders>
            <w:shd w:val="clear" w:color="auto" w:fill="auto"/>
            <w:noWrap/>
            <w:vAlign w:val="bottom"/>
            <w:hideMark/>
          </w:tcPr>
          <w:p w14:paraId="5AA64790" w14:textId="77777777" w:rsidR="00727DC5" w:rsidRPr="00D96BF4" w:rsidRDefault="00727DC5" w:rsidP="00727DC5">
            <w:pPr>
              <w:jc w:val="right"/>
              <w:rPr>
                <w:color w:val="000000"/>
                <w:sz w:val="18"/>
                <w:szCs w:val="18"/>
              </w:rPr>
            </w:pPr>
            <w:r w:rsidRPr="00D96BF4">
              <w:rPr>
                <w:color w:val="000000"/>
                <w:sz w:val="18"/>
                <w:szCs w:val="18"/>
              </w:rPr>
              <w:t>6</w:t>
            </w:r>
          </w:p>
        </w:tc>
        <w:tc>
          <w:tcPr>
            <w:tcW w:w="536" w:type="pct"/>
            <w:tcBorders>
              <w:top w:val="nil"/>
              <w:left w:val="nil"/>
              <w:bottom w:val="nil"/>
              <w:right w:val="nil"/>
            </w:tcBorders>
            <w:shd w:val="clear" w:color="auto" w:fill="auto"/>
            <w:noWrap/>
            <w:vAlign w:val="bottom"/>
            <w:hideMark/>
          </w:tcPr>
          <w:p w14:paraId="38143555" w14:textId="77777777" w:rsidR="00727DC5" w:rsidRPr="00D96BF4" w:rsidRDefault="00727DC5" w:rsidP="00727DC5">
            <w:pPr>
              <w:jc w:val="right"/>
              <w:rPr>
                <w:color w:val="000000"/>
                <w:sz w:val="18"/>
                <w:szCs w:val="18"/>
              </w:rPr>
            </w:pPr>
            <w:r w:rsidRPr="00D96BF4">
              <w:rPr>
                <w:color w:val="000000"/>
                <w:sz w:val="18"/>
                <w:szCs w:val="18"/>
              </w:rPr>
              <w:t>10</w:t>
            </w:r>
          </w:p>
        </w:tc>
        <w:tc>
          <w:tcPr>
            <w:tcW w:w="485" w:type="pct"/>
            <w:tcBorders>
              <w:top w:val="nil"/>
              <w:left w:val="single" w:sz="4" w:space="0" w:color="auto"/>
              <w:bottom w:val="nil"/>
              <w:right w:val="single" w:sz="4" w:space="0" w:color="auto"/>
            </w:tcBorders>
            <w:shd w:val="clear" w:color="auto" w:fill="auto"/>
            <w:noWrap/>
            <w:vAlign w:val="bottom"/>
            <w:hideMark/>
          </w:tcPr>
          <w:p w14:paraId="7A4EC56F" w14:textId="77777777" w:rsidR="00727DC5" w:rsidRPr="00D96BF4" w:rsidRDefault="00727DC5" w:rsidP="00727DC5">
            <w:pPr>
              <w:jc w:val="right"/>
              <w:rPr>
                <w:color w:val="000000"/>
                <w:sz w:val="18"/>
                <w:szCs w:val="18"/>
              </w:rPr>
            </w:pPr>
            <w:r w:rsidRPr="00D96BF4">
              <w:rPr>
                <w:color w:val="000000"/>
                <w:sz w:val="18"/>
                <w:szCs w:val="18"/>
              </w:rPr>
              <w:t>10</w:t>
            </w:r>
          </w:p>
        </w:tc>
        <w:tc>
          <w:tcPr>
            <w:tcW w:w="585" w:type="pct"/>
            <w:tcBorders>
              <w:top w:val="nil"/>
              <w:left w:val="nil"/>
              <w:bottom w:val="nil"/>
              <w:right w:val="nil"/>
            </w:tcBorders>
            <w:shd w:val="clear" w:color="auto" w:fill="auto"/>
            <w:noWrap/>
            <w:vAlign w:val="bottom"/>
            <w:hideMark/>
          </w:tcPr>
          <w:p w14:paraId="3AF91F12" w14:textId="77777777" w:rsidR="00727DC5" w:rsidRPr="00D96BF4" w:rsidRDefault="00727DC5" w:rsidP="00727DC5">
            <w:pPr>
              <w:jc w:val="right"/>
              <w:rPr>
                <w:color w:val="000000"/>
                <w:sz w:val="18"/>
                <w:szCs w:val="18"/>
              </w:rPr>
            </w:pPr>
            <w:r w:rsidRPr="00D96BF4">
              <w:rPr>
                <w:color w:val="000000"/>
                <w:sz w:val="18"/>
                <w:szCs w:val="18"/>
              </w:rPr>
              <w:t>19</w:t>
            </w:r>
          </w:p>
        </w:tc>
        <w:tc>
          <w:tcPr>
            <w:tcW w:w="438" w:type="pct"/>
            <w:tcBorders>
              <w:top w:val="nil"/>
              <w:left w:val="single" w:sz="4" w:space="0" w:color="auto"/>
              <w:bottom w:val="nil"/>
              <w:right w:val="single" w:sz="4" w:space="0" w:color="auto"/>
            </w:tcBorders>
            <w:shd w:val="clear" w:color="auto" w:fill="auto"/>
            <w:noWrap/>
            <w:vAlign w:val="bottom"/>
            <w:hideMark/>
          </w:tcPr>
          <w:p w14:paraId="0229D72D" w14:textId="77777777" w:rsidR="00727DC5" w:rsidRPr="00D96BF4" w:rsidRDefault="00727DC5" w:rsidP="00727DC5">
            <w:pPr>
              <w:jc w:val="right"/>
              <w:rPr>
                <w:color w:val="000000"/>
                <w:sz w:val="18"/>
                <w:szCs w:val="18"/>
              </w:rPr>
            </w:pPr>
            <w:r w:rsidRPr="00D96BF4">
              <w:rPr>
                <w:color w:val="000000"/>
                <w:sz w:val="18"/>
                <w:szCs w:val="18"/>
              </w:rPr>
              <w:t>20</w:t>
            </w:r>
          </w:p>
        </w:tc>
        <w:tc>
          <w:tcPr>
            <w:tcW w:w="388" w:type="pct"/>
            <w:tcBorders>
              <w:top w:val="nil"/>
              <w:left w:val="single" w:sz="4" w:space="0" w:color="auto"/>
              <w:bottom w:val="nil"/>
              <w:right w:val="single" w:sz="4" w:space="0" w:color="auto"/>
            </w:tcBorders>
            <w:shd w:val="clear" w:color="auto" w:fill="auto"/>
            <w:noWrap/>
            <w:vAlign w:val="bottom"/>
            <w:hideMark/>
          </w:tcPr>
          <w:p w14:paraId="1A308076" w14:textId="77777777" w:rsidR="00727DC5" w:rsidRPr="00D96BF4" w:rsidRDefault="00727DC5" w:rsidP="00727DC5">
            <w:pPr>
              <w:jc w:val="right"/>
              <w:rPr>
                <w:color w:val="000000"/>
                <w:sz w:val="18"/>
                <w:szCs w:val="18"/>
              </w:rPr>
            </w:pPr>
            <w:r w:rsidRPr="00D96BF4">
              <w:rPr>
                <w:color w:val="000000"/>
                <w:sz w:val="18"/>
                <w:szCs w:val="18"/>
              </w:rPr>
              <w:t>8</w:t>
            </w:r>
          </w:p>
        </w:tc>
        <w:tc>
          <w:tcPr>
            <w:tcW w:w="439" w:type="pct"/>
            <w:tcBorders>
              <w:top w:val="nil"/>
              <w:left w:val="nil"/>
              <w:bottom w:val="nil"/>
              <w:right w:val="nil"/>
            </w:tcBorders>
            <w:shd w:val="clear" w:color="auto" w:fill="auto"/>
            <w:noWrap/>
            <w:vAlign w:val="bottom"/>
            <w:hideMark/>
          </w:tcPr>
          <w:p w14:paraId="51BD01AA" w14:textId="77777777" w:rsidR="00727DC5" w:rsidRPr="00D96BF4" w:rsidRDefault="00727DC5" w:rsidP="00727DC5">
            <w:pPr>
              <w:jc w:val="right"/>
              <w:rPr>
                <w:color w:val="000000"/>
                <w:sz w:val="18"/>
                <w:szCs w:val="18"/>
              </w:rPr>
            </w:pPr>
            <w:r w:rsidRPr="00D96BF4">
              <w:rPr>
                <w:color w:val="000000"/>
                <w:sz w:val="18"/>
                <w:szCs w:val="18"/>
              </w:rPr>
              <w:t>41</w:t>
            </w:r>
          </w:p>
        </w:tc>
        <w:tc>
          <w:tcPr>
            <w:tcW w:w="511" w:type="pct"/>
            <w:tcBorders>
              <w:top w:val="nil"/>
              <w:left w:val="single" w:sz="4" w:space="0" w:color="auto"/>
              <w:bottom w:val="nil"/>
              <w:right w:val="single" w:sz="4" w:space="0" w:color="auto"/>
            </w:tcBorders>
            <w:shd w:val="clear" w:color="auto" w:fill="auto"/>
            <w:noWrap/>
            <w:vAlign w:val="bottom"/>
            <w:hideMark/>
          </w:tcPr>
          <w:p w14:paraId="5AF5BC96" w14:textId="77777777" w:rsidR="00727DC5" w:rsidRPr="00D96BF4" w:rsidRDefault="00727DC5" w:rsidP="00727DC5">
            <w:pPr>
              <w:jc w:val="right"/>
              <w:rPr>
                <w:color w:val="000000"/>
                <w:sz w:val="18"/>
                <w:szCs w:val="18"/>
              </w:rPr>
            </w:pPr>
            <w:r w:rsidRPr="00D96BF4">
              <w:rPr>
                <w:color w:val="000000"/>
                <w:sz w:val="18"/>
                <w:szCs w:val="18"/>
              </w:rPr>
              <w:t>2</w:t>
            </w:r>
          </w:p>
        </w:tc>
      </w:tr>
      <w:tr w:rsidR="00727DC5" w:rsidRPr="00647951" w14:paraId="077B2915" w14:textId="77777777" w:rsidTr="00727DC5">
        <w:trPr>
          <w:trHeight w:val="243"/>
        </w:trPr>
        <w:tc>
          <w:tcPr>
            <w:tcW w:w="644" w:type="pct"/>
            <w:tcBorders>
              <w:top w:val="nil"/>
              <w:left w:val="single" w:sz="4" w:space="0" w:color="auto"/>
              <w:bottom w:val="nil"/>
              <w:right w:val="single" w:sz="4" w:space="0" w:color="auto"/>
            </w:tcBorders>
            <w:shd w:val="clear" w:color="auto" w:fill="auto"/>
            <w:vAlign w:val="center"/>
            <w:hideMark/>
          </w:tcPr>
          <w:p w14:paraId="4F465882" w14:textId="77777777" w:rsidR="00727DC5" w:rsidRPr="00D96BF4" w:rsidRDefault="00727DC5" w:rsidP="00727DC5">
            <w:pPr>
              <w:rPr>
                <w:b/>
                <w:bCs/>
                <w:color w:val="000000"/>
                <w:sz w:val="18"/>
                <w:szCs w:val="18"/>
              </w:rPr>
            </w:pPr>
            <w:r w:rsidRPr="00D96BF4">
              <w:rPr>
                <w:b/>
                <w:bCs/>
                <w:color w:val="000000"/>
                <w:sz w:val="18"/>
                <w:szCs w:val="18"/>
              </w:rPr>
              <w:t>Hong Kong</w:t>
            </w:r>
          </w:p>
        </w:tc>
        <w:tc>
          <w:tcPr>
            <w:tcW w:w="487" w:type="pct"/>
            <w:tcBorders>
              <w:top w:val="nil"/>
              <w:left w:val="nil"/>
              <w:bottom w:val="nil"/>
              <w:right w:val="nil"/>
            </w:tcBorders>
            <w:shd w:val="clear" w:color="auto" w:fill="auto"/>
            <w:noWrap/>
            <w:vAlign w:val="bottom"/>
            <w:hideMark/>
          </w:tcPr>
          <w:p w14:paraId="58BE5708" w14:textId="77777777" w:rsidR="00727DC5" w:rsidRPr="00D96BF4" w:rsidRDefault="00727DC5" w:rsidP="00727DC5">
            <w:pPr>
              <w:jc w:val="right"/>
              <w:rPr>
                <w:color w:val="000000"/>
                <w:sz w:val="18"/>
                <w:szCs w:val="18"/>
              </w:rPr>
            </w:pPr>
            <w:r w:rsidRPr="00D96BF4">
              <w:rPr>
                <w:color w:val="000000"/>
                <w:sz w:val="18"/>
                <w:szCs w:val="18"/>
              </w:rPr>
              <w:t>4</w:t>
            </w:r>
          </w:p>
        </w:tc>
        <w:tc>
          <w:tcPr>
            <w:tcW w:w="487" w:type="pct"/>
            <w:tcBorders>
              <w:top w:val="nil"/>
              <w:left w:val="single" w:sz="4" w:space="0" w:color="auto"/>
              <w:bottom w:val="nil"/>
              <w:right w:val="single" w:sz="4" w:space="0" w:color="auto"/>
            </w:tcBorders>
            <w:shd w:val="clear" w:color="auto" w:fill="auto"/>
            <w:noWrap/>
            <w:vAlign w:val="bottom"/>
            <w:hideMark/>
          </w:tcPr>
          <w:p w14:paraId="191DA5A6" w14:textId="77777777" w:rsidR="00727DC5" w:rsidRPr="00D96BF4" w:rsidRDefault="00727DC5" w:rsidP="00727DC5">
            <w:pPr>
              <w:jc w:val="right"/>
              <w:rPr>
                <w:color w:val="000000"/>
                <w:sz w:val="18"/>
                <w:szCs w:val="18"/>
              </w:rPr>
            </w:pPr>
            <w:r w:rsidRPr="00D96BF4">
              <w:rPr>
                <w:color w:val="000000"/>
                <w:sz w:val="18"/>
                <w:szCs w:val="18"/>
              </w:rPr>
              <w:t>3</w:t>
            </w:r>
          </w:p>
        </w:tc>
        <w:tc>
          <w:tcPr>
            <w:tcW w:w="536" w:type="pct"/>
            <w:tcBorders>
              <w:top w:val="nil"/>
              <w:left w:val="nil"/>
              <w:bottom w:val="nil"/>
              <w:right w:val="nil"/>
            </w:tcBorders>
            <w:shd w:val="clear" w:color="auto" w:fill="auto"/>
            <w:noWrap/>
            <w:vAlign w:val="bottom"/>
            <w:hideMark/>
          </w:tcPr>
          <w:p w14:paraId="21689FAF" w14:textId="77777777" w:rsidR="00727DC5" w:rsidRPr="00D96BF4" w:rsidRDefault="00727DC5" w:rsidP="00727DC5">
            <w:pPr>
              <w:jc w:val="right"/>
              <w:rPr>
                <w:color w:val="000000"/>
                <w:sz w:val="18"/>
                <w:szCs w:val="18"/>
              </w:rPr>
            </w:pPr>
            <w:r w:rsidRPr="00D96BF4">
              <w:rPr>
                <w:color w:val="000000"/>
                <w:sz w:val="18"/>
                <w:szCs w:val="18"/>
              </w:rPr>
              <w:t>5</w:t>
            </w:r>
          </w:p>
        </w:tc>
        <w:tc>
          <w:tcPr>
            <w:tcW w:w="485" w:type="pct"/>
            <w:tcBorders>
              <w:top w:val="nil"/>
              <w:left w:val="single" w:sz="4" w:space="0" w:color="auto"/>
              <w:bottom w:val="nil"/>
              <w:right w:val="single" w:sz="4" w:space="0" w:color="auto"/>
            </w:tcBorders>
            <w:shd w:val="clear" w:color="auto" w:fill="auto"/>
            <w:noWrap/>
            <w:vAlign w:val="bottom"/>
            <w:hideMark/>
          </w:tcPr>
          <w:p w14:paraId="45C2AFE6" w14:textId="77777777" w:rsidR="00727DC5" w:rsidRPr="00D96BF4" w:rsidRDefault="00727DC5" w:rsidP="00727DC5">
            <w:pPr>
              <w:jc w:val="right"/>
              <w:rPr>
                <w:color w:val="000000"/>
                <w:sz w:val="18"/>
                <w:szCs w:val="18"/>
              </w:rPr>
            </w:pPr>
            <w:r w:rsidRPr="00D96BF4">
              <w:rPr>
                <w:color w:val="000000"/>
                <w:sz w:val="18"/>
                <w:szCs w:val="18"/>
              </w:rPr>
              <w:t>3</w:t>
            </w:r>
          </w:p>
        </w:tc>
        <w:tc>
          <w:tcPr>
            <w:tcW w:w="585" w:type="pct"/>
            <w:tcBorders>
              <w:top w:val="nil"/>
              <w:left w:val="nil"/>
              <w:bottom w:val="nil"/>
              <w:right w:val="nil"/>
            </w:tcBorders>
            <w:shd w:val="clear" w:color="auto" w:fill="auto"/>
            <w:noWrap/>
            <w:vAlign w:val="bottom"/>
            <w:hideMark/>
          </w:tcPr>
          <w:p w14:paraId="58E2F4A7" w14:textId="77777777" w:rsidR="00727DC5" w:rsidRPr="00D96BF4" w:rsidRDefault="00727DC5" w:rsidP="00727DC5">
            <w:pPr>
              <w:jc w:val="right"/>
              <w:rPr>
                <w:color w:val="000000"/>
                <w:sz w:val="18"/>
                <w:szCs w:val="18"/>
              </w:rPr>
            </w:pPr>
            <w:r w:rsidRPr="00D96BF4">
              <w:rPr>
                <w:color w:val="000000"/>
                <w:sz w:val="18"/>
                <w:szCs w:val="18"/>
              </w:rPr>
              <w:t>61</w:t>
            </w:r>
          </w:p>
        </w:tc>
        <w:tc>
          <w:tcPr>
            <w:tcW w:w="438" w:type="pct"/>
            <w:tcBorders>
              <w:top w:val="nil"/>
              <w:left w:val="single" w:sz="4" w:space="0" w:color="auto"/>
              <w:bottom w:val="nil"/>
              <w:right w:val="single" w:sz="4" w:space="0" w:color="auto"/>
            </w:tcBorders>
            <w:shd w:val="clear" w:color="auto" w:fill="auto"/>
            <w:noWrap/>
            <w:vAlign w:val="bottom"/>
            <w:hideMark/>
          </w:tcPr>
          <w:p w14:paraId="15D08C4D" w14:textId="77777777" w:rsidR="00727DC5" w:rsidRPr="00D96BF4" w:rsidRDefault="00727DC5" w:rsidP="00727DC5">
            <w:pPr>
              <w:jc w:val="right"/>
              <w:rPr>
                <w:color w:val="000000"/>
                <w:sz w:val="18"/>
                <w:szCs w:val="18"/>
              </w:rPr>
            </w:pPr>
            <w:r w:rsidRPr="00D96BF4">
              <w:rPr>
                <w:color w:val="000000"/>
                <w:sz w:val="18"/>
                <w:szCs w:val="18"/>
              </w:rPr>
              <w:t>20</w:t>
            </w:r>
          </w:p>
        </w:tc>
        <w:tc>
          <w:tcPr>
            <w:tcW w:w="388" w:type="pct"/>
            <w:tcBorders>
              <w:top w:val="nil"/>
              <w:left w:val="single" w:sz="4" w:space="0" w:color="auto"/>
              <w:bottom w:val="nil"/>
              <w:right w:val="single" w:sz="4" w:space="0" w:color="auto"/>
            </w:tcBorders>
            <w:shd w:val="clear" w:color="auto" w:fill="auto"/>
            <w:noWrap/>
            <w:vAlign w:val="bottom"/>
            <w:hideMark/>
          </w:tcPr>
          <w:p w14:paraId="7CA33372" w14:textId="77777777" w:rsidR="00727DC5" w:rsidRPr="00D96BF4" w:rsidRDefault="00727DC5" w:rsidP="00727DC5">
            <w:pPr>
              <w:jc w:val="right"/>
              <w:rPr>
                <w:color w:val="000000"/>
                <w:sz w:val="18"/>
                <w:szCs w:val="18"/>
              </w:rPr>
            </w:pPr>
            <w:r w:rsidRPr="00D96BF4">
              <w:rPr>
                <w:color w:val="000000"/>
                <w:sz w:val="18"/>
                <w:szCs w:val="18"/>
              </w:rPr>
              <w:t>3</w:t>
            </w:r>
          </w:p>
        </w:tc>
        <w:tc>
          <w:tcPr>
            <w:tcW w:w="439" w:type="pct"/>
            <w:tcBorders>
              <w:top w:val="nil"/>
              <w:left w:val="nil"/>
              <w:bottom w:val="nil"/>
              <w:right w:val="nil"/>
            </w:tcBorders>
            <w:shd w:val="clear" w:color="auto" w:fill="auto"/>
            <w:noWrap/>
            <w:vAlign w:val="bottom"/>
            <w:hideMark/>
          </w:tcPr>
          <w:p w14:paraId="1BF99593" w14:textId="77777777" w:rsidR="00727DC5" w:rsidRPr="00D96BF4" w:rsidRDefault="00727DC5" w:rsidP="00727DC5">
            <w:pPr>
              <w:jc w:val="right"/>
              <w:rPr>
                <w:color w:val="000000"/>
                <w:sz w:val="18"/>
                <w:szCs w:val="18"/>
              </w:rPr>
            </w:pPr>
            <w:r w:rsidRPr="00D96BF4">
              <w:rPr>
                <w:color w:val="000000"/>
                <w:sz w:val="18"/>
                <w:szCs w:val="18"/>
              </w:rPr>
              <w:t>42</w:t>
            </w:r>
          </w:p>
        </w:tc>
        <w:tc>
          <w:tcPr>
            <w:tcW w:w="511" w:type="pct"/>
            <w:tcBorders>
              <w:top w:val="nil"/>
              <w:left w:val="single" w:sz="4" w:space="0" w:color="auto"/>
              <w:bottom w:val="nil"/>
              <w:right w:val="single" w:sz="4" w:space="0" w:color="auto"/>
            </w:tcBorders>
            <w:shd w:val="clear" w:color="auto" w:fill="auto"/>
            <w:noWrap/>
            <w:vAlign w:val="bottom"/>
            <w:hideMark/>
          </w:tcPr>
          <w:p w14:paraId="50EBF74D" w14:textId="77777777" w:rsidR="00727DC5" w:rsidRPr="00D96BF4" w:rsidRDefault="00727DC5" w:rsidP="00727DC5">
            <w:pPr>
              <w:jc w:val="right"/>
              <w:rPr>
                <w:color w:val="000000"/>
                <w:sz w:val="18"/>
                <w:szCs w:val="18"/>
              </w:rPr>
            </w:pPr>
            <w:r w:rsidRPr="00D96BF4">
              <w:rPr>
                <w:color w:val="000000"/>
                <w:sz w:val="18"/>
                <w:szCs w:val="18"/>
              </w:rPr>
              <w:t>21</w:t>
            </w:r>
          </w:p>
        </w:tc>
      </w:tr>
      <w:tr w:rsidR="00727DC5" w:rsidRPr="00647951" w14:paraId="04D85BC1" w14:textId="77777777" w:rsidTr="00727DC5">
        <w:trPr>
          <w:trHeight w:val="387"/>
        </w:trPr>
        <w:tc>
          <w:tcPr>
            <w:tcW w:w="644" w:type="pct"/>
            <w:tcBorders>
              <w:top w:val="nil"/>
              <w:left w:val="single" w:sz="4" w:space="0" w:color="auto"/>
              <w:bottom w:val="nil"/>
              <w:right w:val="single" w:sz="4" w:space="0" w:color="auto"/>
            </w:tcBorders>
            <w:shd w:val="clear" w:color="auto" w:fill="auto"/>
            <w:vAlign w:val="center"/>
            <w:hideMark/>
          </w:tcPr>
          <w:p w14:paraId="1AE3B185" w14:textId="77777777" w:rsidR="00727DC5" w:rsidRPr="00D96BF4" w:rsidRDefault="00727DC5" w:rsidP="00727DC5">
            <w:pPr>
              <w:rPr>
                <w:b/>
                <w:bCs/>
                <w:color w:val="000000"/>
                <w:sz w:val="18"/>
                <w:szCs w:val="18"/>
              </w:rPr>
            </w:pPr>
            <w:r w:rsidRPr="00D96BF4">
              <w:rPr>
                <w:b/>
                <w:bCs/>
                <w:color w:val="000000"/>
                <w:sz w:val="18"/>
                <w:szCs w:val="18"/>
              </w:rPr>
              <w:t>South Korea</w:t>
            </w:r>
          </w:p>
        </w:tc>
        <w:tc>
          <w:tcPr>
            <w:tcW w:w="487" w:type="pct"/>
            <w:tcBorders>
              <w:top w:val="nil"/>
              <w:left w:val="nil"/>
              <w:bottom w:val="nil"/>
              <w:right w:val="nil"/>
            </w:tcBorders>
            <w:shd w:val="clear" w:color="auto" w:fill="auto"/>
            <w:noWrap/>
            <w:vAlign w:val="bottom"/>
            <w:hideMark/>
          </w:tcPr>
          <w:p w14:paraId="2C1DF935" w14:textId="77777777" w:rsidR="00727DC5" w:rsidRPr="00D96BF4" w:rsidRDefault="00727DC5" w:rsidP="00727DC5">
            <w:pPr>
              <w:jc w:val="right"/>
              <w:rPr>
                <w:color w:val="000000"/>
                <w:sz w:val="18"/>
                <w:szCs w:val="18"/>
              </w:rPr>
            </w:pPr>
            <w:r w:rsidRPr="00D96BF4">
              <w:rPr>
                <w:color w:val="000000"/>
                <w:sz w:val="18"/>
                <w:szCs w:val="18"/>
              </w:rPr>
              <w:t>5</w:t>
            </w:r>
          </w:p>
        </w:tc>
        <w:tc>
          <w:tcPr>
            <w:tcW w:w="487" w:type="pct"/>
            <w:tcBorders>
              <w:top w:val="nil"/>
              <w:left w:val="single" w:sz="4" w:space="0" w:color="auto"/>
              <w:bottom w:val="nil"/>
              <w:right w:val="single" w:sz="4" w:space="0" w:color="auto"/>
            </w:tcBorders>
            <w:shd w:val="clear" w:color="auto" w:fill="auto"/>
            <w:noWrap/>
            <w:vAlign w:val="bottom"/>
            <w:hideMark/>
          </w:tcPr>
          <w:p w14:paraId="14EE4172" w14:textId="77777777" w:rsidR="00727DC5" w:rsidRPr="00D96BF4" w:rsidRDefault="00727DC5" w:rsidP="00727DC5">
            <w:pPr>
              <w:jc w:val="right"/>
              <w:rPr>
                <w:color w:val="000000"/>
                <w:sz w:val="18"/>
                <w:szCs w:val="18"/>
              </w:rPr>
            </w:pPr>
            <w:r w:rsidRPr="00D96BF4">
              <w:rPr>
                <w:color w:val="000000"/>
                <w:sz w:val="18"/>
                <w:szCs w:val="18"/>
              </w:rPr>
              <w:t>11</w:t>
            </w:r>
          </w:p>
        </w:tc>
        <w:tc>
          <w:tcPr>
            <w:tcW w:w="536" w:type="pct"/>
            <w:tcBorders>
              <w:top w:val="nil"/>
              <w:left w:val="nil"/>
              <w:bottom w:val="nil"/>
              <w:right w:val="nil"/>
            </w:tcBorders>
            <w:shd w:val="clear" w:color="auto" w:fill="auto"/>
            <w:noWrap/>
            <w:vAlign w:val="bottom"/>
            <w:hideMark/>
          </w:tcPr>
          <w:p w14:paraId="13516811" w14:textId="77777777" w:rsidR="00727DC5" w:rsidRPr="00D96BF4" w:rsidRDefault="00727DC5" w:rsidP="00727DC5">
            <w:pPr>
              <w:jc w:val="right"/>
              <w:rPr>
                <w:color w:val="000000"/>
                <w:sz w:val="18"/>
                <w:szCs w:val="18"/>
              </w:rPr>
            </w:pPr>
            <w:r w:rsidRPr="00D96BF4">
              <w:rPr>
                <w:color w:val="000000"/>
                <w:sz w:val="18"/>
                <w:szCs w:val="18"/>
              </w:rPr>
              <w:t>31</w:t>
            </w:r>
          </w:p>
        </w:tc>
        <w:tc>
          <w:tcPr>
            <w:tcW w:w="485" w:type="pct"/>
            <w:tcBorders>
              <w:top w:val="nil"/>
              <w:left w:val="single" w:sz="4" w:space="0" w:color="auto"/>
              <w:bottom w:val="nil"/>
              <w:right w:val="single" w:sz="4" w:space="0" w:color="auto"/>
            </w:tcBorders>
            <w:shd w:val="clear" w:color="auto" w:fill="auto"/>
            <w:noWrap/>
            <w:vAlign w:val="bottom"/>
            <w:hideMark/>
          </w:tcPr>
          <w:p w14:paraId="351209C0" w14:textId="77777777" w:rsidR="00727DC5" w:rsidRPr="00D96BF4" w:rsidRDefault="00727DC5" w:rsidP="00727DC5">
            <w:pPr>
              <w:jc w:val="right"/>
              <w:rPr>
                <w:color w:val="000000"/>
                <w:sz w:val="18"/>
                <w:szCs w:val="18"/>
              </w:rPr>
            </w:pPr>
            <w:r w:rsidRPr="00D96BF4">
              <w:rPr>
                <w:color w:val="000000"/>
                <w:sz w:val="18"/>
                <w:szCs w:val="18"/>
              </w:rPr>
              <w:t>1</w:t>
            </w:r>
          </w:p>
        </w:tc>
        <w:tc>
          <w:tcPr>
            <w:tcW w:w="585" w:type="pct"/>
            <w:tcBorders>
              <w:top w:val="nil"/>
              <w:left w:val="nil"/>
              <w:bottom w:val="nil"/>
              <w:right w:val="nil"/>
            </w:tcBorders>
            <w:shd w:val="clear" w:color="auto" w:fill="auto"/>
            <w:noWrap/>
            <w:vAlign w:val="bottom"/>
            <w:hideMark/>
          </w:tcPr>
          <w:p w14:paraId="100CDFB9" w14:textId="77777777" w:rsidR="00727DC5" w:rsidRPr="00D96BF4" w:rsidRDefault="00727DC5" w:rsidP="00727DC5">
            <w:pPr>
              <w:jc w:val="right"/>
              <w:rPr>
                <w:color w:val="000000"/>
                <w:sz w:val="18"/>
                <w:szCs w:val="18"/>
              </w:rPr>
            </w:pPr>
            <w:r w:rsidRPr="00D96BF4">
              <w:rPr>
                <w:color w:val="000000"/>
                <w:sz w:val="18"/>
                <w:szCs w:val="18"/>
              </w:rPr>
              <w:t>39</w:t>
            </w:r>
          </w:p>
        </w:tc>
        <w:tc>
          <w:tcPr>
            <w:tcW w:w="438" w:type="pct"/>
            <w:tcBorders>
              <w:top w:val="nil"/>
              <w:left w:val="single" w:sz="4" w:space="0" w:color="auto"/>
              <w:bottom w:val="nil"/>
              <w:right w:val="single" w:sz="4" w:space="0" w:color="auto"/>
            </w:tcBorders>
            <w:shd w:val="clear" w:color="auto" w:fill="auto"/>
            <w:noWrap/>
            <w:vAlign w:val="bottom"/>
            <w:hideMark/>
          </w:tcPr>
          <w:p w14:paraId="58EF6EEF" w14:textId="77777777" w:rsidR="00727DC5" w:rsidRPr="00D96BF4" w:rsidRDefault="00727DC5" w:rsidP="00727DC5">
            <w:pPr>
              <w:jc w:val="right"/>
              <w:rPr>
                <w:color w:val="000000"/>
                <w:sz w:val="18"/>
                <w:szCs w:val="18"/>
              </w:rPr>
            </w:pPr>
            <w:r w:rsidRPr="00D96BF4">
              <w:rPr>
                <w:color w:val="000000"/>
                <w:sz w:val="18"/>
                <w:szCs w:val="18"/>
              </w:rPr>
              <w:t>44</w:t>
            </w:r>
          </w:p>
        </w:tc>
        <w:tc>
          <w:tcPr>
            <w:tcW w:w="388" w:type="pct"/>
            <w:tcBorders>
              <w:top w:val="nil"/>
              <w:left w:val="single" w:sz="4" w:space="0" w:color="auto"/>
              <w:bottom w:val="nil"/>
              <w:right w:val="single" w:sz="4" w:space="0" w:color="auto"/>
            </w:tcBorders>
            <w:shd w:val="clear" w:color="auto" w:fill="auto"/>
            <w:noWrap/>
            <w:vAlign w:val="bottom"/>
            <w:hideMark/>
          </w:tcPr>
          <w:p w14:paraId="747F9F89" w14:textId="77777777" w:rsidR="00727DC5" w:rsidRPr="00D96BF4" w:rsidRDefault="00727DC5" w:rsidP="00727DC5">
            <w:pPr>
              <w:jc w:val="right"/>
              <w:rPr>
                <w:color w:val="000000"/>
                <w:sz w:val="18"/>
                <w:szCs w:val="18"/>
              </w:rPr>
            </w:pPr>
            <w:r w:rsidRPr="00D96BF4">
              <w:rPr>
                <w:color w:val="000000"/>
                <w:sz w:val="18"/>
                <w:szCs w:val="18"/>
              </w:rPr>
              <w:t>23</w:t>
            </w:r>
          </w:p>
        </w:tc>
        <w:tc>
          <w:tcPr>
            <w:tcW w:w="439" w:type="pct"/>
            <w:tcBorders>
              <w:top w:val="nil"/>
              <w:left w:val="nil"/>
              <w:bottom w:val="nil"/>
              <w:right w:val="nil"/>
            </w:tcBorders>
            <w:shd w:val="clear" w:color="auto" w:fill="auto"/>
            <w:noWrap/>
            <w:vAlign w:val="bottom"/>
            <w:hideMark/>
          </w:tcPr>
          <w:p w14:paraId="5F184D5E" w14:textId="77777777" w:rsidR="00727DC5" w:rsidRPr="00D96BF4" w:rsidRDefault="00727DC5" w:rsidP="00727DC5">
            <w:pPr>
              <w:jc w:val="right"/>
              <w:rPr>
                <w:color w:val="000000"/>
                <w:sz w:val="18"/>
                <w:szCs w:val="18"/>
              </w:rPr>
            </w:pPr>
            <w:r w:rsidRPr="00D96BF4">
              <w:rPr>
                <w:color w:val="000000"/>
                <w:sz w:val="18"/>
                <w:szCs w:val="18"/>
              </w:rPr>
              <w:t>32</w:t>
            </w:r>
          </w:p>
        </w:tc>
        <w:tc>
          <w:tcPr>
            <w:tcW w:w="511" w:type="pct"/>
            <w:tcBorders>
              <w:top w:val="nil"/>
              <w:left w:val="single" w:sz="4" w:space="0" w:color="auto"/>
              <w:bottom w:val="nil"/>
              <w:right w:val="single" w:sz="4" w:space="0" w:color="auto"/>
            </w:tcBorders>
            <w:shd w:val="clear" w:color="auto" w:fill="auto"/>
            <w:noWrap/>
            <w:vAlign w:val="bottom"/>
            <w:hideMark/>
          </w:tcPr>
          <w:p w14:paraId="425D0011" w14:textId="77777777" w:rsidR="00727DC5" w:rsidRPr="00D96BF4" w:rsidRDefault="00727DC5" w:rsidP="00727DC5">
            <w:pPr>
              <w:jc w:val="right"/>
              <w:rPr>
                <w:color w:val="000000"/>
                <w:sz w:val="18"/>
                <w:szCs w:val="18"/>
              </w:rPr>
            </w:pPr>
            <w:r w:rsidRPr="00D96BF4">
              <w:rPr>
                <w:color w:val="000000"/>
                <w:sz w:val="18"/>
                <w:szCs w:val="18"/>
              </w:rPr>
              <w:t>1</w:t>
            </w:r>
          </w:p>
        </w:tc>
      </w:tr>
      <w:tr w:rsidR="00727DC5" w:rsidRPr="00647951" w14:paraId="06526547" w14:textId="77777777" w:rsidTr="00727DC5">
        <w:trPr>
          <w:trHeight w:val="300"/>
        </w:trPr>
        <w:tc>
          <w:tcPr>
            <w:tcW w:w="644" w:type="pct"/>
            <w:tcBorders>
              <w:top w:val="nil"/>
              <w:left w:val="single" w:sz="4" w:space="0" w:color="auto"/>
              <w:bottom w:val="nil"/>
              <w:right w:val="single" w:sz="4" w:space="0" w:color="auto"/>
            </w:tcBorders>
            <w:shd w:val="clear" w:color="auto" w:fill="auto"/>
            <w:vAlign w:val="center"/>
            <w:hideMark/>
          </w:tcPr>
          <w:p w14:paraId="7B44AAD7" w14:textId="77777777" w:rsidR="00727DC5" w:rsidRPr="00D96BF4" w:rsidRDefault="00727DC5" w:rsidP="00727DC5">
            <w:pPr>
              <w:rPr>
                <w:b/>
                <w:bCs/>
                <w:color w:val="000000"/>
                <w:sz w:val="18"/>
                <w:szCs w:val="18"/>
              </w:rPr>
            </w:pPr>
            <w:r w:rsidRPr="00D96BF4">
              <w:rPr>
                <w:b/>
                <w:bCs/>
                <w:color w:val="000000"/>
                <w:sz w:val="18"/>
                <w:szCs w:val="18"/>
              </w:rPr>
              <w:t>China</w:t>
            </w:r>
          </w:p>
        </w:tc>
        <w:tc>
          <w:tcPr>
            <w:tcW w:w="487" w:type="pct"/>
            <w:tcBorders>
              <w:top w:val="nil"/>
              <w:left w:val="nil"/>
              <w:bottom w:val="nil"/>
              <w:right w:val="nil"/>
            </w:tcBorders>
            <w:shd w:val="clear" w:color="auto" w:fill="auto"/>
            <w:noWrap/>
            <w:vAlign w:val="bottom"/>
            <w:hideMark/>
          </w:tcPr>
          <w:p w14:paraId="145AEEFF" w14:textId="77777777" w:rsidR="00727DC5" w:rsidRPr="00D96BF4" w:rsidRDefault="00727DC5" w:rsidP="00727DC5">
            <w:pPr>
              <w:jc w:val="right"/>
              <w:rPr>
                <w:color w:val="000000"/>
                <w:sz w:val="18"/>
                <w:szCs w:val="18"/>
              </w:rPr>
            </w:pPr>
            <w:r w:rsidRPr="00D96BF4">
              <w:rPr>
                <w:color w:val="000000"/>
                <w:sz w:val="18"/>
                <w:szCs w:val="18"/>
              </w:rPr>
              <w:t>78</w:t>
            </w:r>
          </w:p>
        </w:tc>
        <w:tc>
          <w:tcPr>
            <w:tcW w:w="487" w:type="pct"/>
            <w:tcBorders>
              <w:top w:val="nil"/>
              <w:left w:val="single" w:sz="4" w:space="0" w:color="auto"/>
              <w:bottom w:val="nil"/>
              <w:right w:val="single" w:sz="4" w:space="0" w:color="auto"/>
            </w:tcBorders>
            <w:shd w:val="clear" w:color="auto" w:fill="auto"/>
            <w:noWrap/>
            <w:vAlign w:val="bottom"/>
            <w:hideMark/>
          </w:tcPr>
          <w:p w14:paraId="7F8F6DE5" w14:textId="77777777" w:rsidR="00727DC5" w:rsidRPr="00D96BF4" w:rsidRDefault="00727DC5" w:rsidP="00727DC5">
            <w:pPr>
              <w:jc w:val="right"/>
              <w:rPr>
                <w:color w:val="000000"/>
                <w:sz w:val="18"/>
                <w:szCs w:val="18"/>
              </w:rPr>
            </w:pPr>
            <w:r w:rsidRPr="00D96BF4">
              <w:rPr>
                <w:color w:val="000000"/>
                <w:sz w:val="18"/>
                <w:szCs w:val="18"/>
              </w:rPr>
              <w:t>127</w:t>
            </w:r>
          </w:p>
        </w:tc>
        <w:tc>
          <w:tcPr>
            <w:tcW w:w="536" w:type="pct"/>
            <w:tcBorders>
              <w:top w:val="nil"/>
              <w:left w:val="nil"/>
              <w:bottom w:val="nil"/>
              <w:right w:val="nil"/>
            </w:tcBorders>
            <w:shd w:val="clear" w:color="auto" w:fill="auto"/>
            <w:noWrap/>
            <w:vAlign w:val="bottom"/>
            <w:hideMark/>
          </w:tcPr>
          <w:p w14:paraId="3C77F269" w14:textId="77777777" w:rsidR="00727DC5" w:rsidRPr="00D96BF4" w:rsidRDefault="00727DC5" w:rsidP="00727DC5">
            <w:pPr>
              <w:jc w:val="right"/>
              <w:rPr>
                <w:color w:val="000000"/>
                <w:sz w:val="18"/>
                <w:szCs w:val="18"/>
              </w:rPr>
            </w:pPr>
            <w:r w:rsidRPr="00D96BF4">
              <w:rPr>
                <w:color w:val="000000"/>
                <w:sz w:val="18"/>
                <w:szCs w:val="18"/>
              </w:rPr>
              <w:t>177</w:t>
            </w:r>
          </w:p>
        </w:tc>
        <w:tc>
          <w:tcPr>
            <w:tcW w:w="485" w:type="pct"/>
            <w:tcBorders>
              <w:top w:val="nil"/>
              <w:left w:val="single" w:sz="4" w:space="0" w:color="auto"/>
              <w:bottom w:val="nil"/>
              <w:right w:val="single" w:sz="4" w:space="0" w:color="auto"/>
            </w:tcBorders>
            <w:shd w:val="clear" w:color="auto" w:fill="auto"/>
            <w:noWrap/>
            <w:vAlign w:val="bottom"/>
            <w:hideMark/>
          </w:tcPr>
          <w:p w14:paraId="609B88AC" w14:textId="77777777" w:rsidR="00727DC5" w:rsidRPr="00D96BF4" w:rsidRDefault="00727DC5" w:rsidP="00727DC5">
            <w:pPr>
              <w:jc w:val="right"/>
              <w:rPr>
                <w:color w:val="000000"/>
                <w:sz w:val="18"/>
                <w:szCs w:val="18"/>
              </w:rPr>
            </w:pPr>
            <w:r w:rsidRPr="00D96BF4">
              <w:rPr>
                <w:color w:val="000000"/>
                <w:sz w:val="18"/>
                <w:szCs w:val="18"/>
              </w:rPr>
              <w:t>97</w:t>
            </w:r>
          </w:p>
        </w:tc>
        <w:tc>
          <w:tcPr>
            <w:tcW w:w="585" w:type="pct"/>
            <w:tcBorders>
              <w:top w:val="nil"/>
              <w:left w:val="nil"/>
              <w:bottom w:val="nil"/>
              <w:right w:val="nil"/>
            </w:tcBorders>
            <w:shd w:val="clear" w:color="auto" w:fill="auto"/>
            <w:noWrap/>
            <w:vAlign w:val="bottom"/>
            <w:hideMark/>
          </w:tcPr>
          <w:p w14:paraId="49D72937" w14:textId="77777777" w:rsidR="00727DC5" w:rsidRPr="00D96BF4" w:rsidRDefault="00727DC5" w:rsidP="00727DC5">
            <w:pPr>
              <w:jc w:val="right"/>
              <w:rPr>
                <w:color w:val="000000"/>
                <w:sz w:val="18"/>
                <w:szCs w:val="18"/>
              </w:rPr>
            </w:pPr>
            <w:r w:rsidRPr="00D96BF4">
              <w:rPr>
                <w:color w:val="000000"/>
                <w:sz w:val="18"/>
                <w:szCs w:val="18"/>
              </w:rPr>
              <w:t>42</w:t>
            </w:r>
          </w:p>
        </w:tc>
        <w:tc>
          <w:tcPr>
            <w:tcW w:w="438" w:type="pct"/>
            <w:tcBorders>
              <w:top w:val="nil"/>
              <w:left w:val="single" w:sz="4" w:space="0" w:color="auto"/>
              <w:bottom w:val="nil"/>
              <w:right w:val="single" w:sz="4" w:space="0" w:color="auto"/>
            </w:tcBorders>
            <w:shd w:val="clear" w:color="auto" w:fill="auto"/>
            <w:noWrap/>
            <w:vAlign w:val="bottom"/>
            <w:hideMark/>
          </w:tcPr>
          <w:p w14:paraId="5E55110C" w14:textId="77777777" w:rsidR="00727DC5" w:rsidRPr="00D96BF4" w:rsidRDefault="00727DC5" w:rsidP="00727DC5">
            <w:pPr>
              <w:jc w:val="right"/>
              <w:rPr>
                <w:color w:val="000000"/>
                <w:sz w:val="18"/>
                <w:szCs w:val="18"/>
              </w:rPr>
            </w:pPr>
            <w:r w:rsidRPr="00D96BF4">
              <w:rPr>
                <w:color w:val="000000"/>
                <w:sz w:val="18"/>
                <w:szCs w:val="18"/>
              </w:rPr>
              <w:t>62</w:t>
            </w:r>
          </w:p>
        </w:tc>
        <w:tc>
          <w:tcPr>
            <w:tcW w:w="388" w:type="pct"/>
            <w:tcBorders>
              <w:top w:val="nil"/>
              <w:left w:val="single" w:sz="4" w:space="0" w:color="auto"/>
              <w:bottom w:val="nil"/>
              <w:right w:val="single" w:sz="4" w:space="0" w:color="auto"/>
            </w:tcBorders>
            <w:shd w:val="clear" w:color="auto" w:fill="auto"/>
            <w:noWrap/>
            <w:vAlign w:val="bottom"/>
            <w:hideMark/>
          </w:tcPr>
          <w:p w14:paraId="007BF30C" w14:textId="77777777" w:rsidR="00727DC5" w:rsidRPr="00D96BF4" w:rsidRDefault="00727DC5" w:rsidP="00727DC5">
            <w:pPr>
              <w:jc w:val="right"/>
              <w:rPr>
                <w:color w:val="000000"/>
                <w:sz w:val="18"/>
                <w:szCs w:val="18"/>
              </w:rPr>
            </w:pPr>
            <w:r w:rsidRPr="00D96BF4">
              <w:rPr>
                <w:color w:val="000000"/>
                <w:sz w:val="18"/>
                <w:szCs w:val="18"/>
              </w:rPr>
              <w:t>131</w:t>
            </w:r>
          </w:p>
        </w:tc>
        <w:tc>
          <w:tcPr>
            <w:tcW w:w="439" w:type="pct"/>
            <w:tcBorders>
              <w:top w:val="nil"/>
              <w:left w:val="nil"/>
              <w:bottom w:val="nil"/>
              <w:right w:val="nil"/>
            </w:tcBorders>
            <w:shd w:val="clear" w:color="auto" w:fill="auto"/>
            <w:noWrap/>
            <w:vAlign w:val="bottom"/>
            <w:hideMark/>
          </w:tcPr>
          <w:p w14:paraId="2E27C63D" w14:textId="77777777" w:rsidR="00727DC5" w:rsidRPr="00D96BF4" w:rsidRDefault="00727DC5" w:rsidP="00727DC5">
            <w:pPr>
              <w:jc w:val="right"/>
              <w:rPr>
                <w:color w:val="000000"/>
                <w:sz w:val="18"/>
                <w:szCs w:val="18"/>
              </w:rPr>
            </w:pPr>
            <w:r w:rsidRPr="00D96BF4">
              <w:rPr>
                <w:color w:val="000000"/>
                <w:sz w:val="18"/>
                <w:szCs w:val="18"/>
              </w:rPr>
              <w:t>96</w:t>
            </w:r>
          </w:p>
        </w:tc>
        <w:tc>
          <w:tcPr>
            <w:tcW w:w="511" w:type="pct"/>
            <w:tcBorders>
              <w:top w:val="nil"/>
              <w:left w:val="single" w:sz="4" w:space="0" w:color="auto"/>
              <w:bottom w:val="nil"/>
              <w:right w:val="single" w:sz="4" w:space="0" w:color="auto"/>
            </w:tcBorders>
            <w:shd w:val="clear" w:color="auto" w:fill="auto"/>
            <w:noWrap/>
            <w:vAlign w:val="bottom"/>
            <w:hideMark/>
          </w:tcPr>
          <w:p w14:paraId="46ECD273" w14:textId="77777777" w:rsidR="00727DC5" w:rsidRPr="00D96BF4" w:rsidRDefault="00727DC5" w:rsidP="00727DC5">
            <w:pPr>
              <w:jc w:val="right"/>
              <w:rPr>
                <w:color w:val="000000"/>
                <w:sz w:val="18"/>
                <w:szCs w:val="18"/>
              </w:rPr>
            </w:pPr>
            <w:r w:rsidRPr="00D96BF4">
              <w:rPr>
                <w:color w:val="000000"/>
                <w:sz w:val="18"/>
                <w:szCs w:val="18"/>
              </w:rPr>
              <w:t>5</w:t>
            </w:r>
          </w:p>
        </w:tc>
      </w:tr>
      <w:tr w:rsidR="00727DC5" w:rsidRPr="00647951" w14:paraId="5EF11B14" w14:textId="77777777" w:rsidTr="00727DC5">
        <w:trPr>
          <w:trHeight w:val="300"/>
        </w:trPr>
        <w:tc>
          <w:tcPr>
            <w:tcW w:w="644" w:type="pct"/>
            <w:tcBorders>
              <w:top w:val="nil"/>
              <w:left w:val="single" w:sz="4" w:space="0" w:color="auto"/>
              <w:bottom w:val="nil"/>
              <w:right w:val="single" w:sz="4" w:space="0" w:color="auto"/>
            </w:tcBorders>
            <w:shd w:val="clear" w:color="auto" w:fill="auto"/>
            <w:vAlign w:val="center"/>
            <w:hideMark/>
          </w:tcPr>
          <w:p w14:paraId="22040859" w14:textId="77777777" w:rsidR="00727DC5" w:rsidRPr="00D96BF4" w:rsidRDefault="00727DC5" w:rsidP="00727DC5">
            <w:pPr>
              <w:rPr>
                <w:b/>
                <w:bCs/>
                <w:color w:val="000000"/>
                <w:sz w:val="18"/>
                <w:szCs w:val="18"/>
              </w:rPr>
            </w:pPr>
            <w:r w:rsidRPr="00D96BF4">
              <w:rPr>
                <w:b/>
                <w:bCs/>
                <w:color w:val="000000"/>
                <w:sz w:val="18"/>
                <w:szCs w:val="18"/>
              </w:rPr>
              <w:t>Malaysia</w:t>
            </w:r>
          </w:p>
        </w:tc>
        <w:tc>
          <w:tcPr>
            <w:tcW w:w="487" w:type="pct"/>
            <w:tcBorders>
              <w:top w:val="nil"/>
              <w:left w:val="nil"/>
              <w:bottom w:val="nil"/>
              <w:right w:val="nil"/>
            </w:tcBorders>
            <w:shd w:val="clear" w:color="auto" w:fill="auto"/>
            <w:noWrap/>
            <w:vAlign w:val="bottom"/>
            <w:hideMark/>
          </w:tcPr>
          <w:p w14:paraId="0FC0F09D" w14:textId="77777777" w:rsidR="00727DC5" w:rsidRPr="00D96BF4" w:rsidRDefault="00727DC5" w:rsidP="00727DC5">
            <w:pPr>
              <w:jc w:val="right"/>
              <w:rPr>
                <w:color w:val="000000"/>
                <w:sz w:val="18"/>
                <w:szCs w:val="18"/>
              </w:rPr>
            </w:pPr>
            <w:r w:rsidRPr="00D96BF4">
              <w:rPr>
                <w:color w:val="000000"/>
                <w:sz w:val="18"/>
                <w:szCs w:val="18"/>
              </w:rPr>
              <w:t>23</w:t>
            </w:r>
          </w:p>
        </w:tc>
        <w:tc>
          <w:tcPr>
            <w:tcW w:w="487" w:type="pct"/>
            <w:tcBorders>
              <w:top w:val="nil"/>
              <w:left w:val="single" w:sz="4" w:space="0" w:color="auto"/>
              <w:bottom w:val="nil"/>
              <w:right w:val="single" w:sz="4" w:space="0" w:color="auto"/>
            </w:tcBorders>
            <w:shd w:val="clear" w:color="auto" w:fill="auto"/>
            <w:noWrap/>
            <w:vAlign w:val="bottom"/>
            <w:hideMark/>
          </w:tcPr>
          <w:p w14:paraId="77DB65F0" w14:textId="77777777" w:rsidR="00727DC5" w:rsidRPr="00D96BF4" w:rsidRDefault="00727DC5" w:rsidP="00727DC5">
            <w:pPr>
              <w:jc w:val="right"/>
              <w:rPr>
                <w:color w:val="000000"/>
                <w:sz w:val="18"/>
                <w:szCs w:val="18"/>
              </w:rPr>
            </w:pPr>
            <w:r w:rsidRPr="00D96BF4">
              <w:rPr>
                <w:color w:val="000000"/>
                <w:sz w:val="18"/>
                <w:szCs w:val="18"/>
              </w:rPr>
              <w:t>112</w:t>
            </w:r>
          </w:p>
        </w:tc>
        <w:tc>
          <w:tcPr>
            <w:tcW w:w="536" w:type="pct"/>
            <w:tcBorders>
              <w:top w:val="nil"/>
              <w:left w:val="nil"/>
              <w:bottom w:val="nil"/>
              <w:right w:val="nil"/>
            </w:tcBorders>
            <w:shd w:val="clear" w:color="auto" w:fill="auto"/>
            <w:noWrap/>
            <w:vAlign w:val="bottom"/>
            <w:hideMark/>
          </w:tcPr>
          <w:p w14:paraId="36E29D27" w14:textId="77777777" w:rsidR="00727DC5" w:rsidRPr="00D96BF4" w:rsidRDefault="00727DC5" w:rsidP="00727DC5">
            <w:pPr>
              <w:jc w:val="right"/>
              <w:rPr>
                <w:color w:val="000000"/>
                <w:sz w:val="18"/>
                <w:szCs w:val="18"/>
              </w:rPr>
            </w:pPr>
            <w:r w:rsidRPr="00D96BF4">
              <w:rPr>
                <w:color w:val="000000"/>
                <w:sz w:val="18"/>
                <w:szCs w:val="18"/>
              </w:rPr>
              <w:t>13</w:t>
            </w:r>
          </w:p>
        </w:tc>
        <w:tc>
          <w:tcPr>
            <w:tcW w:w="485" w:type="pct"/>
            <w:tcBorders>
              <w:top w:val="nil"/>
              <w:left w:val="single" w:sz="4" w:space="0" w:color="auto"/>
              <w:bottom w:val="nil"/>
              <w:right w:val="single" w:sz="4" w:space="0" w:color="auto"/>
            </w:tcBorders>
            <w:shd w:val="clear" w:color="auto" w:fill="auto"/>
            <w:noWrap/>
            <w:vAlign w:val="bottom"/>
            <w:hideMark/>
          </w:tcPr>
          <w:p w14:paraId="2EB3A97A" w14:textId="77777777" w:rsidR="00727DC5" w:rsidRPr="00D96BF4" w:rsidRDefault="00727DC5" w:rsidP="00727DC5">
            <w:pPr>
              <w:jc w:val="right"/>
              <w:rPr>
                <w:color w:val="000000"/>
                <w:sz w:val="18"/>
                <w:szCs w:val="18"/>
              </w:rPr>
            </w:pPr>
            <w:r w:rsidRPr="00D96BF4">
              <w:rPr>
                <w:color w:val="000000"/>
                <w:sz w:val="18"/>
                <w:szCs w:val="18"/>
              </w:rPr>
              <w:t>8</w:t>
            </w:r>
          </w:p>
        </w:tc>
        <w:tc>
          <w:tcPr>
            <w:tcW w:w="585" w:type="pct"/>
            <w:tcBorders>
              <w:top w:val="nil"/>
              <w:left w:val="nil"/>
              <w:bottom w:val="nil"/>
              <w:right w:val="nil"/>
            </w:tcBorders>
            <w:shd w:val="clear" w:color="auto" w:fill="auto"/>
            <w:noWrap/>
            <w:vAlign w:val="bottom"/>
            <w:hideMark/>
          </w:tcPr>
          <w:p w14:paraId="3D796BA9" w14:textId="77777777" w:rsidR="00727DC5" w:rsidRPr="00D96BF4" w:rsidRDefault="00727DC5" w:rsidP="00727DC5">
            <w:pPr>
              <w:jc w:val="right"/>
              <w:rPr>
                <w:color w:val="000000"/>
                <w:sz w:val="18"/>
                <w:szCs w:val="18"/>
              </w:rPr>
            </w:pPr>
            <w:r w:rsidRPr="00D96BF4">
              <w:rPr>
                <w:color w:val="000000"/>
                <w:sz w:val="18"/>
                <w:szCs w:val="18"/>
              </w:rPr>
              <w:t>40</w:t>
            </w:r>
          </w:p>
        </w:tc>
        <w:tc>
          <w:tcPr>
            <w:tcW w:w="438" w:type="pct"/>
            <w:tcBorders>
              <w:top w:val="nil"/>
              <w:left w:val="single" w:sz="4" w:space="0" w:color="auto"/>
              <w:bottom w:val="nil"/>
              <w:right w:val="single" w:sz="4" w:space="0" w:color="auto"/>
            </w:tcBorders>
            <w:shd w:val="clear" w:color="auto" w:fill="auto"/>
            <w:noWrap/>
            <w:vAlign w:val="bottom"/>
            <w:hideMark/>
          </w:tcPr>
          <w:p w14:paraId="76241107" w14:textId="77777777" w:rsidR="00727DC5" w:rsidRPr="00D96BF4" w:rsidRDefault="00727DC5" w:rsidP="00727DC5">
            <w:pPr>
              <w:jc w:val="right"/>
              <w:rPr>
                <w:color w:val="000000"/>
                <w:sz w:val="18"/>
                <w:szCs w:val="18"/>
              </w:rPr>
            </w:pPr>
            <w:r w:rsidRPr="00D96BF4">
              <w:rPr>
                <w:color w:val="000000"/>
                <w:sz w:val="18"/>
                <w:szCs w:val="18"/>
              </w:rPr>
              <w:t>20</w:t>
            </w:r>
          </w:p>
        </w:tc>
        <w:tc>
          <w:tcPr>
            <w:tcW w:w="388" w:type="pct"/>
            <w:tcBorders>
              <w:top w:val="nil"/>
              <w:left w:val="single" w:sz="4" w:space="0" w:color="auto"/>
              <w:bottom w:val="nil"/>
              <w:right w:val="single" w:sz="4" w:space="0" w:color="auto"/>
            </w:tcBorders>
            <w:shd w:val="clear" w:color="auto" w:fill="auto"/>
            <w:noWrap/>
            <w:vAlign w:val="bottom"/>
            <w:hideMark/>
          </w:tcPr>
          <w:p w14:paraId="60AE2331" w14:textId="77777777" w:rsidR="00727DC5" w:rsidRPr="00D96BF4" w:rsidRDefault="00727DC5" w:rsidP="00727DC5">
            <w:pPr>
              <w:jc w:val="right"/>
              <w:rPr>
                <w:color w:val="000000"/>
                <w:sz w:val="18"/>
                <w:szCs w:val="18"/>
              </w:rPr>
            </w:pPr>
            <w:r w:rsidRPr="00D96BF4">
              <w:rPr>
                <w:color w:val="000000"/>
                <w:sz w:val="18"/>
                <w:szCs w:val="18"/>
              </w:rPr>
              <w:t>61</w:t>
            </w:r>
          </w:p>
        </w:tc>
        <w:tc>
          <w:tcPr>
            <w:tcW w:w="439" w:type="pct"/>
            <w:tcBorders>
              <w:top w:val="nil"/>
              <w:left w:val="nil"/>
              <w:bottom w:val="nil"/>
              <w:right w:val="nil"/>
            </w:tcBorders>
            <w:shd w:val="clear" w:color="auto" w:fill="auto"/>
            <w:noWrap/>
            <w:vAlign w:val="bottom"/>
            <w:hideMark/>
          </w:tcPr>
          <w:p w14:paraId="1388ED23" w14:textId="77777777" w:rsidR="00727DC5" w:rsidRPr="00D96BF4" w:rsidRDefault="00727DC5" w:rsidP="00727DC5">
            <w:pPr>
              <w:jc w:val="right"/>
              <w:rPr>
                <w:color w:val="000000"/>
                <w:sz w:val="18"/>
                <w:szCs w:val="18"/>
              </w:rPr>
            </w:pPr>
            <w:r w:rsidRPr="00D96BF4">
              <w:rPr>
                <w:color w:val="000000"/>
                <w:sz w:val="18"/>
                <w:szCs w:val="18"/>
              </w:rPr>
              <w:t>60</w:t>
            </w:r>
          </w:p>
        </w:tc>
        <w:tc>
          <w:tcPr>
            <w:tcW w:w="511" w:type="pct"/>
            <w:tcBorders>
              <w:top w:val="nil"/>
              <w:left w:val="single" w:sz="4" w:space="0" w:color="auto"/>
              <w:bottom w:val="nil"/>
              <w:right w:val="single" w:sz="4" w:space="0" w:color="auto"/>
            </w:tcBorders>
            <w:shd w:val="clear" w:color="auto" w:fill="auto"/>
            <w:noWrap/>
            <w:vAlign w:val="bottom"/>
            <w:hideMark/>
          </w:tcPr>
          <w:p w14:paraId="06FE257F" w14:textId="77777777" w:rsidR="00727DC5" w:rsidRPr="00D96BF4" w:rsidRDefault="00727DC5" w:rsidP="00727DC5">
            <w:pPr>
              <w:jc w:val="right"/>
              <w:rPr>
                <w:color w:val="000000"/>
                <w:sz w:val="18"/>
                <w:szCs w:val="18"/>
              </w:rPr>
            </w:pPr>
            <w:r w:rsidRPr="00D96BF4">
              <w:rPr>
                <w:color w:val="000000"/>
                <w:sz w:val="18"/>
                <w:szCs w:val="18"/>
              </w:rPr>
              <w:t>42</w:t>
            </w:r>
          </w:p>
        </w:tc>
      </w:tr>
      <w:tr w:rsidR="00727DC5" w:rsidRPr="00647951" w14:paraId="40E7EC69" w14:textId="77777777" w:rsidTr="00727DC5">
        <w:trPr>
          <w:trHeight w:val="300"/>
        </w:trPr>
        <w:tc>
          <w:tcPr>
            <w:tcW w:w="644" w:type="pct"/>
            <w:tcBorders>
              <w:top w:val="nil"/>
              <w:left w:val="single" w:sz="4" w:space="0" w:color="auto"/>
              <w:bottom w:val="nil"/>
              <w:right w:val="single" w:sz="4" w:space="0" w:color="auto"/>
            </w:tcBorders>
            <w:shd w:val="clear" w:color="auto" w:fill="auto"/>
            <w:vAlign w:val="center"/>
            <w:hideMark/>
          </w:tcPr>
          <w:p w14:paraId="62A8B2F8" w14:textId="77777777" w:rsidR="00727DC5" w:rsidRPr="00D96BF4" w:rsidRDefault="00727DC5" w:rsidP="00727DC5">
            <w:pPr>
              <w:rPr>
                <w:b/>
                <w:bCs/>
                <w:color w:val="000000"/>
                <w:sz w:val="18"/>
                <w:szCs w:val="18"/>
              </w:rPr>
            </w:pPr>
            <w:r w:rsidRPr="00D96BF4">
              <w:rPr>
                <w:b/>
                <w:bCs/>
                <w:color w:val="000000"/>
                <w:sz w:val="18"/>
                <w:szCs w:val="18"/>
              </w:rPr>
              <w:t>India</w:t>
            </w:r>
          </w:p>
        </w:tc>
        <w:tc>
          <w:tcPr>
            <w:tcW w:w="487" w:type="pct"/>
            <w:tcBorders>
              <w:top w:val="nil"/>
              <w:left w:val="nil"/>
              <w:bottom w:val="nil"/>
              <w:right w:val="nil"/>
            </w:tcBorders>
            <w:shd w:val="clear" w:color="auto" w:fill="auto"/>
            <w:noWrap/>
            <w:vAlign w:val="bottom"/>
            <w:hideMark/>
          </w:tcPr>
          <w:p w14:paraId="7CE6B2BA" w14:textId="77777777" w:rsidR="00727DC5" w:rsidRPr="00D96BF4" w:rsidRDefault="00727DC5" w:rsidP="00727DC5">
            <w:pPr>
              <w:jc w:val="right"/>
              <w:rPr>
                <w:color w:val="000000"/>
                <w:sz w:val="18"/>
                <w:szCs w:val="18"/>
              </w:rPr>
            </w:pPr>
            <w:r w:rsidRPr="00D96BF4">
              <w:rPr>
                <w:color w:val="000000"/>
                <w:sz w:val="18"/>
                <w:szCs w:val="18"/>
              </w:rPr>
              <w:t>130</w:t>
            </w:r>
          </w:p>
        </w:tc>
        <w:tc>
          <w:tcPr>
            <w:tcW w:w="487" w:type="pct"/>
            <w:tcBorders>
              <w:top w:val="nil"/>
              <w:left w:val="single" w:sz="4" w:space="0" w:color="auto"/>
              <w:bottom w:val="nil"/>
              <w:right w:val="single" w:sz="4" w:space="0" w:color="auto"/>
            </w:tcBorders>
            <w:shd w:val="clear" w:color="auto" w:fill="auto"/>
            <w:noWrap/>
            <w:vAlign w:val="bottom"/>
            <w:hideMark/>
          </w:tcPr>
          <w:p w14:paraId="39637338" w14:textId="77777777" w:rsidR="00727DC5" w:rsidRPr="00D96BF4" w:rsidRDefault="00727DC5" w:rsidP="00727DC5">
            <w:pPr>
              <w:jc w:val="right"/>
              <w:rPr>
                <w:color w:val="000000"/>
                <w:sz w:val="18"/>
                <w:szCs w:val="18"/>
              </w:rPr>
            </w:pPr>
            <w:r w:rsidRPr="00D96BF4">
              <w:rPr>
                <w:color w:val="000000"/>
                <w:sz w:val="18"/>
                <w:szCs w:val="18"/>
              </w:rPr>
              <w:t>155</w:t>
            </w:r>
          </w:p>
        </w:tc>
        <w:tc>
          <w:tcPr>
            <w:tcW w:w="536" w:type="pct"/>
            <w:tcBorders>
              <w:top w:val="nil"/>
              <w:left w:val="nil"/>
              <w:bottom w:val="nil"/>
              <w:right w:val="nil"/>
            </w:tcBorders>
            <w:shd w:val="clear" w:color="auto" w:fill="auto"/>
            <w:noWrap/>
            <w:vAlign w:val="bottom"/>
            <w:hideMark/>
          </w:tcPr>
          <w:p w14:paraId="374809AE" w14:textId="77777777" w:rsidR="00727DC5" w:rsidRPr="00D96BF4" w:rsidRDefault="00727DC5" w:rsidP="00727DC5">
            <w:pPr>
              <w:jc w:val="right"/>
              <w:rPr>
                <w:color w:val="000000"/>
                <w:sz w:val="18"/>
                <w:szCs w:val="18"/>
              </w:rPr>
            </w:pPr>
            <w:r w:rsidRPr="00D96BF4">
              <w:rPr>
                <w:color w:val="000000"/>
                <w:sz w:val="18"/>
                <w:szCs w:val="18"/>
              </w:rPr>
              <w:t>185</w:t>
            </w:r>
          </w:p>
        </w:tc>
        <w:tc>
          <w:tcPr>
            <w:tcW w:w="485" w:type="pct"/>
            <w:tcBorders>
              <w:top w:val="nil"/>
              <w:left w:val="single" w:sz="4" w:space="0" w:color="auto"/>
              <w:bottom w:val="nil"/>
              <w:right w:val="single" w:sz="4" w:space="0" w:color="auto"/>
            </w:tcBorders>
            <w:shd w:val="clear" w:color="auto" w:fill="auto"/>
            <w:noWrap/>
            <w:vAlign w:val="bottom"/>
            <w:hideMark/>
          </w:tcPr>
          <w:p w14:paraId="61A825FC" w14:textId="77777777" w:rsidR="00727DC5" w:rsidRPr="00D96BF4" w:rsidRDefault="00727DC5" w:rsidP="00727DC5">
            <w:pPr>
              <w:jc w:val="right"/>
              <w:rPr>
                <w:color w:val="000000"/>
                <w:sz w:val="18"/>
                <w:szCs w:val="18"/>
              </w:rPr>
            </w:pPr>
            <w:r w:rsidRPr="00D96BF4">
              <w:rPr>
                <w:color w:val="000000"/>
                <w:sz w:val="18"/>
                <w:szCs w:val="18"/>
              </w:rPr>
              <w:t>26</w:t>
            </w:r>
          </w:p>
        </w:tc>
        <w:tc>
          <w:tcPr>
            <w:tcW w:w="585" w:type="pct"/>
            <w:tcBorders>
              <w:top w:val="nil"/>
              <w:left w:val="nil"/>
              <w:bottom w:val="nil"/>
              <w:right w:val="nil"/>
            </w:tcBorders>
            <w:shd w:val="clear" w:color="auto" w:fill="auto"/>
            <w:noWrap/>
            <w:vAlign w:val="bottom"/>
            <w:hideMark/>
          </w:tcPr>
          <w:p w14:paraId="0AC62338" w14:textId="77777777" w:rsidR="00727DC5" w:rsidRPr="00D96BF4" w:rsidRDefault="00727DC5" w:rsidP="00727DC5">
            <w:pPr>
              <w:jc w:val="right"/>
              <w:rPr>
                <w:color w:val="000000"/>
                <w:sz w:val="18"/>
                <w:szCs w:val="18"/>
              </w:rPr>
            </w:pPr>
            <w:r w:rsidRPr="00D96BF4">
              <w:rPr>
                <w:color w:val="000000"/>
                <w:sz w:val="18"/>
                <w:szCs w:val="18"/>
              </w:rPr>
              <w:t>138</w:t>
            </w:r>
          </w:p>
        </w:tc>
        <w:tc>
          <w:tcPr>
            <w:tcW w:w="438" w:type="pct"/>
            <w:tcBorders>
              <w:top w:val="nil"/>
              <w:left w:val="single" w:sz="4" w:space="0" w:color="auto"/>
              <w:bottom w:val="nil"/>
              <w:right w:val="single" w:sz="4" w:space="0" w:color="auto"/>
            </w:tcBorders>
            <w:shd w:val="clear" w:color="auto" w:fill="auto"/>
            <w:noWrap/>
            <w:vAlign w:val="bottom"/>
            <w:hideMark/>
          </w:tcPr>
          <w:p w14:paraId="6E41D9AE" w14:textId="77777777" w:rsidR="00727DC5" w:rsidRPr="00D96BF4" w:rsidRDefault="00727DC5" w:rsidP="00727DC5">
            <w:pPr>
              <w:jc w:val="right"/>
              <w:rPr>
                <w:color w:val="000000"/>
                <w:sz w:val="18"/>
                <w:szCs w:val="18"/>
              </w:rPr>
            </w:pPr>
            <w:r w:rsidRPr="00D96BF4">
              <w:rPr>
                <w:color w:val="000000"/>
                <w:sz w:val="18"/>
                <w:szCs w:val="18"/>
              </w:rPr>
              <w:t>44</w:t>
            </w:r>
          </w:p>
        </w:tc>
        <w:tc>
          <w:tcPr>
            <w:tcW w:w="388" w:type="pct"/>
            <w:tcBorders>
              <w:top w:val="nil"/>
              <w:left w:val="single" w:sz="4" w:space="0" w:color="auto"/>
              <w:bottom w:val="nil"/>
              <w:right w:val="single" w:sz="4" w:space="0" w:color="auto"/>
            </w:tcBorders>
            <w:shd w:val="clear" w:color="auto" w:fill="auto"/>
            <w:noWrap/>
            <w:vAlign w:val="bottom"/>
            <w:hideMark/>
          </w:tcPr>
          <w:p w14:paraId="6F48ED35" w14:textId="77777777" w:rsidR="00727DC5" w:rsidRPr="00D96BF4" w:rsidRDefault="00727DC5" w:rsidP="00727DC5">
            <w:pPr>
              <w:jc w:val="right"/>
              <w:rPr>
                <w:color w:val="000000"/>
                <w:sz w:val="18"/>
                <w:szCs w:val="18"/>
              </w:rPr>
            </w:pPr>
            <w:r w:rsidRPr="00D96BF4">
              <w:rPr>
                <w:color w:val="000000"/>
                <w:sz w:val="18"/>
                <w:szCs w:val="18"/>
              </w:rPr>
              <w:t>172</w:t>
            </w:r>
          </w:p>
        </w:tc>
        <w:tc>
          <w:tcPr>
            <w:tcW w:w="439" w:type="pct"/>
            <w:tcBorders>
              <w:top w:val="nil"/>
              <w:left w:val="nil"/>
              <w:bottom w:val="nil"/>
              <w:right w:val="nil"/>
            </w:tcBorders>
            <w:shd w:val="clear" w:color="auto" w:fill="auto"/>
            <w:noWrap/>
            <w:vAlign w:val="bottom"/>
            <w:hideMark/>
          </w:tcPr>
          <w:p w14:paraId="5BC0F3FA" w14:textId="77777777" w:rsidR="00727DC5" w:rsidRPr="00D96BF4" w:rsidRDefault="00727DC5" w:rsidP="00727DC5">
            <w:pPr>
              <w:jc w:val="right"/>
              <w:rPr>
                <w:color w:val="000000"/>
                <w:sz w:val="18"/>
                <w:szCs w:val="18"/>
              </w:rPr>
            </w:pPr>
            <w:r w:rsidRPr="00D96BF4">
              <w:rPr>
                <w:color w:val="000000"/>
                <w:sz w:val="18"/>
                <w:szCs w:val="18"/>
              </w:rPr>
              <w:t>143</w:t>
            </w:r>
          </w:p>
        </w:tc>
        <w:tc>
          <w:tcPr>
            <w:tcW w:w="511" w:type="pct"/>
            <w:tcBorders>
              <w:top w:val="nil"/>
              <w:left w:val="single" w:sz="4" w:space="0" w:color="auto"/>
              <w:bottom w:val="nil"/>
              <w:right w:val="single" w:sz="4" w:space="0" w:color="auto"/>
            </w:tcBorders>
            <w:shd w:val="clear" w:color="auto" w:fill="auto"/>
            <w:noWrap/>
            <w:vAlign w:val="bottom"/>
            <w:hideMark/>
          </w:tcPr>
          <w:p w14:paraId="145CA30D" w14:textId="77777777" w:rsidR="00727DC5" w:rsidRPr="00D96BF4" w:rsidRDefault="00727DC5" w:rsidP="00727DC5">
            <w:pPr>
              <w:jc w:val="right"/>
              <w:rPr>
                <w:color w:val="000000"/>
                <w:sz w:val="18"/>
                <w:szCs w:val="18"/>
              </w:rPr>
            </w:pPr>
            <w:r w:rsidRPr="00D96BF4">
              <w:rPr>
                <w:color w:val="000000"/>
                <w:sz w:val="18"/>
                <w:szCs w:val="18"/>
              </w:rPr>
              <w:t>172</w:t>
            </w:r>
          </w:p>
        </w:tc>
      </w:tr>
      <w:tr w:rsidR="00727DC5" w:rsidRPr="00647951" w14:paraId="30BA74B3" w14:textId="77777777" w:rsidTr="00727DC5">
        <w:trPr>
          <w:trHeight w:val="300"/>
        </w:trPr>
        <w:tc>
          <w:tcPr>
            <w:tcW w:w="644" w:type="pct"/>
            <w:tcBorders>
              <w:top w:val="nil"/>
              <w:left w:val="single" w:sz="4" w:space="0" w:color="auto"/>
              <w:bottom w:val="nil"/>
              <w:right w:val="single" w:sz="4" w:space="0" w:color="auto"/>
            </w:tcBorders>
            <w:shd w:val="clear" w:color="auto" w:fill="auto"/>
            <w:vAlign w:val="center"/>
            <w:hideMark/>
          </w:tcPr>
          <w:p w14:paraId="1C6544F3" w14:textId="77777777" w:rsidR="00727DC5" w:rsidRPr="00D96BF4" w:rsidRDefault="00727DC5" w:rsidP="00727DC5">
            <w:pPr>
              <w:rPr>
                <w:b/>
                <w:bCs/>
                <w:color w:val="000000"/>
                <w:sz w:val="18"/>
                <w:szCs w:val="18"/>
              </w:rPr>
            </w:pPr>
            <w:r w:rsidRPr="00D96BF4">
              <w:rPr>
                <w:b/>
                <w:bCs/>
                <w:color w:val="000000"/>
                <w:sz w:val="18"/>
                <w:szCs w:val="18"/>
              </w:rPr>
              <w:t>Thailand</w:t>
            </w:r>
          </w:p>
        </w:tc>
        <w:tc>
          <w:tcPr>
            <w:tcW w:w="487" w:type="pct"/>
            <w:tcBorders>
              <w:top w:val="nil"/>
              <w:left w:val="nil"/>
              <w:bottom w:val="nil"/>
              <w:right w:val="nil"/>
            </w:tcBorders>
            <w:shd w:val="clear" w:color="auto" w:fill="auto"/>
            <w:noWrap/>
            <w:vAlign w:val="bottom"/>
            <w:hideMark/>
          </w:tcPr>
          <w:p w14:paraId="7412D8B8" w14:textId="77777777" w:rsidR="00727DC5" w:rsidRPr="00D96BF4" w:rsidRDefault="00727DC5" w:rsidP="00727DC5">
            <w:pPr>
              <w:jc w:val="right"/>
              <w:rPr>
                <w:color w:val="000000"/>
                <w:sz w:val="18"/>
                <w:szCs w:val="18"/>
              </w:rPr>
            </w:pPr>
            <w:r w:rsidRPr="00D96BF4">
              <w:rPr>
                <w:color w:val="000000"/>
                <w:sz w:val="18"/>
                <w:szCs w:val="18"/>
              </w:rPr>
              <w:t>46</w:t>
            </w:r>
          </w:p>
        </w:tc>
        <w:tc>
          <w:tcPr>
            <w:tcW w:w="487" w:type="pct"/>
            <w:tcBorders>
              <w:top w:val="nil"/>
              <w:left w:val="single" w:sz="4" w:space="0" w:color="auto"/>
              <w:bottom w:val="nil"/>
              <w:right w:val="single" w:sz="4" w:space="0" w:color="auto"/>
            </w:tcBorders>
            <w:shd w:val="clear" w:color="auto" w:fill="auto"/>
            <w:noWrap/>
            <w:vAlign w:val="bottom"/>
            <w:hideMark/>
          </w:tcPr>
          <w:p w14:paraId="1210FEC3" w14:textId="77777777" w:rsidR="00727DC5" w:rsidRPr="00D96BF4" w:rsidRDefault="00727DC5" w:rsidP="00727DC5">
            <w:pPr>
              <w:jc w:val="right"/>
              <w:rPr>
                <w:color w:val="000000"/>
                <w:sz w:val="18"/>
                <w:szCs w:val="18"/>
              </w:rPr>
            </w:pPr>
            <w:r w:rsidRPr="00D96BF4">
              <w:rPr>
                <w:color w:val="000000"/>
                <w:sz w:val="18"/>
                <w:szCs w:val="18"/>
              </w:rPr>
              <w:t>78</w:t>
            </w:r>
          </w:p>
        </w:tc>
        <w:tc>
          <w:tcPr>
            <w:tcW w:w="536" w:type="pct"/>
            <w:tcBorders>
              <w:top w:val="nil"/>
              <w:left w:val="nil"/>
              <w:bottom w:val="nil"/>
              <w:right w:val="nil"/>
            </w:tcBorders>
            <w:shd w:val="clear" w:color="auto" w:fill="auto"/>
            <w:noWrap/>
            <w:vAlign w:val="bottom"/>
            <w:hideMark/>
          </w:tcPr>
          <w:p w14:paraId="310A3251" w14:textId="77777777" w:rsidR="00727DC5" w:rsidRPr="00D96BF4" w:rsidRDefault="00727DC5" w:rsidP="00727DC5">
            <w:pPr>
              <w:jc w:val="right"/>
              <w:rPr>
                <w:color w:val="000000"/>
                <w:sz w:val="18"/>
                <w:szCs w:val="18"/>
              </w:rPr>
            </w:pPr>
            <w:r w:rsidRPr="00D96BF4">
              <w:rPr>
                <w:color w:val="000000"/>
                <w:sz w:val="18"/>
                <w:szCs w:val="18"/>
              </w:rPr>
              <w:t>42</w:t>
            </w:r>
          </w:p>
        </w:tc>
        <w:tc>
          <w:tcPr>
            <w:tcW w:w="485" w:type="pct"/>
            <w:tcBorders>
              <w:top w:val="nil"/>
              <w:left w:val="single" w:sz="4" w:space="0" w:color="auto"/>
              <w:bottom w:val="nil"/>
              <w:right w:val="single" w:sz="4" w:space="0" w:color="auto"/>
            </w:tcBorders>
            <w:shd w:val="clear" w:color="auto" w:fill="auto"/>
            <w:noWrap/>
            <w:vAlign w:val="bottom"/>
            <w:hideMark/>
          </w:tcPr>
          <w:p w14:paraId="6F391F18" w14:textId="77777777" w:rsidR="00727DC5" w:rsidRPr="00D96BF4" w:rsidRDefault="00727DC5" w:rsidP="00727DC5">
            <w:pPr>
              <w:jc w:val="right"/>
              <w:rPr>
                <w:color w:val="000000"/>
                <w:sz w:val="18"/>
                <w:szCs w:val="18"/>
              </w:rPr>
            </w:pPr>
            <w:r w:rsidRPr="00D96BF4">
              <w:rPr>
                <w:color w:val="000000"/>
                <w:sz w:val="18"/>
                <w:szCs w:val="18"/>
              </w:rPr>
              <w:t>37</w:t>
            </w:r>
          </w:p>
        </w:tc>
        <w:tc>
          <w:tcPr>
            <w:tcW w:w="585" w:type="pct"/>
            <w:tcBorders>
              <w:top w:val="nil"/>
              <w:left w:val="nil"/>
              <w:bottom w:val="nil"/>
              <w:right w:val="nil"/>
            </w:tcBorders>
            <w:shd w:val="clear" w:color="auto" w:fill="auto"/>
            <w:noWrap/>
            <w:vAlign w:val="bottom"/>
            <w:hideMark/>
          </w:tcPr>
          <w:p w14:paraId="7D6ADB78" w14:textId="77777777" w:rsidR="00727DC5" w:rsidRPr="00D96BF4" w:rsidRDefault="00727DC5" w:rsidP="00727DC5">
            <w:pPr>
              <w:jc w:val="right"/>
              <w:rPr>
                <w:color w:val="000000"/>
                <w:sz w:val="18"/>
                <w:szCs w:val="18"/>
              </w:rPr>
            </w:pPr>
            <w:r w:rsidRPr="00D96BF4">
              <w:rPr>
                <w:color w:val="000000"/>
                <w:sz w:val="18"/>
                <w:szCs w:val="18"/>
              </w:rPr>
              <w:t>68</w:t>
            </w:r>
          </w:p>
        </w:tc>
        <w:tc>
          <w:tcPr>
            <w:tcW w:w="438" w:type="pct"/>
            <w:tcBorders>
              <w:top w:val="nil"/>
              <w:left w:val="single" w:sz="4" w:space="0" w:color="auto"/>
              <w:bottom w:val="nil"/>
              <w:right w:val="single" w:sz="4" w:space="0" w:color="auto"/>
            </w:tcBorders>
            <w:shd w:val="clear" w:color="auto" w:fill="auto"/>
            <w:noWrap/>
            <w:vAlign w:val="bottom"/>
            <w:hideMark/>
          </w:tcPr>
          <w:p w14:paraId="07727F43" w14:textId="77777777" w:rsidR="00727DC5" w:rsidRPr="00D96BF4" w:rsidRDefault="00727DC5" w:rsidP="00727DC5">
            <w:pPr>
              <w:jc w:val="right"/>
              <w:rPr>
                <w:color w:val="000000"/>
                <w:sz w:val="18"/>
                <w:szCs w:val="18"/>
              </w:rPr>
            </w:pPr>
            <w:r w:rsidRPr="00D96BF4">
              <w:rPr>
                <w:color w:val="000000"/>
                <w:sz w:val="18"/>
                <w:szCs w:val="18"/>
              </w:rPr>
              <w:t>82</w:t>
            </w:r>
          </w:p>
        </w:tc>
        <w:tc>
          <w:tcPr>
            <w:tcW w:w="388" w:type="pct"/>
            <w:tcBorders>
              <w:top w:val="nil"/>
              <w:left w:val="single" w:sz="4" w:space="0" w:color="auto"/>
              <w:bottom w:val="nil"/>
              <w:right w:val="single" w:sz="4" w:space="0" w:color="auto"/>
            </w:tcBorders>
            <w:shd w:val="clear" w:color="auto" w:fill="auto"/>
            <w:noWrap/>
            <w:vAlign w:val="bottom"/>
            <w:hideMark/>
          </w:tcPr>
          <w:p w14:paraId="4E88D9C6" w14:textId="77777777" w:rsidR="00727DC5" w:rsidRPr="00D96BF4" w:rsidRDefault="00727DC5" w:rsidP="00727DC5">
            <w:pPr>
              <w:jc w:val="right"/>
              <w:rPr>
                <w:color w:val="000000"/>
                <w:sz w:val="18"/>
                <w:szCs w:val="18"/>
              </w:rPr>
            </w:pPr>
            <w:r w:rsidRPr="00D96BF4">
              <w:rPr>
                <w:color w:val="000000"/>
                <w:sz w:val="18"/>
                <w:szCs w:val="18"/>
              </w:rPr>
              <w:t>109</w:t>
            </w:r>
          </w:p>
        </w:tc>
        <w:tc>
          <w:tcPr>
            <w:tcW w:w="439" w:type="pct"/>
            <w:tcBorders>
              <w:top w:val="nil"/>
              <w:left w:val="nil"/>
              <w:bottom w:val="nil"/>
              <w:right w:val="nil"/>
            </w:tcBorders>
            <w:shd w:val="clear" w:color="auto" w:fill="auto"/>
            <w:noWrap/>
            <w:vAlign w:val="bottom"/>
            <w:hideMark/>
          </w:tcPr>
          <w:p w14:paraId="73174FC0" w14:textId="77777777" w:rsidR="00727DC5" w:rsidRPr="00D96BF4" w:rsidRDefault="00727DC5" w:rsidP="00727DC5">
            <w:pPr>
              <w:jc w:val="right"/>
              <w:rPr>
                <w:color w:val="000000"/>
                <w:sz w:val="18"/>
                <w:szCs w:val="18"/>
              </w:rPr>
            </w:pPr>
            <w:r w:rsidRPr="00D96BF4">
              <w:rPr>
                <w:color w:val="000000"/>
                <w:sz w:val="18"/>
                <w:szCs w:val="18"/>
              </w:rPr>
              <w:t>56</w:t>
            </w:r>
          </w:p>
        </w:tc>
        <w:tc>
          <w:tcPr>
            <w:tcW w:w="511" w:type="pct"/>
            <w:tcBorders>
              <w:top w:val="nil"/>
              <w:left w:val="single" w:sz="4" w:space="0" w:color="auto"/>
              <w:bottom w:val="nil"/>
              <w:right w:val="single" w:sz="4" w:space="0" w:color="auto"/>
            </w:tcBorders>
            <w:shd w:val="clear" w:color="auto" w:fill="auto"/>
            <w:noWrap/>
            <w:vAlign w:val="bottom"/>
            <w:hideMark/>
          </w:tcPr>
          <w:p w14:paraId="605B7C3F" w14:textId="77777777" w:rsidR="00727DC5" w:rsidRPr="00D96BF4" w:rsidRDefault="00727DC5" w:rsidP="00727DC5">
            <w:pPr>
              <w:jc w:val="right"/>
              <w:rPr>
                <w:color w:val="000000"/>
                <w:sz w:val="18"/>
                <w:szCs w:val="18"/>
              </w:rPr>
            </w:pPr>
            <w:r w:rsidRPr="00D96BF4">
              <w:rPr>
                <w:color w:val="000000"/>
                <w:sz w:val="18"/>
                <w:szCs w:val="18"/>
              </w:rPr>
              <w:t>51</w:t>
            </w:r>
          </w:p>
        </w:tc>
      </w:tr>
      <w:tr w:rsidR="00727DC5" w:rsidRPr="00647951" w14:paraId="589DCF24" w14:textId="77777777" w:rsidTr="00727DC5">
        <w:trPr>
          <w:trHeight w:val="300"/>
        </w:trPr>
        <w:tc>
          <w:tcPr>
            <w:tcW w:w="644" w:type="pct"/>
            <w:tcBorders>
              <w:top w:val="nil"/>
              <w:left w:val="single" w:sz="4" w:space="0" w:color="auto"/>
              <w:bottom w:val="nil"/>
              <w:right w:val="single" w:sz="4" w:space="0" w:color="auto"/>
            </w:tcBorders>
            <w:shd w:val="clear" w:color="auto" w:fill="auto"/>
            <w:vAlign w:val="center"/>
            <w:hideMark/>
          </w:tcPr>
          <w:p w14:paraId="7C1BBB82" w14:textId="77777777" w:rsidR="00727DC5" w:rsidRPr="00D96BF4" w:rsidRDefault="00727DC5" w:rsidP="00727DC5">
            <w:pPr>
              <w:rPr>
                <w:b/>
                <w:bCs/>
                <w:color w:val="000000"/>
                <w:sz w:val="18"/>
                <w:szCs w:val="18"/>
              </w:rPr>
            </w:pPr>
            <w:r w:rsidRPr="00D96BF4">
              <w:rPr>
                <w:b/>
                <w:bCs/>
                <w:color w:val="000000"/>
                <w:sz w:val="18"/>
                <w:szCs w:val="18"/>
              </w:rPr>
              <w:t>Indonesia</w:t>
            </w:r>
          </w:p>
        </w:tc>
        <w:tc>
          <w:tcPr>
            <w:tcW w:w="487" w:type="pct"/>
            <w:tcBorders>
              <w:top w:val="nil"/>
              <w:left w:val="nil"/>
              <w:bottom w:val="nil"/>
              <w:right w:val="nil"/>
            </w:tcBorders>
            <w:shd w:val="clear" w:color="auto" w:fill="auto"/>
            <w:noWrap/>
            <w:vAlign w:val="bottom"/>
            <w:hideMark/>
          </w:tcPr>
          <w:p w14:paraId="4EF56B2D" w14:textId="77777777" w:rsidR="00727DC5" w:rsidRPr="00D96BF4" w:rsidRDefault="00727DC5" w:rsidP="00727DC5">
            <w:pPr>
              <w:jc w:val="right"/>
              <w:rPr>
                <w:color w:val="000000"/>
                <w:sz w:val="18"/>
                <w:szCs w:val="18"/>
              </w:rPr>
            </w:pPr>
            <w:r w:rsidRPr="00D96BF4">
              <w:rPr>
                <w:color w:val="000000"/>
                <w:sz w:val="18"/>
                <w:szCs w:val="18"/>
              </w:rPr>
              <w:t>91</w:t>
            </w:r>
          </w:p>
        </w:tc>
        <w:tc>
          <w:tcPr>
            <w:tcW w:w="487" w:type="pct"/>
            <w:tcBorders>
              <w:top w:val="nil"/>
              <w:left w:val="single" w:sz="4" w:space="0" w:color="auto"/>
              <w:bottom w:val="nil"/>
              <w:right w:val="single" w:sz="4" w:space="0" w:color="auto"/>
            </w:tcBorders>
            <w:shd w:val="clear" w:color="auto" w:fill="auto"/>
            <w:noWrap/>
            <w:vAlign w:val="bottom"/>
            <w:hideMark/>
          </w:tcPr>
          <w:p w14:paraId="381D8E6A" w14:textId="77777777" w:rsidR="00727DC5" w:rsidRPr="00D96BF4" w:rsidRDefault="00727DC5" w:rsidP="00727DC5">
            <w:pPr>
              <w:jc w:val="right"/>
              <w:rPr>
                <w:color w:val="000000"/>
                <w:sz w:val="18"/>
                <w:szCs w:val="18"/>
              </w:rPr>
            </w:pPr>
            <w:r w:rsidRPr="00D96BF4">
              <w:rPr>
                <w:color w:val="000000"/>
                <w:sz w:val="18"/>
                <w:szCs w:val="18"/>
              </w:rPr>
              <w:t>151</w:t>
            </w:r>
          </w:p>
        </w:tc>
        <w:tc>
          <w:tcPr>
            <w:tcW w:w="536" w:type="pct"/>
            <w:tcBorders>
              <w:top w:val="nil"/>
              <w:left w:val="nil"/>
              <w:bottom w:val="nil"/>
              <w:right w:val="nil"/>
            </w:tcBorders>
            <w:shd w:val="clear" w:color="auto" w:fill="auto"/>
            <w:noWrap/>
            <w:vAlign w:val="bottom"/>
            <w:hideMark/>
          </w:tcPr>
          <w:p w14:paraId="60ED5604" w14:textId="77777777" w:rsidR="00727DC5" w:rsidRPr="00D96BF4" w:rsidRDefault="00727DC5" w:rsidP="00727DC5">
            <w:pPr>
              <w:jc w:val="right"/>
              <w:rPr>
                <w:color w:val="000000"/>
                <w:sz w:val="18"/>
                <w:szCs w:val="18"/>
              </w:rPr>
            </w:pPr>
            <w:r w:rsidRPr="00D96BF4">
              <w:rPr>
                <w:color w:val="000000"/>
                <w:sz w:val="18"/>
                <w:szCs w:val="18"/>
              </w:rPr>
              <w:t>116</w:t>
            </w:r>
          </w:p>
        </w:tc>
        <w:tc>
          <w:tcPr>
            <w:tcW w:w="485" w:type="pct"/>
            <w:tcBorders>
              <w:top w:val="nil"/>
              <w:left w:val="single" w:sz="4" w:space="0" w:color="auto"/>
              <w:bottom w:val="nil"/>
              <w:right w:val="single" w:sz="4" w:space="0" w:color="auto"/>
            </w:tcBorders>
            <w:shd w:val="clear" w:color="auto" w:fill="auto"/>
            <w:noWrap/>
            <w:vAlign w:val="bottom"/>
            <w:hideMark/>
          </w:tcPr>
          <w:p w14:paraId="0C09CBAC" w14:textId="77777777" w:rsidR="00727DC5" w:rsidRPr="00D96BF4" w:rsidRDefault="00727DC5" w:rsidP="00727DC5">
            <w:pPr>
              <w:jc w:val="right"/>
              <w:rPr>
                <w:color w:val="000000"/>
                <w:sz w:val="18"/>
                <w:szCs w:val="18"/>
              </w:rPr>
            </w:pPr>
            <w:r w:rsidRPr="00D96BF4">
              <w:rPr>
                <w:color w:val="000000"/>
                <w:sz w:val="18"/>
                <w:szCs w:val="18"/>
              </w:rPr>
              <w:t>49</w:t>
            </w:r>
          </w:p>
        </w:tc>
        <w:tc>
          <w:tcPr>
            <w:tcW w:w="585" w:type="pct"/>
            <w:tcBorders>
              <w:top w:val="nil"/>
              <w:left w:val="nil"/>
              <w:bottom w:val="nil"/>
              <w:right w:val="nil"/>
            </w:tcBorders>
            <w:shd w:val="clear" w:color="auto" w:fill="auto"/>
            <w:noWrap/>
            <w:vAlign w:val="bottom"/>
            <w:hideMark/>
          </w:tcPr>
          <w:p w14:paraId="6ED72E65" w14:textId="77777777" w:rsidR="00727DC5" w:rsidRPr="00D96BF4" w:rsidRDefault="00727DC5" w:rsidP="00727DC5">
            <w:pPr>
              <w:jc w:val="right"/>
              <w:rPr>
                <w:color w:val="000000"/>
                <w:sz w:val="18"/>
                <w:szCs w:val="18"/>
              </w:rPr>
            </w:pPr>
            <w:r w:rsidRPr="00D96BF4">
              <w:rPr>
                <w:color w:val="000000"/>
                <w:sz w:val="18"/>
                <w:szCs w:val="18"/>
              </w:rPr>
              <w:t>118</w:t>
            </w:r>
          </w:p>
        </w:tc>
        <w:tc>
          <w:tcPr>
            <w:tcW w:w="438" w:type="pct"/>
            <w:tcBorders>
              <w:top w:val="nil"/>
              <w:left w:val="single" w:sz="4" w:space="0" w:color="auto"/>
              <w:bottom w:val="nil"/>
              <w:right w:val="single" w:sz="4" w:space="0" w:color="auto"/>
            </w:tcBorders>
            <w:shd w:val="clear" w:color="auto" w:fill="auto"/>
            <w:noWrap/>
            <w:vAlign w:val="bottom"/>
            <w:hideMark/>
          </w:tcPr>
          <w:p w14:paraId="501BB946" w14:textId="77777777" w:rsidR="00727DC5" w:rsidRPr="00D96BF4" w:rsidRDefault="00727DC5" w:rsidP="00727DC5">
            <w:pPr>
              <w:jc w:val="right"/>
              <w:rPr>
                <w:color w:val="000000"/>
                <w:sz w:val="18"/>
                <w:szCs w:val="18"/>
              </w:rPr>
            </w:pPr>
            <w:r w:rsidRPr="00D96BF4">
              <w:rPr>
                <w:color w:val="000000"/>
                <w:sz w:val="18"/>
                <w:szCs w:val="18"/>
              </w:rPr>
              <w:t>62</w:t>
            </w:r>
          </w:p>
        </w:tc>
        <w:tc>
          <w:tcPr>
            <w:tcW w:w="388" w:type="pct"/>
            <w:tcBorders>
              <w:top w:val="nil"/>
              <w:left w:val="single" w:sz="4" w:space="0" w:color="auto"/>
              <w:bottom w:val="nil"/>
              <w:right w:val="single" w:sz="4" w:space="0" w:color="auto"/>
            </w:tcBorders>
            <w:shd w:val="clear" w:color="auto" w:fill="auto"/>
            <w:noWrap/>
            <w:vAlign w:val="bottom"/>
            <w:hideMark/>
          </w:tcPr>
          <w:p w14:paraId="529F9183" w14:textId="77777777" w:rsidR="00727DC5" w:rsidRPr="00D96BF4" w:rsidRDefault="00727DC5" w:rsidP="00727DC5">
            <w:pPr>
              <w:jc w:val="right"/>
              <w:rPr>
                <w:color w:val="000000"/>
                <w:sz w:val="18"/>
                <w:szCs w:val="18"/>
              </w:rPr>
            </w:pPr>
            <w:r w:rsidRPr="00D96BF4">
              <w:rPr>
                <w:color w:val="000000"/>
                <w:sz w:val="18"/>
                <w:szCs w:val="18"/>
              </w:rPr>
              <w:t>104</w:t>
            </w:r>
          </w:p>
        </w:tc>
        <w:tc>
          <w:tcPr>
            <w:tcW w:w="439" w:type="pct"/>
            <w:tcBorders>
              <w:top w:val="nil"/>
              <w:left w:val="nil"/>
              <w:bottom w:val="nil"/>
              <w:right w:val="nil"/>
            </w:tcBorders>
            <w:shd w:val="clear" w:color="auto" w:fill="auto"/>
            <w:noWrap/>
            <w:vAlign w:val="bottom"/>
            <w:hideMark/>
          </w:tcPr>
          <w:p w14:paraId="4E9E3BAF" w14:textId="77777777" w:rsidR="00727DC5" w:rsidRPr="00D96BF4" w:rsidRDefault="00727DC5" w:rsidP="00727DC5">
            <w:pPr>
              <w:jc w:val="right"/>
              <w:rPr>
                <w:color w:val="000000"/>
                <w:sz w:val="18"/>
                <w:szCs w:val="18"/>
              </w:rPr>
            </w:pPr>
            <w:r w:rsidRPr="00D96BF4">
              <w:rPr>
                <w:color w:val="000000"/>
                <w:sz w:val="18"/>
                <w:szCs w:val="18"/>
              </w:rPr>
              <w:t>108</w:t>
            </w:r>
          </w:p>
        </w:tc>
        <w:tc>
          <w:tcPr>
            <w:tcW w:w="511" w:type="pct"/>
            <w:tcBorders>
              <w:top w:val="nil"/>
              <w:left w:val="single" w:sz="4" w:space="0" w:color="auto"/>
              <w:bottom w:val="nil"/>
              <w:right w:val="single" w:sz="4" w:space="0" w:color="auto"/>
            </w:tcBorders>
            <w:shd w:val="clear" w:color="auto" w:fill="auto"/>
            <w:noWrap/>
            <w:vAlign w:val="bottom"/>
            <w:hideMark/>
          </w:tcPr>
          <w:p w14:paraId="27649466" w14:textId="77777777" w:rsidR="00727DC5" w:rsidRPr="00D96BF4" w:rsidRDefault="00727DC5" w:rsidP="00727DC5">
            <w:pPr>
              <w:jc w:val="right"/>
              <w:rPr>
                <w:color w:val="000000"/>
                <w:sz w:val="18"/>
                <w:szCs w:val="18"/>
              </w:rPr>
            </w:pPr>
            <w:r w:rsidRPr="00D96BF4">
              <w:rPr>
                <w:color w:val="000000"/>
                <w:sz w:val="18"/>
                <w:szCs w:val="18"/>
              </w:rPr>
              <w:t>166</w:t>
            </w:r>
          </w:p>
        </w:tc>
      </w:tr>
      <w:tr w:rsidR="00727DC5" w:rsidRPr="00647951" w14:paraId="72DEEFDF" w14:textId="77777777" w:rsidTr="00727DC5">
        <w:trPr>
          <w:trHeight w:val="300"/>
        </w:trPr>
        <w:tc>
          <w:tcPr>
            <w:tcW w:w="644" w:type="pct"/>
            <w:tcBorders>
              <w:top w:val="nil"/>
              <w:left w:val="single" w:sz="4" w:space="0" w:color="auto"/>
              <w:bottom w:val="nil"/>
              <w:right w:val="single" w:sz="4" w:space="0" w:color="auto"/>
            </w:tcBorders>
            <w:shd w:val="clear" w:color="auto" w:fill="auto"/>
            <w:vAlign w:val="center"/>
            <w:hideMark/>
          </w:tcPr>
          <w:p w14:paraId="392079DC" w14:textId="77777777" w:rsidR="00727DC5" w:rsidRPr="00D96BF4" w:rsidRDefault="00727DC5" w:rsidP="00727DC5">
            <w:pPr>
              <w:rPr>
                <w:b/>
                <w:bCs/>
                <w:color w:val="000000"/>
                <w:sz w:val="18"/>
                <w:szCs w:val="18"/>
              </w:rPr>
            </w:pPr>
            <w:r w:rsidRPr="00D96BF4">
              <w:rPr>
                <w:b/>
                <w:bCs/>
                <w:color w:val="000000"/>
                <w:sz w:val="18"/>
                <w:szCs w:val="18"/>
              </w:rPr>
              <w:t>Vietnam</w:t>
            </w:r>
          </w:p>
        </w:tc>
        <w:tc>
          <w:tcPr>
            <w:tcW w:w="487" w:type="pct"/>
            <w:tcBorders>
              <w:top w:val="nil"/>
              <w:left w:val="nil"/>
              <w:bottom w:val="nil"/>
              <w:right w:val="nil"/>
            </w:tcBorders>
            <w:shd w:val="clear" w:color="auto" w:fill="auto"/>
            <w:noWrap/>
            <w:vAlign w:val="bottom"/>
            <w:hideMark/>
          </w:tcPr>
          <w:p w14:paraId="2DEFC856" w14:textId="77777777" w:rsidR="00727DC5" w:rsidRPr="00D96BF4" w:rsidRDefault="00727DC5" w:rsidP="00727DC5">
            <w:pPr>
              <w:jc w:val="right"/>
              <w:rPr>
                <w:color w:val="000000"/>
                <w:sz w:val="18"/>
                <w:szCs w:val="18"/>
              </w:rPr>
            </w:pPr>
            <w:r w:rsidRPr="00D96BF4">
              <w:rPr>
                <w:color w:val="000000"/>
                <w:sz w:val="18"/>
                <w:szCs w:val="18"/>
              </w:rPr>
              <w:t>82</w:t>
            </w:r>
          </w:p>
        </w:tc>
        <w:tc>
          <w:tcPr>
            <w:tcW w:w="487" w:type="pct"/>
            <w:tcBorders>
              <w:top w:val="nil"/>
              <w:left w:val="single" w:sz="4" w:space="0" w:color="auto"/>
              <w:bottom w:val="nil"/>
              <w:right w:val="single" w:sz="4" w:space="0" w:color="auto"/>
            </w:tcBorders>
            <w:shd w:val="clear" w:color="auto" w:fill="auto"/>
            <w:noWrap/>
            <w:vAlign w:val="bottom"/>
            <w:hideMark/>
          </w:tcPr>
          <w:p w14:paraId="62E555CB" w14:textId="77777777" w:rsidR="00727DC5" w:rsidRPr="00D96BF4" w:rsidRDefault="00727DC5" w:rsidP="00727DC5">
            <w:pPr>
              <w:jc w:val="right"/>
              <w:rPr>
                <w:color w:val="000000"/>
                <w:sz w:val="18"/>
                <w:szCs w:val="18"/>
              </w:rPr>
            </w:pPr>
            <w:r w:rsidRPr="00D96BF4">
              <w:rPr>
                <w:color w:val="000000"/>
                <w:sz w:val="18"/>
                <w:szCs w:val="18"/>
              </w:rPr>
              <w:t>121</w:t>
            </w:r>
          </w:p>
        </w:tc>
        <w:tc>
          <w:tcPr>
            <w:tcW w:w="536" w:type="pct"/>
            <w:tcBorders>
              <w:top w:val="nil"/>
              <w:left w:val="nil"/>
              <w:bottom w:val="nil"/>
              <w:right w:val="nil"/>
            </w:tcBorders>
            <w:shd w:val="clear" w:color="auto" w:fill="auto"/>
            <w:noWrap/>
            <w:vAlign w:val="bottom"/>
            <w:hideMark/>
          </w:tcPr>
          <w:p w14:paraId="131942B0" w14:textId="77777777" w:rsidR="00727DC5" w:rsidRPr="00D96BF4" w:rsidRDefault="00727DC5" w:rsidP="00727DC5">
            <w:pPr>
              <w:jc w:val="right"/>
              <w:rPr>
                <w:color w:val="000000"/>
                <w:sz w:val="18"/>
                <w:szCs w:val="18"/>
              </w:rPr>
            </w:pPr>
            <w:r w:rsidRPr="00D96BF4">
              <w:rPr>
                <w:color w:val="000000"/>
                <w:sz w:val="18"/>
                <w:szCs w:val="18"/>
              </w:rPr>
              <w:t>24</w:t>
            </w:r>
          </w:p>
        </w:tc>
        <w:tc>
          <w:tcPr>
            <w:tcW w:w="485" w:type="pct"/>
            <w:tcBorders>
              <w:top w:val="nil"/>
              <w:left w:val="single" w:sz="4" w:space="0" w:color="auto"/>
              <w:bottom w:val="nil"/>
              <w:right w:val="single" w:sz="4" w:space="0" w:color="auto"/>
            </w:tcBorders>
            <w:shd w:val="clear" w:color="auto" w:fill="auto"/>
            <w:noWrap/>
            <w:vAlign w:val="bottom"/>
            <w:hideMark/>
          </w:tcPr>
          <w:p w14:paraId="4B2009AB" w14:textId="77777777" w:rsidR="00727DC5" w:rsidRPr="00D96BF4" w:rsidRDefault="00727DC5" w:rsidP="00727DC5">
            <w:pPr>
              <w:jc w:val="right"/>
              <w:rPr>
                <w:color w:val="000000"/>
                <w:sz w:val="18"/>
                <w:szCs w:val="18"/>
              </w:rPr>
            </w:pPr>
            <w:r w:rsidRPr="00D96BF4">
              <w:rPr>
                <w:color w:val="000000"/>
                <w:sz w:val="18"/>
                <w:szCs w:val="18"/>
              </w:rPr>
              <w:t>96</w:t>
            </w:r>
          </w:p>
        </w:tc>
        <w:tc>
          <w:tcPr>
            <w:tcW w:w="585" w:type="pct"/>
            <w:tcBorders>
              <w:top w:val="nil"/>
              <w:left w:val="nil"/>
              <w:bottom w:val="nil"/>
              <w:right w:val="nil"/>
            </w:tcBorders>
            <w:shd w:val="clear" w:color="auto" w:fill="auto"/>
            <w:noWrap/>
            <w:vAlign w:val="bottom"/>
            <w:hideMark/>
          </w:tcPr>
          <w:p w14:paraId="271FB3A6" w14:textId="77777777" w:rsidR="00727DC5" w:rsidRPr="00D96BF4" w:rsidRDefault="00727DC5" w:rsidP="00727DC5">
            <w:pPr>
              <w:jc w:val="right"/>
              <w:rPr>
                <w:color w:val="000000"/>
                <w:sz w:val="18"/>
                <w:szCs w:val="18"/>
              </w:rPr>
            </w:pPr>
            <w:r w:rsidRPr="00D96BF4">
              <w:rPr>
                <w:color w:val="000000"/>
                <w:sz w:val="18"/>
                <w:szCs w:val="18"/>
              </w:rPr>
              <w:t>59</w:t>
            </w:r>
          </w:p>
        </w:tc>
        <w:tc>
          <w:tcPr>
            <w:tcW w:w="438" w:type="pct"/>
            <w:tcBorders>
              <w:top w:val="nil"/>
              <w:left w:val="single" w:sz="4" w:space="0" w:color="auto"/>
              <w:bottom w:val="nil"/>
              <w:right w:val="single" w:sz="4" w:space="0" w:color="auto"/>
            </w:tcBorders>
            <w:shd w:val="clear" w:color="auto" w:fill="auto"/>
            <w:noWrap/>
            <w:vAlign w:val="bottom"/>
            <w:hideMark/>
          </w:tcPr>
          <w:p w14:paraId="063BA892" w14:textId="77777777" w:rsidR="00727DC5" w:rsidRPr="00D96BF4" w:rsidRDefault="00727DC5" w:rsidP="00727DC5">
            <w:pPr>
              <w:jc w:val="right"/>
              <w:rPr>
                <w:color w:val="000000"/>
                <w:sz w:val="18"/>
                <w:szCs w:val="18"/>
              </w:rPr>
            </w:pPr>
            <w:r w:rsidRPr="00D96BF4">
              <w:rPr>
                <w:color w:val="000000"/>
                <w:sz w:val="18"/>
                <w:szCs w:val="18"/>
              </w:rPr>
              <w:t>32</w:t>
            </w:r>
          </w:p>
        </w:tc>
        <w:tc>
          <w:tcPr>
            <w:tcW w:w="388" w:type="pct"/>
            <w:tcBorders>
              <w:top w:val="nil"/>
              <w:left w:val="single" w:sz="4" w:space="0" w:color="auto"/>
              <w:bottom w:val="nil"/>
              <w:right w:val="single" w:sz="4" w:space="0" w:color="auto"/>
            </w:tcBorders>
            <w:shd w:val="clear" w:color="auto" w:fill="auto"/>
            <w:noWrap/>
            <w:vAlign w:val="bottom"/>
            <w:hideMark/>
          </w:tcPr>
          <w:p w14:paraId="39BEA488" w14:textId="77777777" w:rsidR="00727DC5" w:rsidRPr="00D96BF4" w:rsidRDefault="00727DC5" w:rsidP="00727DC5">
            <w:pPr>
              <w:jc w:val="right"/>
              <w:rPr>
                <w:color w:val="000000"/>
                <w:sz w:val="18"/>
                <w:szCs w:val="18"/>
              </w:rPr>
            </w:pPr>
            <w:r w:rsidRPr="00D96BF4">
              <w:rPr>
                <w:color w:val="000000"/>
                <w:sz w:val="18"/>
                <w:szCs w:val="18"/>
              </w:rPr>
              <w:t>167</w:t>
            </w:r>
          </w:p>
        </w:tc>
        <w:tc>
          <w:tcPr>
            <w:tcW w:w="439" w:type="pct"/>
            <w:tcBorders>
              <w:top w:val="nil"/>
              <w:left w:val="nil"/>
              <w:bottom w:val="nil"/>
              <w:right w:val="nil"/>
            </w:tcBorders>
            <w:shd w:val="clear" w:color="auto" w:fill="auto"/>
            <w:noWrap/>
            <w:vAlign w:val="bottom"/>
            <w:hideMark/>
          </w:tcPr>
          <w:p w14:paraId="61BAD7C9" w14:textId="77777777" w:rsidR="00727DC5" w:rsidRPr="00D96BF4" w:rsidRDefault="00727DC5" w:rsidP="00727DC5">
            <w:pPr>
              <w:jc w:val="right"/>
              <w:rPr>
                <w:color w:val="000000"/>
                <w:sz w:val="18"/>
                <w:szCs w:val="18"/>
              </w:rPr>
            </w:pPr>
            <w:r w:rsidRPr="00D96BF4">
              <w:rPr>
                <w:color w:val="000000"/>
                <w:sz w:val="18"/>
                <w:szCs w:val="18"/>
              </w:rPr>
              <w:t>93</w:t>
            </w:r>
          </w:p>
        </w:tc>
        <w:tc>
          <w:tcPr>
            <w:tcW w:w="511" w:type="pct"/>
            <w:tcBorders>
              <w:top w:val="nil"/>
              <w:left w:val="single" w:sz="4" w:space="0" w:color="auto"/>
              <w:bottom w:val="nil"/>
              <w:right w:val="single" w:sz="4" w:space="0" w:color="auto"/>
            </w:tcBorders>
            <w:shd w:val="clear" w:color="auto" w:fill="auto"/>
            <w:noWrap/>
            <w:vAlign w:val="bottom"/>
            <w:hideMark/>
          </w:tcPr>
          <w:p w14:paraId="57F526D0" w14:textId="77777777" w:rsidR="00727DC5" w:rsidRPr="00D96BF4" w:rsidRDefault="00727DC5" w:rsidP="00727DC5">
            <w:pPr>
              <w:jc w:val="right"/>
              <w:rPr>
                <w:color w:val="000000"/>
                <w:sz w:val="18"/>
                <w:szCs w:val="18"/>
              </w:rPr>
            </w:pPr>
            <w:r w:rsidRPr="00D96BF4">
              <w:rPr>
                <w:color w:val="000000"/>
                <w:sz w:val="18"/>
                <w:szCs w:val="18"/>
              </w:rPr>
              <w:t>69</w:t>
            </w:r>
          </w:p>
        </w:tc>
      </w:tr>
      <w:tr w:rsidR="00727DC5" w:rsidRPr="00647951" w14:paraId="41CF7679" w14:textId="77777777" w:rsidTr="00727DC5">
        <w:trPr>
          <w:trHeight w:val="300"/>
        </w:trPr>
        <w:tc>
          <w:tcPr>
            <w:tcW w:w="644" w:type="pct"/>
            <w:tcBorders>
              <w:top w:val="nil"/>
              <w:left w:val="single" w:sz="4" w:space="0" w:color="auto"/>
              <w:bottom w:val="single" w:sz="4" w:space="0" w:color="auto"/>
              <w:right w:val="single" w:sz="4" w:space="0" w:color="auto"/>
            </w:tcBorders>
            <w:shd w:val="clear" w:color="auto" w:fill="auto"/>
            <w:vAlign w:val="center"/>
            <w:hideMark/>
          </w:tcPr>
          <w:p w14:paraId="6DA536F2" w14:textId="77777777" w:rsidR="00727DC5" w:rsidRPr="00D96BF4" w:rsidRDefault="00727DC5" w:rsidP="00727DC5">
            <w:pPr>
              <w:rPr>
                <w:b/>
                <w:bCs/>
                <w:color w:val="000000"/>
                <w:sz w:val="18"/>
                <w:szCs w:val="18"/>
              </w:rPr>
            </w:pPr>
            <w:r w:rsidRPr="00D96BF4">
              <w:rPr>
                <w:b/>
                <w:bCs/>
                <w:color w:val="000000"/>
                <w:sz w:val="18"/>
                <w:szCs w:val="18"/>
              </w:rPr>
              <w:t>Pakistan</w:t>
            </w:r>
          </w:p>
        </w:tc>
        <w:tc>
          <w:tcPr>
            <w:tcW w:w="487" w:type="pct"/>
            <w:tcBorders>
              <w:top w:val="nil"/>
              <w:left w:val="nil"/>
              <w:bottom w:val="single" w:sz="4" w:space="0" w:color="auto"/>
              <w:right w:val="nil"/>
            </w:tcBorders>
            <w:shd w:val="clear" w:color="auto" w:fill="auto"/>
            <w:noWrap/>
            <w:vAlign w:val="bottom"/>
            <w:hideMark/>
          </w:tcPr>
          <w:p w14:paraId="7639C258" w14:textId="77777777" w:rsidR="00727DC5" w:rsidRPr="00D96BF4" w:rsidRDefault="00727DC5" w:rsidP="00727DC5">
            <w:pPr>
              <w:jc w:val="right"/>
              <w:rPr>
                <w:color w:val="000000"/>
                <w:sz w:val="18"/>
                <w:szCs w:val="18"/>
              </w:rPr>
            </w:pPr>
            <w:r w:rsidRPr="00D96BF4">
              <w:rPr>
                <w:color w:val="000000"/>
                <w:sz w:val="18"/>
                <w:szCs w:val="18"/>
              </w:rPr>
              <w:t>144</w:t>
            </w:r>
          </w:p>
        </w:tc>
        <w:tc>
          <w:tcPr>
            <w:tcW w:w="487" w:type="pct"/>
            <w:tcBorders>
              <w:top w:val="nil"/>
              <w:left w:val="single" w:sz="4" w:space="0" w:color="auto"/>
              <w:bottom w:val="single" w:sz="4" w:space="0" w:color="auto"/>
              <w:right w:val="single" w:sz="4" w:space="0" w:color="auto"/>
            </w:tcBorders>
            <w:shd w:val="clear" w:color="auto" w:fill="auto"/>
            <w:noWrap/>
            <w:vAlign w:val="bottom"/>
            <w:hideMark/>
          </w:tcPr>
          <w:p w14:paraId="20E1A17B" w14:textId="77777777" w:rsidR="00727DC5" w:rsidRPr="00D96BF4" w:rsidRDefault="00727DC5" w:rsidP="00727DC5">
            <w:pPr>
              <w:jc w:val="right"/>
              <w:rPr>
                <w:color w:val="000000"/>
                <w:sz w:val="18"/>
                <w:szCs w:val="18"/>
              </w:rPr>
            </w:pPr>
            <w:r w:rsidRPr="00D96BF4">
              <w:rPr>
                <w:color w:val="000000"/>
                <w:sz w:val="18"/>
                <w:szCs w:val="18"/>
              </w:rPr>
              <w:t>141</w:t>
            </w:r>
          </w:p>
        </w:tc>
        <w:tc>
          <w:tcPr>
            <w:tcW w:w="536" w:type="pct"/>
            <w:tcBorders>
              <w:top w:val="nil"/>
              <w:left w:val="nil"/>
              <w:bottom w:val="single" w:sz="4" w:space="0" w:color="auto"/>
              <w:right w:val="nil"/>
            </w:tcBorders>
            <w:shd w:val="clear" w:color="auto" w:fill="auto"/>
            <w:noWrap/>
            <w:vAlign w:val="bottom"/>
            <w:hideMark/>
          </w:tcPr>
          <w:p w14:paraId="0AFCBABD" w14:textId="77777777" w:rsidR="00727DC5" w:rsidRPr="00D96BF4" w:rsidRDefault="00727DC5" w:rsidP="00727DC5">
            <w:pPr>
              <w:jc w:val="right"/>
              <w:rPr>
                <w:color w:val="000000"/>
                <w:sz w:val="18"/>
                <w:szCs w:val="18"/>
              </w:rPr>
            </w:pPr>
            <w:r w:rsidRPr="00D96BF4">
              <w:rPr>
                <w:color w:val="000000"/>
                <w:sz w:val="18"/>
                <w:szCs w:val="18"/>
              </w:rPr>
              <w:t>150</w:t>
            </w:r>
          </w:p>
        </w:tc>
        <w:tc>
          <w:tcPr>
            <w:tcW w:w="485" w:type="pct"/>
            <w:tcBorders>
              <w:top w:val="nil"/>
              <w:left w:val="single" w:sz="4" w:space="0" w:color="auto"/>
              <w:bottom w:val="single" w:sz="4" w:space="0" w:color="auto"/>
              <w:right w:val="single" w:sz="4" w:space="0" w:color="auto"/>
            </w:tcBorders>
            <w:shd w:val="clear" w:color="auto" w:fill="auto"/>
            <w:noWrap/>
            <w:vAlign w:val="bottom"/>
            <w:hideMark/>
          </w:tcPr>
          <w:p w14:paraId="1C9489FA" w14:textId="77777777" w:rsidR="00727DC5" w:rsidRPr="00D96BF4" w:rsidRDefault="00727DC5" w:rsidP="00727DC5">
            <w:pPr>
              <w:jc w:val="right"/>
              <w:rPr>
                <w:color w:val="000000"/>
                <w:sz w:val="18"/>
                <w:szCs w:val="18"/>
              </w:rPr>
            </w:pPr>
            <w:r w:rsidRPr="00D96BF4">
              <w:rPr>
                <w:color w:val="000000"/>
                <w:sz w:val="18"/>
                <w:szCs w:val="18"/>
              </w:rPr>
              <w:t>170</w:t>
            </w:r>
          </w:p>
        </w:tc>
        <w:tc>
          <w:tcPr>
            <w:tcW w:w="585" w:type="pct"/>
            <w:tcBorders>
              <w:top w:val="nil"/>
              <w:left w:val="nil"/>
              <w:bottom w:val="single" w:sz="4" w:space="0" w:color="auto"/>
              <w:right w:val="nil"/>
            </w:tcBorders>
            <w:shd w:val="clear" w:color="auto" w:fill="auto"/>
            <w:noWrap/>
            <w:vAlign w:val="bottom"/>
            <w:hideMark/>
          </w:tcPr>
          <w:p w14:paraId="097E00D5" w14:textId="77777777" w:rsidR="00727DC5" w:rsidRPr="00D96BF4" w:rsidRDefault="00727DC5" w:rsidP="00727DC5">
            <w:pPr>
              <w:jc w:val="right"/>
              <w:rPr>
                <w:color w:val="000000"/>
                <w:sz w:val="18"/>
                <w:szCs w:val="18"/>
              </w:rPr>
            </w:pPr>
            <w:r w:rsidRPr="00D96BF4">
              <w:rPr>
                <w:color w:val="000000"/>
                <w:sz w:val="18"/>
                <w:szCs w:val="18"/>
              </w:rPr>
              <w:t>169</w:t>
            </w:r>
          </w:p>
        </w:tc>
        <w:tc>
          <w:tcPr>
            <w:tcW w:w="438" w:type="pct"/>
            <w:tcBorders>
              <w:top w:val="nil"/>
              <w:left w:val="single" w:sz="4" w:space="0" w:color="auto"/>
              <w:bottom w:val="single" w:sz="4" w:space="0" w:color="auto"/>
              <w:right w:val="single" w:sz="4" w:space="0" w:color="auto"/>
            </w:tcBorders>
            <w:shd w:val="clear" w:color="auto" w:fill="auto"/>
            <w:noWrap/>
            <w:vAlign w:val="bottom"/>
            <w:hideMark/>
          </w:tcPr>
          <w:p w14:paraId="41F2AA05" w14:textId="77777777" w:rsidR="00727DC5" w:rsidRPr="00D96BF4" w:rsidRDefault="00727DC5" w:rsidP="00727DC5">
            <w:pPr>
              <w:jc w:val="right"/>
              <w:rPr>
                <w:color w:val="000000"/>
                <w:sz w:val="18"/>
                <w:szCs w:val="18"/>
              </w:rPr>
            </w:pPr>
            <w:r w:rsidRPr="00D96BF4">
              <w:rPr>
                <w:color w:val="000000"/>
                <w:sz w:val="18"/>
                <w:szCs w:val="18"/>
              </w:rPr>
              <w:t>82</w:t>
            </w:r>
          </w:p>
        </w:tc>
        <w:tc>
          <w:tcPr>
            <w:tcW w:w="388" w:type="pct"/>
            <w:tcBorders>
              <w:top w:val="nil"/>
              <w:left w:val="single" w:sz="4" w:space="0" w:color="auto"/>
              <w:bottom w:val="single" w:sz="4" w:space="0" w:color="auto"/>
              <w:right w:val="single" w:sz="4" w:space="0" w:color="auto"/>
            </w:tcBorders>
            <w:shd w:val="clear" w:color="auto" w:fill="auto"/>
            <w:noWrap/>
            <w:vAlign w:val="bottom"/>
            <w:hideMark/>
          </w:tcPr>
          <w:p w14:paraId="157155F7" w14:textId="77777777" w:rsidR="00727DC5" w:rsidRPr="00D96BF4" w:rsidRDefault="00727DC5" w:rsidP="00727DC5">
            <w:pPr>
              <w:jc w:val="right"/>
              <w:rPr>
                <w:color w:val="000000"/>
                <w:sz w:val="18"/>
                <w:szCs w:val="18"/>
              </w:rPr>
            </w:pPr>
            <w:r w:rsidRPr="00D96BF4">
              <w:rPr>
                <w:color w:val="000000"/>
                <w:sz w:val="18"/>
                <w:szCs w:val="18"/>
              </w:rPr>
              <w:t>156</w:t>
            </w:r>
          </w:p>
        </w:tc>
        <w:tc>
          <w:tcPr>
            <w:tcW w:w="439" w:type="pct"/>
            <w:tcBorders>
              <w:top w:val="nil"/>
              <w:left w:val="nil"/>
              <w:bottom w:val="single" w:sz="4" w:space="0" w:color="auto"/>
              <w:right w:val="nil"/>
            </w:tcBorders>
            <w:shd w:val="clear" w:color="auto" w:fill="auto"/>
            <w:noWrap/>
            <w:vAlign w:val="bottom"/>
            <w:hideMark/>
          </w:tcPr>
          <w:p w14:paraId="37FB9788" w14:textId="77777777" w:rsidR="00727DC5" w:rsidRPr="00D96BF4" w:rsidRDefault="00727DC5" w:rsidP="00727DC5">
            <w:pPr>
              <w:jc w:val="right"/>
              <w:rPr>
                <w:color w:val="000000"/>
                <w:sz w:val="18"/>
                <w:szCs w:val="18"/>
              </w:rPr>
            </w:pPr>
            <w:r w:rsidRPr="00D96BF4">
              <w:rPr>
                <w:color w:val="000000"/>
                <w:sz w:val="18"/>
                <w:szCs w:val="18"/>
              </w:rPr>
              <w:t>172</w:t>
            </w:r>
          </w:p>
        </w:tc>
        <w:tc>
          <w:tcPr>
            <w:tcW w:w="511" w:type="pct"/>
            <w:tcBorders>
              <w:top w:val="nil"/>
              <w:left w:val="single" w:sz="4" w:space="0" w:color="auto"/>
              <w:bottom w:val="single" w:sz="4" w:space="0" w:color="auto"/>
              <w:right w:val="single" w:sz="4" w:space="0" w:color="auto"/>
            </w:tcBorders>
            <w:shd w:val="clear" w:color="auto" w:fill="auto"/>
            <w:noWrap/>
            <w:vAlign w:val="bottom"/>
            <w:hideMark/>
          </w:tcPr>
          <w:p w14:paraId="49F11C17" w14:textId="77777777" w:rsidR="00727DC5" w:rsidRPr="00D96BF4" w:rsidRDefault="00727DC5" w:rsidP="00727DC5">
            <w:pPr>
              <w:jc w:val="right"/>
              <w:rPr>
                <w:color w:val="000000"/>
                <w:sz w:val="18"/>
                <w:szCs w:val="18"/>
              </w:rPr>
            </w:pPr>
            <w:r w:rsidRPr="00D96BF4">
              <w:rPr>
                <w:color w:val="000000"/>
                <w:sz w:val="18"/>
                <w:szCs w:val="18"/>
              </w:rPr>
              <w:t>157</w:t>
            </w:r>
          </w:p>
        </w:tc>
      </w:tr>
    </w:tbl>
    <w:p w14:paraId="50035E26" w14:textId="64B44CC6" w:rsidR="00727DC5" w:rsidRPr="004B2F6B" w:rsidRDefault="00727DC5" w:rsidP="004B2F6B">
      <w:pPr>
        <w:rPr>
          <w:b/>
          <w:i/>
          <w:sz w:val="20"/>
          <w:szCs w:val="20"/>
        </w:rPr>
      </w:pPr>
      <w:r w:rsidRPr="00647951">
        <w:rPr>
          <w:b/>
          <w:i/>
          <w:sz w:val="20"/>
          <w:szCs w:val="20"/>
        </w:rPr>
        <w:t>Source: Doing Business Report 2017, World Bank</w:t>
      </w:r>
    </w:p>
    <w:p w14:paraId="73F22E21" w14:textId="77777777" w:rsidR="004B2F6B" w:rsidRDefault="004B2F6B" w:rsidP="004B2F6B">
      <w:pPr>
        <w:pStyle w:val="ListParagraph"/>
        <w:spacing w:line="276" w:lineRule="auto"/>
        <w:ind w:left="0"/>
        <w:contextualSpacing w:val="0"/>
        <w:jc w:val="both"/>
      </w:pPr>
    </w:p>
    <w:p w14:paraId="09828336" w14:textId="7B52229C" w:rsidR="008708C6" w:rsidRDefault="00D959E7" w:rsidP="00F96346">
      <w:pPr>
        <w:pStyle w:val="ListParagraph"/>
        <w:spacing w:after="240" w:line="276" w:lineRule="auto"/>
        <w:ind w:left="0"/>
        <w:contextualSpacing w:val="0"/>
        <w:jc w:val="both"/>
      </w:pPr>
      <w:r>
        <w:t>A</w:t>
      </w:r>
      <w:r w:rsidR="005D2A6E" w:rsidRPr="008708C6">
        <w:t xml:space="preserve"> comparison of the results illus</w:t>
      </w:r>
      <w:r w:rsidR="007C6224">
        <w:t>trated in Figure 13 and Figure 14</w:t>
      </w:r>
      <w:r w:rsidR="005D2A6E" w:rsidRPr="008708C6">
        <w:t xml:space="preserve"> shows that while the regulatory environment is an important determinant of the investment climate and competitiveness of an economy, it is only one determinant.  It is also important to pay attention to such other factors included in the measurement of GCI as the macroeconomic environment, labor skills, labor market, financial sector, infrastructure, technology, institutions and innovation.  Progress in these other areas can compensate for the higher transaction costs of negotiating the regulatory environment while weaknesses in these other areas can strongly offset the regulatory ease of doing business (e.g. Bangladesh versus Pakistan).  </w:t>
      </w:r>
    </w:p>
    <w:p w14:paraId="433E55F4" w14:textId="155791FE" w:rsidR="007C6224" w:rsidRDefault="007C6224" w:rsidP="00876C5E">
      <w:pPr>
        <w:pStyle w:val="ListParagraph"/>
        <w:spacing w:after="240" w:line="276" w:lineRule="auto"/>
        <w:ind w:left="0"/>
        <w:contextualSpacing w:val="0"/>
        <w:jc w:val="both"/>
      </w:pPr>
      <w:r>
        <w:rPr>
          <w:b/>
          <w:i/>
        </w:rPr>
        <w:t xml:space="preserve">Bangladesh’s DB Rankings worsened between 2010 and 2017. </w:t>
      </w:r>
      <w:r w:rsidR="008708C6" w:rsidRPr="00A92ED1">
        <w:t xml:space="preserve">An interesting question is how have the DB rankings changed over time?  While there are some methodological challenges in such inter-temporal comparisons owing to changes in the number of countries and interpretation of the survey questionnaires, nevertheless the trend in performance is indicative of the relative policy efforts made to address the investment climate issues.  </w:t>
      </w:r>
      <w:r>
        <w:t>Figure 15</w:t>
      </w:r>
      <w:r w:rsidR="008708C6" w:rsidRPr="00A92ED1">
        <w:t xml:space="preserve"> shows the changes in relative rankings.   It tells a very worrisome story.  The rankings suggest a sharp deterioration in the investment climate for the private sector in Bangladesh relative to comparators.  In 2010, Bangladesh was ranked at the 119</w:t>
      </w:r>
      <w:r w:rsidR="008708C6" w:rsidRPr="00A92ED1">
        <w:rPr>
          <w:vertAlign w:val="superscript"/>
        </w:rPr>
        <w:t>th</w:t>
      </w:r>
      <w:r w:rsidR="008708C6" w:rsidRPr="00A92ED1">
        <w:t xml:space="preserve"> place out of 183 countries.  This ranking worsened sharply over time and fell to 176</w:t>
      </w:r>
      <w:r w:rsidR="008708C6" w:rsidRPr="00A92ED1">
        <w:rPr>
          <w:vertAlign w:val="superscript"/>
        </w:rPr>
        <w:t>th</w:t>
      </w:r>
      <w:r w:rsidR="008708C6" w:rsidRPr="00A92ED1">
        <w:t xml:space="preserve"> place out of 190 countries. All other comparator countries except Pakistan show improvement.</w:t>
      </w:r>
      <w:bookmarkStart w:id="12" w:name="_Toc480722572"/>
    </w:p>
    <w:p w14:paraId="5C5F2B1E" w14:textId="77777777" w:rsidR="009B6A12" w:rsidRDefault="009B6A12" w:rsidP="008708C6">
      <w:pPr>
        <w:pStyle w:val="Heading5"/>
      </w:pPr>
    </w:p>
    <w:p w14:paraId="31F71BF2" w14:textId="12683823" w:rsidR="008708C6" w:rsidRPr="00A92ED1" w:rsidRDefault="007C6224" w:rsidP="008708C6">
      <w:pPr>
        <w:pStyle w:val="Heading5"/>
      </w:pPr>
      <w:r>
        <w:t>Figure 15</w:t>
      </w:r>
      <w:r w:rsidR="008708C6" w:rsidRPr="00A92ED1">
        <w:t>: Doing Business Rankings, 2010-2017</w:t>
      </w:r>
      <w:bookmarkEnd w:id="12"/>
    </w:p>
    <w:p w14:paraId="6FF7E808" w14:textId="77777777" w:rsidR="008708C6" w:rsidRDefault="008708C6" w:rsidP="008708C6">
      <w:pPr>
        <w:pStyle w:val="ListParagraph"/>
        <w:spacing w:after="240"/>
        <w:ind w:left="0"/>
        <w:jc w:val="both"/>
      </w:pPr>
      <w:r>
        <w:t xml:space="preserve">                 </w:t>
      </w:r>
      <w:r>
        <w:rPr>
          <w:noProof/>
        </w:rPr>
        <w:drawing>
          <wp:inline distT="0" distB="0" distL="0" distR="0" wp14:anchorId="0EF2DE60" wp14:editId="1649C678">
            <wp:extent cx="4867275" cy="2468880"/>
            <wp:effectExtent l="0" t="0" r="952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D50E00" w14:textId="274FA8E9" w:rsidR="008708C6" w:rsidRPr="008708C6" w:rsidRDefault="008708C6" w:rsidP="008708C6">
      <w:pPr>
        <w:pStyle w:val="ListParagraph"/>
        <w:spacing w:after="240"/>
        <w:ind w:left="0"/>
        <w:contextualSpacing w:val="0"/>
        <w:jc w:val="both"/>
        <w:rPr>
          <w:b/>
          <w:i/>
        </w:rPr>
      </w:pPr>
      <w:r>
        <w:t xml:space="preserve">                 </w:t>
      </w:r>
      <w:r w:rsidRPr="00E16828">
        <w:rPr>
          <w:b/>
          <w:i/>
          <w:sz w:val="20"/>
        </w:rPr>
        <w:t>Source: IFC (2009); IFC (2016)</w:t>
      </w:r>
    </w:p>
    <w:p w14:paraId="564E00D3" w14:textId="5F95EA95" w:rsidR="008708C6" w:rsidRPr="008708C6" w:rsidRDefault="008708C6" w:rsidP="00F96346">
      <w:pPr>
        <w:pStyle w:val="ListParagraph"/>
        <w:spacing w:after="240" w:line="276" w:lineRule="auto"/>
        <w:ind w:left="0"/>
        <w:contextualSpacing w:val="0"/>
        <w:jc w:val="both"/>
      </w:pPr>
      <w:r>
        <w:t>T</w:t>
      </w:r>
      <w:r w:rsidR="005D2A6E" w:rsidRPr="008708C6">
        <w:t>he inescapable conclusion</w:t>
      </w:r>
      <w:r>
        <w:t xml:space="preserve"> from all of the above </w:t>
      </w:r>
      <w:r w:rsidR="005D2A6E" w:rsidRPr="008708C6">
        <w:t xml:space="preserve">is that the overall investment climate for private sector is weak in Bangladesh by both measures (GCI and DB) </w:t>
      </w:r>
      <w:r w:rsidR="00C25016" w:rsidRPr="008708C6">
        <w:t xml:space="preserve">and </w:t>
      </w:r>
      <w:r w:rsidR="00C25016">
        <w:t>has</w:t>
      </w:r>
      <w:r>
        <w:t xml:space="preserve"> deteriorated, and requires focused</w:t>
      </w:r>
      <w:r w:rsidR="00C25016">
        <w:t xml:space="preserve"> attention of the Government, particularly having in place right policies, regulations, and institutions.  The Government recognizes the issues and has set up three new institutions – the Bangladesh Investment Development Authority (BIDA), Bangladesh Economic Zones Authority (BEZA), and the PPP Office, all under administrative control of the Prime Ministers Office.  However, policy challenges should be handled upfront and the best </w:t>
      </w:r>
      <w:r w:rsidR="005D2A6E" w:rsidRPr="008708C6">
        <w:t>approach to reforming policies for improving the investment climate is to focus attention on both the regulatory environment as well as the other enablers.</w:t>
      </w:r>
    </w:p>
    <w:p w14:paraId="488B2664" w14:textId="62D575A1" w:rsidR="007C6224" w:rsidRDefault="009B6A12" w:rsidP="00F96346">
      <w:pPr>
        <w:pStyle w:val="ListParagraph"/>
        <w:spacing w:after="240" w:line="276" w:lineRule="auto"/>
        <w:ind w:left="0"/>
        <w:contextualSpacing w:val="0"/>
        <w:jc w:val="both"/>
      </w:pPr>
      <w:r>
        <w:rPr>
          <w:b/>
        </w:rPr>
        <w:t>3</w:t>
      </w:r>
      <w:r w:rsidR="00883845">
        <w:rPr>
          <w:b/>
        </w:rPr>
        <w:t>.4</w:t>
      </w:r>
      <w:r w:rsidR="009F570C" w:rsidRPr="007C6224">
        <w:rPr>
          <w:b/>
        </w:rPr>
        <w:t xml:space="preserve"> Regulatory Challenge to improving DB rankings of Bangladesh</w:t>
      </w:r>
      <w:r w:rsidR="009F570C" w:rsidRPr="007C6224">
        <w:t>.</w:t>
      </w:r>
      <w:r w:rsidR="009F570C" w:rsidRPr="005D5FAF">
        <w:t xml:space="preserve"> </w:t>
      </w:r>
      <w:r w:rsidR="00C25016" w:rsidRPr="005D5FAF">
        <w:t xml:space="preserve"> </w:t>
      </w:r>
    </w:p>
    <w:p w14:paraId="513EBE29" w14:textId="3A39D0D7" w:rsidR="00825ED4" w:rsidRPr="00553B4D" w:rsidRDefault="00F96346" w:rsidP="00553B4D">
      <w:pPr>
        <w:pStyle w:val="ListParagraph"/>
        <w:spacing w:after="240" w:line="276" w:lineRule="auto"/>
        <w:ind w:left="0"/>
        <w:contextualSpacing w:val="0"/>
        <w:jc w:val="both"/>
        <w:rPr>
          <w:rStyle w:val="Heading5Char"/>
          <w:b w:val="0"/>
          <w:bCs w:val="0"/>
        </w:rPr>
      </w:pPr>
      <w:r w:rsidRPr="005D5FAF">
        <w:t xml:space="preserve">Drilling down the composite DB index by its 10 individual components provides substantial insights of where the main regulatory constraints bite most. The Bangladesh 2017 rankings by components are shown in </w:t>
      </w:r>
      <w:r w:rsidR="00876C5E" w:rsidRPr="00876C5E">
        <w:t>Figure 16</w:t>
      </w:r>
      <w:r w:rsidRPr="00876C5E">
        <w:t>.</w:t>
      </w:r>
      <w:r w:rsidRPr="005D5FAF">
        <w:t xml:space="preserve">  The </w:t>
      </w:r>
      <w:r w:rsidRPr="003A3237">
        <w:t xml:space="preserve">four </w:t>
      </w:r>
      <w:r w:rsidR="003A3237" w:rsidRPr="000D56DC">
        <w:t>top</w:t>
      </w:r>
      <w:r w:rsidRPr="000D56DC">
        <w:t xml:space="preserve"> </w:t>
      </w:r>
      <w:r w:rsidRPr="005D5FAF">
        <w:t xml:space="preserve">constraints identified by DB survey responders in Bangladesh are </w:t>
      </w:r>
      <w:r w:rsidR="003A3237" w:rsidRPr="005D5FAF">
        <w:t xml:space="preserve">enforcing contracts, </w:t>
      </w:r>
      <w:r w:rsidRPr="005D5FAF">
        <w:t>getting electricity, registering property</w:t>
      </w:r>
      <w:r w:rsidR="007E03D4">
        <w:t>,</w:t>
      </w:r>
      <w:r w:rsidR="003A3237">
        <w:t xml:space="preserve"> </w:t>
      </w:r>
      <w:r w:rsidR="007E03D4" w:rsidRPr="005D5FAF">
        <w:t>and trading across borders</w:t>
      </w:r>
      <w:r w:rsidR="007E03D4">
        <w:t xml:space="preserve"> </w:t>
      </w:r>
      <w:r w:rsidR="003A3237">
        <w:t>respectively.  These are followed by</w:t>
      </w:r>
      <w:r w:rsidR="007E03D4">
        <w:t xml:space="preserve"> getting credit, paying taxes, resolving insolvency, getting construction permits, and starting a business. </w:t>
      </w:r>
      <w:r w:rsidRPr="005D5FAF">
        <w:t xml:space="preserve"> The ranking in these areas, especially in regard to getting electricity</w:t>
      </w:r>
      <w:r w:rsidR="007E03D4">
        <w:t>, registering propert</w:t>
      </w:r>
      <w:r w:rsidR="000D56DC">
        <w:t>y</w:t>
      </w:r>
      <w:r w:rsidR="007E03D4">
        <w:t>,</w:t>
      </w:r>
      <w:r w:rsidRPr="005D5FAF">
        <w:t xml:space="preserve"> and enforcing contracts, puts Bangladesh at the near bottom of the global list of countries. Getting credit, resolving insolvency and paying taxes are also problematic and involve substantial transaction costs.   Some additional insights for policy challenges can be gained by looking at how ranking of components have behaved over time.  </w:t>
      </w:r>
      <w:bookmarkStart w:id="13" w:name="_Toc480722573"/>
    </w:p>
    <w:p w14:paraId="7B5623C9" w14:textId="12CE03F0" w:rsidR="00F96346" w:rsidRPr="005D5FAF" w:rsidRDefault="00876C5E" w:rsidP="00F96346">
      <w:pPr>
        <w:pStyle w:val="Heading5"/>
        <w:rPr>
          <w:b w:val="0"/>
        </w:rPr>
      </w:pPr>
      <w:r w:rsidRPr="00876C5E">
        <w:rPr>
          <w:rStyle w:val="Heading5Char"/>
          <w:b/>
        </w:rPr>
        <w:t>Figure 16</w:t>
      </w:r>
      <w:r w:rsidR="00F96346" w:rsidRPr="00876C5E">
        <w:rPr>
          <w:rStyle w:val="Heading5Char"/>
          <w:b/>
        </w:rPr>
        <w:t>:</w:t>
      </w:r>
      <w:r w:rsidR="00F96346" w:rsidRPr="005D5FAF">
        <w:rPr>
          <w:rStyle w:val="Heading5Char"/>
          <w:b/>
        </w:rPr>
        <w:t xml:space="preserve"> Bangladesh Key Regulatory Constraints to Private Investment 2017</w:t>
      </w:r>
      <w:r w:rsidR="00F96346" w:rsidRPr="005D5FAF">
        <w:rPr>
          <w:rStyle w:val="Heading5Char"/>
          <w:b/>
        </w:rPr>
        <w:br/>
      </w:r>
      <w:r w:rsidR="00F96346" w:rsidRPr="005D5FAF">
        <w:rPr>
          <w:b w:val="0"/>
        </w:rPr>
        <w:t>(Ranking, 190 Countries)</w:t>
      </w:r>
      <w:bookmarkEnd w:id="13"/>
    </w:p>
    <w:p w14:paraId="32A7C597" w14:textId="77777777" w:rsidR="00F96346" w:rsidRDefault="00F96346" w:rsidP="00F96346">
      <w:pPr>
        <w:pStyle w:val="ListParagraph"/>
        <w:spacing w:after="120"/>
        <w:ind w:left="0"/>
        <w:jc w:val="center"/>
      </w:pPr>
      <w:r w:rsidRPr="00B55358">
        <w:rPr>
          <w:noProof/>
        </w:rPr>
        <w:drawing>
          <wp:inline distT="0" distB="0" distL="0" distR="0" wp14:anchorId="5738F3DF" wp14:editId="1524BC0C">
            <wp:extent cx="5146040" cy="2420620"/>
            <wp:effectExtent l="0" t="0" r="35560" b="1778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0B1783" w14:textId="6F11F8D1" w:rsidR="0029703F" w:rsidRPr="00825ED4" w:rsidRDefault="00F96346" w:rsidP="00825ED4">
      <w:pPr>
        <w:pStyle w:val="ListParagraph"/>
        <w:spacing w:after="240"/>
        <w:ind w:left="0"/>
        <w:contextualSpacing w:val="0"/>
        <w:jc w:val="both"/>
        <w:rPr>
          <w:b/>
          <w:bCs/>
          <w:i/>
          <w:iCs/>
          <w:sz w:val="20"/>
          <w:szCs w:val="20"/>
        </w:rPr>
      </w:pPr>
      <w:r>
        <w:rPr>
          <w:b/>
          <w:bCs/>
          <w:i/>
          <w:iCs/>
          <w:sz w:val="20"/>
          <w:szCs w:val="20"/>
        </w:rPr>
        <w:t xml:space="preserve">            </w:t>
      </w:r>
      <w:r w:rsidRPr="00794436">
        <w:rPr>
          <w:b/>
          <w:bCs/>
          <w:i/>
          <w:iCs/>
          <w:sz w:val="20"/>
          <w:szCs w:val="20"/>
        </w:rPr>
        <w:t>Source: I</w:t>
      </w:r>
      <w:r>
        <w:rPr>
          <w:b/>
          <w:bCs/>
          <w:i/>
          <w:iCs/>
          <w:sz w:val="20"/>
          <w:szCs w:val="20"/>
        </w:rPr>
        <w:t>FC (2010; 2017)</w:t>
      </w:r>
      <w:bookmarkStart w:id="14" w:name="_Toc480722574"/>
    </w:p>
    <w:p w14:paraId="44CE5A52" w14:textId="77777777" w:rsidR="0029703F" w:rsidRDefault="0029703F" w:rsidP="00825ED4">
      <w:pPr>
        <w:pStyle w:val="Heading5"/>
        <w:jc w:val="left"/>
      </w:pPr>
    </w:p>
    <w:p w14:paraId="298A710A" w14:textId="0FD5F638" w:rsidR="00825ED4" w:rsidRDefault="00825ED4" w:rsidP="00825ED4">
      <w:pPr>
        <w:pStyle w:val="ListParagraph"/>
        <w:spacing w:line="276" w:lineRule="auto"/>
        <w:ind w:left="0"/>
        <w:contextualSpacing w:val="0"/>
        <w:jc w:val="both"/>
      </w:pPr>
      <w:r w:rsidRPr="005D5FAF">
        <w:t xml:space="preserve">Data suggest that the performance worsened for all the 10 indicators, including the three areas where Bangladesh was performing relatively well in 2010 </w:t>
      </w:r>
      <w:r w:rsidRPr="00876C5E">
        <w:t>(Figure 17).</w:t>
      </w:r>
      <w:r w:rsidRPr="005D5FAF">
        <w:t xml:space="preserve"> The most concerning deterioration is in paying taxes; the tax regime has become a serious bottleneck to the investment climate in recent years.  There needs to be special focus in instituting major reforms in the overall tax administration with focus not just on revenue collection but also taking into consideration the need of business.  In this context not only should there be clarity and certainty of tax policy but also reduce discretionary intervention that makes cost of doing business high.</w:t>
      </w:r>
      <w:r>
        <w:t xml:space="preserve">  </w:t>
      </w:r>
    </w:p>
    <w:p w14:paraId="3F1F44D5" w14:textId="77777777" w:rsidR="00825ED4" w:rsidRPr="00825ED4" w:rsidRDefault="00825ED4" w:rsidP="00825ED4"/>
    <w:p w14:paraId="553DE0C5" w14:textId="59DAF95D" w:rsidR="00F96346" w:rsidRPr="00EB2523" w:rsidRDefault="00F96346" w:rsidP="00F96346">
      <w:pPr>
        <w:pStyle w:val="Heading5"/>
      </w:pPr>
      <w:r w:rsidRPr="00876C5E">
        <w:t>Figure</w:t>
      </w:r>
      <w:r w:rsidR="00876C5E" w:rsidRPr="00876C5E">
        <w:t xml:space="preserve"> 17</w:t>
      </w:r>
      <w:r w:rsidRPr="00876C5E">
        <w:t xml:space="preserve">: </w:t>
      </w:r>
      <w:r w:rsidRPr="00EB2523">
        <w:t>Relative Regulatory Weakening Over Time</w:t>
      </w:r>
      <w:bookmarkEnd w:id="14"/>
    </w:p>
    <w:p w14:paraId="41E4CF97" w14:textId="77777777" w:rsidR="00F96346" w:rsidRDefault="00F96346" w:rsidP="00F96346">
      <w:pPr>
        <w:pStyle w:val="ListParagraph"/>
        <w:spacing w:after="120"/>
        <w:ind w:left="0"/>
        <w:jc w:val="both"/>
      </w:pPr>
      <w:r>
        <w:t xml:space="preserve">           </w:t>
      </w:r>
      <w:r>
        <w:rPr>
          <w:noProof/>
        </w:rPr>
        <w:drawing>
          <wp:inline distT="0" distB="0" distL="0" distR="0" wp14:anchorId="2C1E0849" wp14:editId="17309789">
            <wp:extent cx="5105400" cy="2560320"/>
            <wp:effectExtent l="0" t="0" r="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1FCAE86" w14:textId="77777777" w:rsidR="00F96346" w:rsidRPr="00794436" w:rsidRDefault="00F96346" w:rsidP="00F96346">
      <w:pPr>
        <w:pStyle w:val="ListParagraph"/>
        <w:spacing w:after="240"/>
        <w:ind w:left="0"/>
        <w:contextualSpacing w:val="0"/>
        <w:jc w:val="both"/>
        <w:rPr>
          <w:b/>
          <w:bCs/>
          <w:i/>
          <w:iCs/>
          <w:sz w:val="20"/>
          <w:szCs w:val="20"/>
        </w:rPr>
      </w:pPr>
      <w:r>
        <w:rPr>
          <w:b/>
          <w:bCs/>
          <w:i/>
          <w:iCs/>
          <w:sz w:val="20"/>
          <w:szCs w:val="20"/>
        </w:rPr>
        <w:t xml:space="preserve">              </w:t>
      </w:r>
      <w:r w:rsidRPr="00794436">
        <w:rPr>
          <w:b/>
          <w:bCs/>
          <w:i/>
          <w:iCs/>
          <w:sz w:val="20"/>
          <w:szCs w:val="20"/>
        </w:rPr>
        <w:t>Source: I</w:t>
      </w:r>
      <w:r>
        <w:rPr>
          <w:b/>
          <w:bCs/>
          <w:i/>
          <w:iCs/>
          <w:sz w:val="20"/>
          <w:szCs w:val="20"/>
        </w:rPr>
        <w:t>FC (2010; 2017)</w:t>
      </w:r>
    </w:p>
    <w:p w14:paraId="4139D16D" w14:textId="23E5A5A9" w:rsidR="00962746" w:rsidRPr="007E03D4" w:rsidRDefault="007E03D4" w:rsidP="00F96346">
      <w:pPr>
        <w:pStyle w:val="ListParagraph"/>
        <w:spacing w:after="240" w:line="276" w:lineRule="auto"/>
        <w:ind w:left="0"/>
        <w:contextualSpacing w:val="0"/>
        <w:jc w:val="both"/>
      </w:pPr>
      <w:r>
        <w:t>In some areas like starting business and protecting investors, where Bangladesh had made improvements in 2010, again slid down substantially in 2017.   Both these areas also need special attention, particularly to help attract higher levels of FDI.  All these also reveal</w:t>
      </w:r>
      <w:r w:rsidR="00962746">
        <w:t xml:space="preserve"> the difficulty in overcoming regulatory challenges and will require continuous monitoring and implementation of necessary regulatory changes.</w:t>
      </w:r>
    </w:p>
    <w:p w14:paraId="55BFF5EA" w14:textId="08D35F0B" w:rsidR="00F96346" w:rsidRPr="005D5FAF" w:rsidRDefault="005D5FAF" w:rsidP="005D5FAF">
      <w:pPr>
        <w:pStyle w:val="ListParagraph"/>
        <w:spacing w:after="240" w:line="276" w:lineRule="auto"/>
        <w:ind w:left="0"/>
        <w:jc w:val="both"/>
      </w:pPr>
      <w:r w:rsidRPr="005D5FAF">
        <w:rPr>
          <w:b/>
          <w:i/>
        </w:rPr>
        <w:t>Relative Transactions Costs – where Bangladesh could improve?</w:t>
      </w:r>
      <w:r w:rsidRPr="005D5FAF">
        <w:t xml:space="preserve">  </w:t>
      </w:r>
      <w:r w:rsidR="00F96346" w:rsidRPr="005D5FAF">
        <w:t xml:space="preserve">The implications of DB 2017 rankings in terms of transaction costs are illustrated in </w:t>
      </w:r>
      <w:r w:rsidR="00C37FEC" w:rsidRPr="00C37FEC">
        <w:t>Table 4</w:t>
      </w:r>
      <w:r w:rsidR="00F96346" w:rsidRPr="00753910">
        <w:t>.</w:t>
      </w:r>
      <w:r w:rsidR="00F96346" w:rsidRPr="005D5FAF">
        <w:t xml:space="preserve">  The costs are given in terms of the number of procedural requirements, the amount of time involved in meeting the regulatory requirements, and some measure of financial cost of complying with the regulation.  In some sense the latter two are more fundamental because what matters to a business enterprise are the transaction costs of complying with regulations in terms of time and money.  Ceteris paribus, the lower the compliance cost in terms of procedures and time and money spent, the simpler and more efficient is the underlying regulatory regime.</w:t>
      </w:r>
    </w:p>
    <w:p w14:paraId="4049E46E" w14:textId="43FC7A82" w:rsidR="00F96346" w:rsidRDefault="00F96346" w:rsidP="00F96346">
      <w:pPr>
        <w:pStyle w:val="Heading4"/>
        <w:jc w:val="center"/>
        <w:rPr>
          <w:rFonts w:ascii="Times New Roman" w:hAnsi="Times New Roman" w:cs="Times New Roman"/>
          <w:i w:val="0"/>
          <w:color w:val="auto"/>
        </w:rPr>
      </w:pPr>
      <w:bookmarkStart w:id="15" w:name="_Toc480722576"/>
      <w:r w:rsidRPr="005D5FAF">
        <w:rPr>
          <w:rFonts w:ascii="Times New Roman" w:hAnsi="Times New Roman" w:cs="Times New Roman"/>
          <w:i w:val="0"/>
          <w:color w:val="auto"/>
        </w:rPr>
        <w:t>Table</w:t>
      </w:r>
      <w:r w:rsidR="00C37FEC">
        <w:rPr>
          <w:rFonts w:ascii="Times New Roman" w:hAnsi="Times New Roman" w:cs="Times New Roman"/>
          <w:i w:val="0"/>
          <w:color w:val="auto"/>
        </w:rPr>
        <w:t xml:space="preserve"> 4</w:t>
      </w:r>
      <w:r w:rsidRPr="005D5FAF">
        <w:rPr>
          <w:rFonts w:ascii="Times New Roman" w:hAnsi="Times New Roman" w:cs="Times New Roman"/>
          <w:i w:val="0"/>
          <w:color w:val="auto"/>
        </w:rPr>
        <w:t>: Efficiency of the Bangladesh Regulatory Regime 2017</w:t>
      </w:r>
      <w:bookmarkEnd w:id="15"/>
    </w:p>
    <w:p w14:paraId="60845C5C" w14:textId="77777777" w:rsidR="005D5FAF" w:rsidRPr="005D5FAF" w:rsidRDefault="005D5FAF" w:rsidP="005D5FAF"/>
    <w:tbl>
      <w:tblPr>
        <w:tblW w:w="5325" w:type="pct"/>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758"/>
        <w:gridCol w:w="1191"/>
        <w:gridCol w:w="751"/>
        <w:gridCol w:w="688"/>
        <w:gridCol w:w="702"/>
        <w:gridCol w:w="702"/>
        <w:gridCol w:w="696"/>
        <w:gridCol w:w="612"/>
        <w:gridCol w:w="811"/>
      </w:tblGrid>
      <w:tr w:rsidR="00F54A3F" w:rsidRPr="00F96346" w14:paraId="713C68C0" w14:textId="77777777" w:rsidTr="00F54A3F">
        <w:trPr>
          <w:trHeight w:val="435"/>
        </w:trPr>
        <w:tc>
          <w:tcPr>
            <w:tcW w:w="1896" w:type="pct"/>
            <w:shd w:val="clear" w:color="auto" w:fill="auto"/>
            <w:noWrap/>
            <w:hideMark/>
          </w:tcPr>
          <w:p w14:paraId="6DCD394F" w14:textId="77777777" w:rsidR="00F96346" w:rsidRPr="005D5FAF" w:rsidRDefault="00F96346" w:rsidP="00F96346">
            <w:pPr>
              <w:jc w:val="both"/>
              <w:rPr>
                <w:b/>
                <w:bCs/>
                <w:sz w:val="18"/>
                <w:szCs w:val="18"/>
              </w:rPr>
            </w:pPr>
            <w:r w:rsidRPr="005D5FAF">
              <w:rPr>
                <w:b/>
                <w:bCs/>
                <w:sz w:val="18"/>
                <w:szCs w:val="18"/>
              </w:rPr>
              <w:t>Regulation/Country Performance</w:t>
            </w:r>
          </w:p>
        </w:tc>
        <w:tc>
          <w:tcPr>
            <w:tcW w:w="601" w:type="pct"/>
            <w:shd w:val="clear" w:color="auto" w:fill="auto"/>
            <w:noWrap/>
            <w:hideMark/>
          </w:tcPr>
          <w:p w14:paraId="751C745F" w14:textId="2DF69708" w:rsidR="00F96346" w:rsidRPr="005D5FAF" w:rsidRDefault="00F54A3F" w:rsidP="00F96346">
            <w:pPr>
              <w:jc w:val="both"/>
              <w:rPr>
                <w:b/>
                <w:bCs/>
                <w:sz w:val="18"/>
                <w:szCs w:val="18"/>
              </w:rPr>
            </w:pPr>
            <w:r>
              <w:rPr>
                <w:b/>
                <w:bCs/>
                <w:sz w:val="18"/>
                <w:szCs w:val="18"/>
              </w:rPr>
              <w:t>Bangla</w:t>
            </w:r>
            <w:r w:rsidR="00F96346" w:rsidRPr="005D5FAF">
              <w:rPr>
                <w:b/>
                <w:bCs/>
                <w:sz w:val="18"/>
                <w:szCs w:val="18"/>
              </w:rPr>
              <w:t>desh</w:t>
            </w:r>
          </w:p>
        </w:tc>
        <w:tc>
          <w:tcPr>
            <w:tcW w:w="379" w:type="pct"/>
            <w:shd w:val="clear" w:color="auto" w:fill="auto"/>
            <w:noWrap/>
            <w:hideMark/>
          </w:tcPr>
          <w:p w14:paraId="5FA95745" w14:textId="77777777" w:rsidR="00F96346" w:rsidRPr="005D5FAF" w:rsidRDefault="00F96346" w:rsidP="00F96346">
            <w:pPr>
              <w:jc w:val="both"/>
              <w:rPr>
                <w:b/>
                <w:bCs/>
                <w:sz w:val="18"/>
                <w:szCs w:val="18"/>
              </w:rPr>
            </w:pPr>
            <w:r w:rsidRPr="005D5FAF">
              <w:rPr>
                <w:b/>
                <w:bCs/>
                <w:sz w:val="18"/>
                <w:szCs w:val="18"/>
              </w:rPr>
              <w:t>China</w:t>
            </w:r>
          </w:p>
        </w:tc>
        <w:tc>
          <w:tcPr>
            <w:tcW w:w="347" w:type="pct"/>
            <w:shd w:val="clear" w:color="auto" w:fill="auto"/>
            <w:noWrap/>
            <w:hideMark/>
          </w:tcPr>
          <w:p w14:paraId="7E85EE85" w14:textId="77777777" w:rsidR="00F96346" w:rsidRPr="005D5FAF" w:rsidRDefault="00F96346" w:rsidP="00F96346">
            <w:pPr>
              <w:jc w:val="both"/>
              <w:rPr>
                <w:b/>
                <w:bCs/>
                <w:sz w:val="18"/>
                <w:szCs w:val="18"/>
              </w:rPr>
            </w:pPr>
            <w:r w:rsidRPr="005D5FAF">
              <w:rPr>
                <w:b/>
                <w:bCs/>
                <w:sz w:val="18"/>
                <w:szCs w:val="18"/>
              </w:rPr>
              <w:t>India</w:t>
            </w:r>
          </w:p>
        </w:tc>
        <w:tc>
          <w:tcPr>
            <w:tcW w:w="354" w:type="pct"/>
            <w:shd w:val="clear" w:color="auto" w:fill="auto"/>
            <w:noWrap/>
            <w:hideMark/>
          </w:tcPr>
          <w:p w14:paraId="731C5934" w14:textId="77777777" w:rsidR="00F96346" w:rsidRPr="005D5FAF" w:rsidRDefault="00F96346" w:rsidP="00F96346">
            <w:pPr>
              <w:jc w:val="both"/>
              <w:rPr>
                <w:b/>
                <w:bCs/>
                <w:sz w:val="18"/>
                <w:szCs w:val="18"/>
              </w:rPr>
            </w:pPr>
            <w:r w:rsidRPr="005D5FAF">
              <w:rPr>
                <w:b/>
                <w:bCs/>
                <w:sz w:val="18"/>
                <w:szCs w:val="18"/>
              </w:rPr>
              <w:t>Indo-</w:t>
            </w:r>
          </w:p>
          <w:p w14:paraId="21970785" w14:textId="77777777" w:rsidR="00F96346" w:rsidRPr="005D5FAF" w:rsidRDefault="00F96346" w:rsidP="00F96346">
            <w:pPr>
              <w:jc w:val="both"/>
              <w:rPr>
                <w:b/>
                <w:bCs/>
                <w:sz w:val="18"/>
                <w:szCs w:val="18"/>
              </w:rPr>
            </w:pPr>
            <w:proofErr w:type="spellStart"/>
            <w:proofErr w:type="gramStart"/>
            <w:r w:rsidRPr="005D5FAF">
              <w:rPr>
                <w:b/>
                <w:bCs/>
                <w:sz w:val="18"/>
                <w:szCs w:val="18"/>
              </w:rPr>
              <w:t>nesia</w:t>
            </w:r>
            <w:proofErr w:type="spellEnd"/>
            <w:proofErr w:type="gramEnd"/>
          </w:p>
        </w:tc>
        <w:tc>
          <w:tcPr>
            <w:tcW w:w="354" w:type="pct"/>
            <w:shd w:val="clear" w:color="auto" w:fill="auto"/>
            <w:noWrap/>
            <w:hideMark/>
          </w:tcPr>
          <w:p w14:paraId="3A0834E3" w14:textId="77777777" w:rsidR="00F96346" w:rsidRPr="005D5FAF" w:rsidRDefault="00F96346" w:rsidP="00F96346">
            <w:pPr>
              <w:jc w:val="both"/>
              <w:rPr>
                <w:b/>
                <w:bCs/>
                <w:sz w:val="18"/>
                <w:szCs w:val="18"/>
              </w:rPr>
            </w:pPr>
            <w:r w:rsidRPr="005D5FAF">
              <w:rPr>
                <w:b/>
                <w:bCs/>
                <w:sz w:val="18"/>
                <w:szCs w:val="18"/>
              </w:rPr>
              <w:t>Pakis-</w:t>
            </w:r>
          </w:p>
          <w:p w14:paraId="67E1AB73" w14:textId="77777777" w:rsidR="00F96346" w:rsidRPr="005D5FAF" w:rsidRDefault="00F96346" w:rsidP="00F96346">
            <w:pPr>
              <w:jc w:val="both"/>
              <w:rPr>
                <w:b/>
                <w:bCs/>
                <w:sz w:val="18"/>
                <w:szCs w:val="18"/>
              </w:rPr>
            </w:pPr>
            <w:proofErr w:type="gramStart"/>
            <w:r w:rsidRPr="005D5FAF">
              <w:rPr>
                <w:b/>
                <w:bCs/>
                <w:sz w:val="18"/>
                <w:szCs w:val="18"/>
              </w:rPr>
              <w:t>tan</w:t>
            </w:r>
            <w:proofErr w:type="gramEnd"/>
          </w:p>
        </w:tc>
        <w:tc>
          <w:tcPr>
            <w:tcW w:w="351" w:type="pct"/>
            <w:shd w:val="clear" w:color="auto" w:fill="auto"/>
            <w:noWrap/>
            <w:hideMark/>
          </w:tcPr>
          <w:p w14:paraId="577B4373" w14:textId="77777777" w:rsidR="00F96346" w:rsidRPr="005D5FAF" w:rsidRDefault="00F96346" w:rsidP="00F96346">
            <w:pPr>
              <w:jc w:val="both"/>
              <w:rPr>
                <w:b/>
                <w:bCs/>
                <w:sz w:val="18"/>
                <w:szCs w:val="18"/>
              </w:rPr>
            </w:pPr>
            <w:r w:rsidRPr="005D5FAF">
              <w:rPr>
                <w:b/>
                <w:bCs/>
                <w:sz w:val="18"/>
                <w:szCs w:val="18"/>
              </w:rPr>
              <w:t>Sri Lanka</w:t>
            </w:r>
          </w:p>
        </w:tc>
        <w:tc>
          <w:tcPr>
            <w:tcW w:w="309" w:type="pct"/>
            <w:shd w:val="clear" w:color="auto" w:fill="auto"/>
            <w:noWrap/>
            <w:hideMark/>
          </w:tcPr>
          <w:p w14:paraId="2ED78977" w14:textId="77777777" w:rsidR="00F96346" w:rsidRPr="005D5FAF" w:rsidRDefault="00F96346" w:rsidP="00F96346">
            <w:pPr>
              <w:jc w:val="both"/>
              <w:rPr>
                <w:b/>
                <w:bCs/>
                <w:sz w:val="18"/>
                <w:szCs w:val="18"/>
              </w:rPr>
            </w:pPr>
            <w:r w:rsidRPr="005D5FAF">
              <w:rPr>
                <w:b/>
                <w:bCs/>
                <w:sz w:val="18"/>
                <w:szCs w:val="18"/>
              </w:rPr>
              <w:t>Viet-</w:t>
            </w:r>
          </w:p>
          <w:p w14:paraId="1DC16948" w14:textId="77777777" w:rsidR="00F96346" w:rsidRPr="005D5FAF" w:rsidRDefault="00F96346" w:rsidP="00F96346">
            <w:pPr>
              <w:jc w:val="both"/>
              <w:rPr>
                <w:b/>
                <w:bCs/>
                <w:sz w:val="18"/>
                <w:szCs w:val="18"/>
              </w:rPr>
            </w:pPr>
            <w:proofErr w:type="spellStart"/>
            <w:proofErr w:type="gramStart"/>
            <w:r w:rsidRPr="005D5FAF">
              <w:rPr>
                <w:b/>
                <w:bCs/>
                <w:sz w:val="18"/>
                <w:szCs w:val="18"/>
              </w:rPr>
              <w:t>nam</w:t>
            </w:r>
            <w:proofErr w:type="spellEnd"/>
            <w:proofErr w:type="gramEnd"/>
          </w:p>
        </w:tc>
        <w:tc>
          <w:tcPr>
            <w:tcW w:w="410" w:type="pct"/>
            <w:shd w:val="clear" w:color="auto" w:fill="auto"/>
            <w:noWrap/>
            <w:hideMark/>
          </w:tcPr>
          <w:p w14:paraId="1FF0BAD6" w14:textId="77777777" w:rsidR="00F96346" w:rsidRPr="005D5FAF" w:rsidRDefault="00F96346" w:rsidP="00F96346">
            <w:pPr>
              <w:jc w:val="both"/>
              <w:rPr>
                <w:b/>
                <w:bCs/>
                <w:sz w:val="18"/>
                <w:szCs w:val="18"/>
              </w:rPr>
            </w:pPr>
            <w:r w:rsidRPr="005D5FAF">
              <w:rPr>
                <w:b/>
                <w:bCs/>
                <w:sz w:val="18"/>
                <w:szCs w:val="18"/>
              </w:rPr>
              <w:t>Best Performer</w:t>
            </w:r>
          </w:p>
        </w:tc>
      </w:tr>
      <w:tr w:rsidR="00F54A3F" w:rsidRPr="00F96346" w14:paraId="3B5F7430" w14:textId="77777777" w:rsidTr="00F54A3F">
        <w:trPr>
          <w:trHeight w:val="205"/>
        </w:trPr>
        <w:tc>
          <w:tcPr>
            <w:tcW w:w="1896" w:type="pct"/>
            <w:shd w:val="clear" w:color="auto" w:fill="auto"/>
            <w:noWrap/>
            <w:hideMark/>
          </w:tcPr>
          <w:p w14:paraId="358B72C1" w14:textId="77777777" w:rsidR="00F96346" w:rsidRPr="005D5FAF" w:rsidRDefault="00F96346" w:rsidP="00F96346">
            <w:pPr>
              <w:jc w:val="both"/>
              <w:rPr>
                <w:b/>
                <w:bCs/>
                <w:sz w:val="18"/>
                <w:szCs w:val="18"/>
              </w:rPr>
            </w:pPr>
            <w:r w:rsidRPr="005D5FAF">
              <w:rPr>
                <w:b/>
                <w:bCs/>
                <w:sz w:val="18"/>
                <w:szCs w:val="18"/>
              </w:rPr>
              <w:t>1.Starting a business</w:t>
            </w:r>
          </w:p>
        </w:tc>
        <w:tc>
          <w:tcPr>
            <w:tcW w:w="601" w:type="pct"/>
            <w:shd w:val="clear" w:color="auto" w:fill="auto"/>
            <w:noWrap/>
            <w:hideMark/>
          </w:tcPr>
          <w:p w14:paraId="41BE2A42" w14:textId="77777777" w:rsidR="00F96346" w:rsidRPr="005D5FAF" w:rsidRDefault="00F96346" w:rsidP="00F96346">
            <w:pPr>
              <w:jc w:val="both"/>
              <w:rPr>
                <w:sz w:val="18"/>
                <w:szCs w:val="18"/>
              </w:rPr>
            </w:pPr>
          </w:p>
        </w:tc>
        <w:tc>
          <w:tcPr>
            <w:tcW w:w="379" w:type="pct"/>
            <w:shd w:val="clear" w:color="auto" w:fill="auto"/>
            <w:noWrap/>
            <w:hideMark/>
          </w:tcPr>
          <w:p w14:paraId="3767FF24" w14:textId="77777777" w:rsidR="00F96346" w:rsidRPr="005D5FAF" w:rsidRDefault="00F96346" w:rsidP="00F96346">
            <w:pPr>
              <w:jc w:val="both"/>
              <w:rPr>
                <w:sz w:val="18"/>
                <w:szCs w:val="18"/>
              </w:rPr>
            </w:pPr>
          </w:p>
        </w:tc>
        <w:tc>
          <w:tcPr>
            <w:tcW w:w="347" w:type="pct"/>
            <w:shd w:val="clear" w:color="auto" w:fill="auto"/>
            <w:noWrap/>
            <w:hideMark/>
          </w:tcPr>
          <w:p w14:paraId="2BB3E7C3" w14:textId="77777777" w:rsidR="00F96346" w:rsidRPr="005D5FAF" w:rsidRDefault="00F96346" w:rsidP="00F96346">
            <w:pPr>
              <w:jc w:val="both"/>
              <w:rPr>
                <w:sz w:val="18"/>
                <w:szCs w:val="18"/>
              </w:rPr>
            </w:pPr>
          </w:p>
        </w:tc>
        <w:tc>
          <w:tcPr>
            <w:tcW w:w="354" w:type="pct"/>
            <w:shd w:val="clear" w:color="auto" w:fill="auto"/>
            <w:noWrap/>
            <w:hideMark/>
          </w:tcPr>
          <w:p w14:paraId="2FCEFBF5" w14:textId="77777777" w:rsidR="00F96346" w:rsidRPr="005D5FAF" w:rsidRDefault="00F96346" w:rsidP="00F96346">
            <w:pPr>
              <w:jc w:val="both"/>
              <w:rPr>
                <w:sz w:val="18"/>
                <w:szCs w:val="18"/>
              </w:rPr>
            </w:pPr>
          </w:p>
        </w:tc>
        <w:tc>
          <w:tcPr>
            <w:tcW w:w="354" w:type="pct"/>
            <w:shd w:val="clear" w:color="auto" w:fill="auto"/>
            <w:noWrap/>
            <w:hideMark/>
          </w:tcPr>
          <w:p w14:paraId="32A4B0DC" w14:textId="77777777" w:rsidR="00F96346" w:rsidRPr="005D5FAF" w:rsidRDefault="00F96346" w:rsidP="00F96346">
            <w:pPr>
              <w:jc w:val="both"/>
              <w:rPr>
                <w:sz w:val="18"/>
                <w:szCs w:val="18"/>
              </w:rPr>
            </w:pPr>
          </w:p>
        </w:tc>
        <w:tc>
          <w:tcPr>
            <w:tcW w:w="351" w:type="pct"/>
            <w:shd w:val="clear" w:color="auto" w:fill="auto"/>
            <w:noWrap/>
            <w:hideMark/>
          </w:tcPr>
          <w:p w14:paraId="7321AD01" w14:textId="77777777" w:rsidR="00F96346" w:rsidRPr="005D5FAF" w:rsidRDefault="00F96346" w:rsidP="00F96346">
            <w:pPr>
              <w:jc w:val="both"/>
              <w:rPr>
                <w:sz w:val="18"/>
                <w:szCs w:val="18"/>
              </w:rPr>
            </w:pPr>
          </w:p>
        </w:tc>
        <w:tc>
          <w:tcPr>
            <w:tcW w:w="309" w:type="pct"/>
            <w:shd w:val="clear" w:color="auto" w:fill="auto"/>
            <w:noWrap/>
            <w:hideMark/>
          </w:tcPr>
          <w:p w14:paraId="6DF6EB55" w14:textId="77777777" w:rsidR="00F96346" w:rsidRPr="005D5FAF" w:rsidRDefault="00F96346" w:rsidP="00F96346">
            <w:pPr>
              <w:jc w:val="both"/>
              <w:rPr>
                <w:sz w:val="18"/>
                <w:szCs w:val="18"/>
              </w:rPr>
            </w:pPr>
          </w:p>
        </w:tc>
        <w:tc>
          <w:tcPr>
            <w:tcW w:w="410" w:type="pct"/>
            <w:shd w:val="clear" w:color="auto" w:fill="auto"/>
            <w:noWrap/>
            <w:hideMark/>
          </w:tcPr>
          <w:p w14:paraId="34AF1257" w14:textId="77777777" w:rsidR="00F96346" w:rsidRPr="005D5FAF" w:rsidRDefault="00F96346" w:rsidP="00F96346">
            <w:pPr>
              <w:jc w:val="both"/>
              <w:rPr>
                <w:sz w:val="18"/>
                <w:szCs w:val="18"/>
              </w:rPr>
            </w:pPr>
          </w:p>
        </w:tc>
      </w:tr>
      <w:tr w:rsidR="00F54A3F" w:rsidRPr="00F96346" w14:paraId="69F482ED" w14:textId="77777777" w:rsidTr="00F54A3F">
        <w:trPr>
          <w:trHeight w:val="243"/>
        </w:trPr>
        <w:tc>
          <w:tcPr>
            <w:tcW w:w="1896" w:type="pct"/>
            <w:shd w:val="clear" w:color="auto" w:fill="auto"/>
            <w:noWrap/>
            <w:hideMark/>
          </w:tcPr>
          <w:p w14:paraId="57F93472" w14:textId="77777777" w:rsidR="00F96346" w:rsidRPr="005D5FAF" w:rsidRDefault="00F96346" w:rsidP="00F96346">
            <w:pPr>
              <w:jc w:val="both"/>
              <w:rPr>
                <w:b/>
                <w:bCs/>
                <w:sz w:val="18"/>
                <w:szCs w:val="18"/>
              </w:rPr>
            </w:pPr>
            <w:r w:rsidRPr="005D5FAF">
              <w:rPr>
                <w:b/>
                <w:bCs/>
                <w:sz w:val="18"/>
                <w:szCs w:val="18"/>
              </w:rPr>
              <w:t xml:space="preserve">---No. </w:t>
            </w:r>
            <w:proofErr w:type="gramStart"/>
            <w:r w:rsidRPr="005D5FAF">
              <w:rPr>
                <w:b/>
                <w:bCs/>
                <w:sz w:val="18"/>
                <w:szCs w:val="18"/>
              </w:rPr>
              <w:t>of</w:t>
            </w:r>
            <w:proofErr w:type="gramEnd"/>
            <w:r w:rsidRPr="005D5FAF">
              <w:rPr>
                <w:b/>
                <w:bCs/>
                <w:sz w:val="18"/>
                <w:szCs w:val="18"/>
              </w:rPr>
              <w:t xml:space="preserve"> procedures</w:t>
            </w:r>
          </w:p>
        </w:tc>
        <w:tc>
          <w:tcPr>
            <w:tcW w:w="601" w:type="pct"/>
            <w:shd w:val="clear" w:color="auto" w:fill="auto"/>
            <w:noWrap/>
            <w:hideMark/>
          </w:tcPr>
          <w:p w14:paraId="0E5DDF8B" w14:textId="77777777" w:rsidR="00F96346" w:rsidRPr="005D5FAF" w:rsidRDefault="00F96346" w:rsidP="00F96346">
            <w:pPr>
              <w:jc w:val="center"/>
              <w:rPr>
                <w:sz w:val="18"/>
                <w:szCs w:val="18"/>
              </w:rPr>
            </w:pPr>
            <w:r w:rsidRPr="005D5FAF">
              <w:rPr>
                <w:sz w:val="18"/>
                <w:szCs w:val="18"/>
              </w:rPr>
              <w:t>9</w:t>
            </w:r>
          </w:p>
        </w:tc>
        <w:tc>
          <w:tcPr>
            <w:tcW w:w="379" w:type="pct"/>
            <w:shd w:val="clear" w:color="auto" w:fill="auto"/>
            <w:noWrap/>
            <w:hideMark/>
          </w:tcPr>
          <w:p w14:paraId="4255A113" w14:textId="77777777" w:rsidR="00F96346" w:rsidRPr="005D5FAF" w:rsidRDefault="00F96346" w:rsidP="00F96346">
            <w:pPr>
              <w:jc w:val="center"/>
              <w:rPr>
                <w:sz w:val="18"/>
                <w:szCs w:val="18"/>
              </w:rPr>
            </w:pPr>
            <w:r w:rsidRPr="005D5FAF">
              <w:rPr>
                <w:sz w:val="18"/>
                <w:szCs w:val="18"/>
              </w:rPr>
              <w:t>9</w:t>
            </w:r>
          </w:p>
        </w:tc>
        <w:tc>
          <w:tcPr>
            <w:tcW w:w="347" w:type="pct"/>
            <w:shd w:val="clear" w:color="auto" w:fill="auto"/>
            <w:noWrap/>
            <w:hideMark/>
          </w:tcPr>
          <w:p w14:paraId="6A113DFA" w14:textId="77777777" w:rsidR="00F96346" w:rsidRPr="005D5FAF" w:rsidRDefault="00F96346" w:rsidP="00F96346">
            <w:pPr>
              <w:jc w:val="center"/>
              <w:rPr>
                <w:sz w:val="18"/>
                <w:szCs w:val="18"/>
              </w:rPr>
            </w:pPr>
            <w:r w:rsidRPr="005D5FAF">
              <w:rPr>
                <w:sz w:val="18"/>
                <w:szCs w:val="18"/>
              </w:rPr>
              <w:t>12.9</w:t>
            </w:r>
          </w:p>
        </w:tc>
        <w:tc>
          <w:tcPr>
            <w:tcW w:w="354" w:type="pct"/>
            <w:shd w:val="clear" w:color="auto" w:fill="auto"/>
            <w:noWrap/>
            <w:hideMark/>
          </w:tcPr>
          <w:p w14:paraId="32838520" w14:textId="77777777" w:rsidR="00F96346" w:rsidRPr="005D5FAF" w:rsidRDefault="00F96346" w:rsidP="00F96346">
            <w:pPr>
              <w:jc w:val="center"/>
              <w:rPr>
                <w:sz w:val="18"/>
                <w:szCs w:val="18"/>
              </w:rPr>
            </w:pPr>
            <w:r w:rsidRPr="005D5FAF">
              <w:rPr>
                <w:sz w:val="18"/>
                <w:szCs w:val="18"/>
              </w:rPr>
              <w:t>11.2</w:t>
            </w:r>
          </w:p>
        </w:tc>
        <w:tc>
          <w:tcPr>
            <w:tcW w:w="354" w:type="pct"/>
            <w:shd w:val="clear" w:color="auto" w:fill="auto"/>
            <w:noWrap/>
            <w:hideMark/>
          </w:tcPr>
          <w:p w14:paraId="7A96E647" w14:textId="77777777" w:rsidR="00F96346" w:rsidRPr="005D5FAF" w:rsidRDefault="00F96346" w:rsidP="00F96346">
            <w:pPr>
              <w:jc w:val="center"/>
              <w:rPr>
                <w:sz w:val="18"/>
                <w:szCs w:val="18"/>
              </w:rPr>
            </w:pPr>
            <w:r w:rsidRPr="005D5FAF">
              <w:rPr>
                <w:sz w:val="18"/>
                <w:szCs w:val="18"/>
              </w:rPr>
              <w:t>12</w:t>
            </w:r>
          </w:p>
        </w:tc>
        <w:tc>
          <w:tcPr>
            <w:tcW w:w="351" w:type="pct"/>
            <w:shd w:val="clear" w:color="auto" w:fill="auto"/>
            <w:noWrap/>
            <w:hideMark/>
          </w:tcPr>
          <w:p w14:paraId="0A0D20D7" w14:textId="77777777" w:rsidR="00F96346" w:rsidRPr="005D5FAF" w:rsidRDefault="00F96346" w:rsidP="00F96346">
            <w:pPr>
              <w:jc w:val="center"/>
              <w:rPr>
                <w:sz w:val="18"/>
                <w:szCs w:val="18"/>
              </w:rPr>
            </w:pPr>
            <w:r w:rsidRPr="005D5FAF">
              <w:rPr>
                <w:sz w:val="18"/>
                <w:szCs w:val="18"/>
              </w:rPr>
              <w:t>7</w:t>
            </w:r>
          </w:p>
        </w:tc>
        <w:tc>
          <w:tcPr>
            <w:tcW w:w="309" w:type="pct"/>
            <w:shd w:val="clear" w:color="auto" w:fill="auto"/>
            <w:noWrap/>
            <w:hideMark/>
          </w:tcPr>
          <w:p w14:paraId="34B19313" w14:textId="77777777" w:rsidR="00F96346" w:rsidRPr="005D5FAF" w:rsidRDefault="00F96346" w:rsidP="00F96346">
            <w:pPr>
              <w:jc w:val="center"/>
              <w:rPr>
                <w:sz w:val="18"/>
                <w:szCs w:val="18"/>
              </w:rPr>
            </w:pPr>
            <w:r w:rsidRPr="005D5FAF">
              <w:rPr>
                <w:sz w:val="18"/>
                <w:szCs w:val="18"/>
              </w:rPr>
              <w:t>9</w:t>
            </w:r>
          </w:p>
        </w:tc>
        <w:tc>
          <w:tcPr>
            <w:tcW w:w="410" w:type="pct"/>
            <w:shd w:val="clear" w:color="auto" w:fill="auto"/>
            <w:noWrap/>
            <w:hideMark/>
          </w:tcPr>
          <w:p w14:paraId="1B6417DF" w14:textId="77777777" w:rsidR="00F96346" w:rsidRPr="005D5FAF" w:rsidRDefault="00F96346" w:rsidP="00F96346">
            <w:pPr>
              <w:jc w:val="center"/>
              <w:rPr>
                <w:sz w:val="18"/>
                <w:szCs w:val="18"/>
              </w:rPr>
            </w:pPr>
            <w:r w:rsidRPr="005D5FAF">
              <w:rPr>
                <w:sz w:val="18"/>
                <w:szCs w:val="18"/>
              </w:rPr>
              <w:t>1</w:t>
            </w:r>
          </w:p>
        </w:tc>
      </w:tr>
      <w:tr w:rsidR="00F54A3F" w:rsidRPr="00F96346" w14:paraId="1B4B4EFA" w14:textId="77777777" w:rsidTr="00F54A3F">
        <w:trPr>
          <w:trHeight w:val="270"/>
        </w:trPr>
        <w:tc>
          <w:tcPr>
            <w:tcW w:w="1896" w:type="pct"/>
            <w:shd w:val="clear" w:color="auto" w:fill="auto"/>
            <w:noWrap/>
            <w:hideMark/>
          </w:tcPr>
          <w:p w14:paraId="644FB1C9" w14:textId="77777777" w:rsidR="00F96346" w:rsidRPr="005D5FAF" w:rsidRDefault="00F96346" w:rsidP="00F96346">
            <w:pPr>
              <w:jc w:val="both"/>
              <w:rPr>
                <w:b/>
                <w:bCs/>
                <w:sz w:val="18"/>
                <w:szCs w:val="18"/>
              </w:rPr>
            </w:pPr>
            <w:r w:rsidRPr="005D5FAF">
              <w:rPr>
                <w:b/>
                <w:bCs/>
                <w:sz w:val="18"/>
                <w:szCs w:val="18"/>
              </w:rPr>
              <w:t>--Time (days)</w:t>
            </w:r>
          </w:p>
        </w:tc>
        <w:tc>
          <w:tcPr>
            <w:tcW w:w="601" w:type="pct"/>
            <w:shd w:val="clear" w:color="auto" w:fill="auto"/>
            <w:noWrap/>
            <w:hideMark/>
          </w:tcPr>
          <w:p w14:paraId="6064573E" w14:textId="77777777" w:rsidR="00F96346" w:rsidRPr="005D5FAF" w:rsidRDefault="00F96346" w:rsidP="00F96346">
            <w:pPr>
              <w:jc w:val="center"/>
              <w:rPr>
                <w:sz w:val="18"/>
                <w:szCs w:val="18"/>
              </w:rPr>
            </w:pPr>
            <w:r w:rsidRPr="005D5FAF">
              <w:rPr>
                <w:sz w:val="18"/>
                <w:szCs w:val="18"/>
              </w:rPr>
              <w:t>19.5</w:t>
            </w:r>
          </w:p>
        </w:tc>
        <w:tc>
          <w:tcPr>
            <w:tcW w:w="379" w:type="pct"/>
            <w:shd w:val="clear" w:color="auto" w:fill="auto"/>
            <w:noWrap/>
            <w:hideMark/>
          </w:tcPr>
          <w:p w14:paraId="0473BC98" w14:textId="77777777" w:rsidR="00F96346" w:rsidRPr="005D5FAF" w:rsidRDefault="00F96346" w:rsidP="00F96346">
            <w:pPr>
              <w:jc w:val="center"/>
              <w:rPr>
                <w:sz w:val="18"/>
                <w:szCs w:val="18"/>
              </w:rPr>
            </w:pPr>
            <w:r w:rsidRPr="005D5FAF">
              <w:rPr>
                <w:sz w:val="18"/>
                <w:szCs w:val="18"/>
              </w:rPr>
              <w:t>28.9</w:t>
            </w:r>
          </w:p>
        </w:tc>
        <w:tc>
          <w:tcPr>
            <w:tcW w:w="347" w:type="pct"/>
            <w:shd w:val="clear" w:color="auto" w:fill="auto"/>
            <w:noWrap/>
            <w:hideMark/>
          </w:tcPr>
          <w:p w14:paraId="6716C93D" w14:textId="77777777" w:rsidR="00F96346" w:rsidRPr="005D5FAF" w:rsidRDefault="00F96346" w:rsidP="00F96346">
            <w:pPr>
              <w:jc w:val="center"/>
              <w:rPr>
                <w:sz w:val="18"/>
                <w:szCs w:val="18"/>
              </w:rPr>
            </w:pPr>
            <w:r w:rsidRPr="005D5FAF">
              <w:rPr>
                <w:sz w:val="18"/>
                <w:szCs w:val="18"/>
              </w:rPr>
              <w:t>26</w:t>
            </w:r>
          </w:p>
        </w:tc>
        <w:tc>
          <w:tcPr>
            <w:tcW w:w="354" w:type="pct"/>
            <w:shd w:val="clear" w:color="auto" w:fill="auto"/>
            <w:noWrap/>
            <w:hideMark/>
          </w:tcPr>
          <w:p w14:paraId="703327F0" w14:textId="77777777" w:rsidR="00F96346" w:rsidRPr="005D5FAF" w:rsidRDefault="00F96346" w:rsidP="00F96346">
            <w:pPr>
              <w:jc w:val="center"/>
              <w:rPr>
                <w:sz w:val="18"/>
                <w:szCs w:val="18"/>
              </w:rPr>
            </w:pPr>
            <w:r w:rsidRPr="005D5FAF">
              <w:rPr>
                <w:sz w:val="18"/>
                <w:szCs w:val="18"/>
              </w:rPr>
              <w:t>24.9</w:t>
            </w:r>
          </w:p>
        </w:tc>
        <w:tc>
          <w:tcPr>
            <w:tcW w:w="354" w:type="pct"/>
            <w:shd w:val="clear" w:color="auto" w:fill="auto"/>
            <w:noWrap/>
            <w:hideMark/>
          </w:tcPr>
          <w:p w14:paraId="759008E9" w14:textId="77777777" w:rsidR="00F96346" w:rsidRPr="005D5FAF" w:rsidRDefault="00F96346" w:rsidP="00F96346">
            <w:pPr>
              <w:jc w:val="center"/>
              <w:rPr>
                <w:sz w:val="18"/>
                <w:szCs w:val="18"/>
              </w:rPr>
            </w:pPr>
            <w:r w:rsidRPr="005D5FAF">
              <w:rPr>
                <w:sz w:val="18"/>
                <w:szCs w:val="18"/>
              </w:rPr>
              <w:t>18</w:t>
            </w:r>
          </w:p>
        </w:tc>
        <w:tc>
          <w:tcPr>
            <w:tcW w:w="351" w:type="pct"/>
            <w:shd w:val="clear" w:color="auto" w:fill="auto"/>
            <w:noWrap/>
            <w:hideMark/>
          </w:tcPr>
          <w:p w14:paraId="31B2D40C" w14:textId="77777777" w:rsidR="00F96346" w:rsidRPr="005D5FAF" w:rsidRDefault="00F96346" w:rsidP="00F96346">
            <w:pPr>
              <w:jc w:val="center"/>
              <w:rPr>
                <w:sz w:val="18"/>
                <w:szCs w:val="18"/>
              </w:rPr>
            </w:pPr>
            <w:r w:rsidRPr="005D5FAF">
              <w:rPr>
                <w:sz w:val="18"/>
                <w:szCs w:val="18"/>
              </w:rPr>
              <w:t>9</w:t>
            </w:r>
          </w:p>
        </w:tc>
        <w:tc>
          <w:tcPr>
            <w:tcW w:w="309" w:type="pct"/>
            <w:shd w:val="clear" w:color="auto" w:fill="auto"/>
            <w:noWrap/>
            <w:hideMark/>
          </w:tcPr>
          <w:p w14:paraId="347D9E83" w14:textId="77777777" w:rsidR="00F96346" w:rsidRPr="005D5FAF" w:rsidRDefault="00F96346" w:rsidP="00F96346">
            <w:pPr>
              <w:jc w:val="center"/>
              <w:rPr>
                <w:sz w:val="18"/>
                <w:szCs w:val="18"/>
              </w:rPr>
            </w:pPr>
            <w:r w:rsidRPr="005D5FAF">
              <w:rPr>
                <w:sz w:val="18"/>
                <w:szCs w:val="18"/>
              </w:rPr>
              <w:t>24</w:t>
            </w:r>
          </w:p>
        </w:tc>
        <w:tc>
          <w:tcPr>
            <w:tcW w:w="410" w:type="pct"/>
            <w:shd w:val="clear" w:color="auto" w:fill="auto"/>
            <w:noWrap/>
            <w:hideMark/>
          </w:tcPr>
          <w:p w14:paraId="5236CC60" w14:textId="77777777" w:rsidR="00F96346" w:rsidRPr="005D5FAF" w:rsidRDefault="00F96346" w:rsidP="00F96346">
            <w:pPr>
              <w:jc w:val="center"/>
              <w:rPr>
                <w:sz w:val="18"/>
                <w:szCs w:val="18"/>
              </w:rPr>
            </w:pPr>
            <w:r w:rsidRPr="005D5FAF">
              <w:rPr>
                <w:sz w:val="18"/>
                <w:szCs w:val="18"/>
              </w:rPr>
              <w:t>0.5</w:t>
            </w:r>
          </w:p>
        </w:tc>
      </w:tr>
      <w:tr w:rsidR="00F54A3F" w:rsidRPr="00F96346" w14:paraId="1AE7EA31" w14:textId="77777777" w:rsidTr="00F54A3F">
        <w:trPr>
          <w:trHeight w:val="270"/>
        </w:trPr>
        <w:tc>
          <w:tcPr>
            <w:tcW w:w="1896" w:type="pct"/>
            <w:shd w:val="clear" w:color="auto" w:fill="auto"/>
            <w:noWrap/>
            <w:hideMark/>
          </w:tcPr>
          <w:p w14:paraId="332186F7" w14:textId="77777777" w:rsidR="00F96346" w:rsidRPr="005D5FAF" w:rsidRDefault="00F96346" w:rsidP="00F96346">
            <w:pPr>
              <w:jc w:val="both"/>
              <w:rPr>
                <w:b/>
                <w:bCs/>
                <w:sz w:val="18"/>
                <w:szCs w:val="18"/>
              </w:rPr>
            </w:pPr>
            <w:r w:rsidRPr="005D5FAF">
              <w:rPr>
                <w:b/>
                <w:bCs/>
                <w:sz w:val="18"/>
                <w:szCs w:val="18"/>
              </w:rPr>
              <w:t>--Cost (% of income per capita)</w:t>
            </w:r>
          </w:p>
        </w:tc>
        <w:tc>
          <w:tcPr>
            <w:tcW w:w="601" w:type="pct"/>
            <w:shd w:val="clear" w:color="auto" w:fill="auto"/>
            <w:noWrap/>
            <w:hideMark/>
          </w:tcPr>
          <w:p w14:paraId="284389C6" w14:textId="77777777" w:rsidR="00F96346" w:rsidRPr="005D5FAF" w:rsidRDefault="00F96346" w:rsidP="00F96346">
            <w:pPr>
              <w:jc w:val="center"/>
              <w:rPr>
                <w:sz w:val="18"/>
                <w:szCs w:val="18"/>
              </w:rPr>
            </w:pPr>
            <w:r w:rsidRPr="005D5FAF">
              <w:rPr>
                <w:sz w:val="18"/>
                <w:szCs w:val="18"/>
              </w:rPr>
              <w:t>13.8</w:t>
            </w:r>
          </w:p>
        </w:tc>
        <w:tc>
          <w:tcPr>
            <w:tcW w:w="379" w:type="pct"/>
            <w:shd w:val="clear" w:color="auto" w:fill="auto"/>
            <w:noWrap/>
            <w:hideMark/>
          </w:tcPr>
          <w:p w14:paraId="420934D1" w14:textId="77777777" w:rsidR="00F96346" w:rsidRPr="005D5FAF" w:rsidRDefault="00F96346" w:rsidP="00F96346">
            <w:pPr>
              <w:jc w:val="center"/>
              <w:rPr>
                <w:sz w:val="18"/>
                <w:szCs w:val="18"/>
              </w:rPr>
            </w:pPr>
            <w:r w:rsidRPr="005D5FAF">
              <w:rPr>
                <w:sz w:val="18"/>
                <w:szCs w:val="18"/>
              </w:rPr>
              <w:t>0.7</w:t>
            </w:r>
          </w:p>
        </w:tc>
        <w:tc>
          <w:tcPr>
            <w:tcW w:w="347" w:type="pct"/>
            <w:shd w:val="clear" w:color="auto" w:fill="auto"/>
            <w:noWrap/>
            <w:hideMark/>
          </w:tcPr>
          <w:p w14:paraId="763BFF21" w14:textId="77777777" w:rsidR="00F96346" w:rsidRPr="005D5FAF" w:rsidRDefault="00F96346" w:rsidP="00F96346">
            <w:pPr>
              <w:jc w:val="center"/>
              <w:rPr>
                <w:sz w:val="18"/>
                <w:szCs w:val="18"/>
              </w:rPr>
            </w:pPr>
            <w:r w:rsidRPr="005D5FAF">
              <w:rPr>
                <w:sz w:val="18"/>
                <w:szCs w:val="18"/>
              </w:rPr>
              <w:t>13.8</w:t>
            </w:r>
          </w:p>
        </w:tc>
        <w:tc>
          <w:tcPr>
            <w:tcW w:w="354" w:type="pct"/>
            <w:shd w:val="clear" w:color="auto" w:fill="auto"/>
            <w:noWrap/>
            <w:hideMark/>
          </w:tcPr>
          <w:p w14:paraId="76B78095" w14:textId="77777777" w:rsidR="00F96346" w:rsidRPr="005D5FAF" w:rsidRDefault="00F96346" w:rsidP="00F96346">
            <w:pPr>
              <w:jc w:val="center"/>
              <w:rPr>
                <w:sz w:val="18"/>
                <w:szCs w:val="18"/>
              </w:rPr>
            </w:pPr>
            <w:r w:rsidRPr="005D5FAF">
              <w:rPr>
                <w:sz w:val="18"/>
                <w:szCs w:val="18"/>
              </w:rPr>
              <w:t>19.4</w:t>
            </w:r>
          </w:p>
        </w:tc>
        <w:tc>
          <w:tcPr>
            <w:tcW w:w="354" w:type="pct"/>
            <w:shd w:val="clear" w:color="auto" w:fill="auto"/>
            <w:noWrap/>
            <w:hideMark/>
          </w:tcPr>
          <w:p w14:paraId="78CCCE09" w14:textId="77777777" w:rsidR="00F96346" w:rsidRPr="005D5FAF" w:rsidRDefault="00F96346" w:rsidP="00F96346">
            <w:pPr>
              <w:jc w:val="center"/>
              <w:rPr>
                <w:sz w:val="18"/>
                <w:szCs w:val="18"/>
              </w:rPr>
            </w:pPr>
            <w:r w:rsidRPr="005D5FAF">
              <w:rPr>
                <w:sz w:val="18"/>
                <w:szCs w:val="18"/>
              </w:rPr>
              <w:t>12.4</w:t>
            </w:r>
          </w:p>
        </w:tc>
        <w:tc>
          <w:tcPr>
            <w:tcW w:w="351" w:type="pct"/>
            <w:shd w:val="clear" w:color="auto" w:fill="auto"/>
            <w:noWrap/>
            <w:hideMark/>
          </w:tcPr>
          <w:p w14:paraId="64091D7D" w14:textId="77777777" w:rsidR="00F96346" w:rsidRPr="005D5FAF" w:rsidRDefault="00F96346" w:rsidP="00F96346">
            <w:pPr>
              <w:jc w:val="center"/>
              <w:rPr>
                <w:sz w:val="18"/>
                <w:szCs w:val="18"/>
              </w:rPr>
            </w:pPr>
            <w:r w:rsidRPr="005D5FAF">
              <w:rPr>
                <w:sz w:val="18"/>
                <w:szCs w:val="18"/>
              </w:rPr>
              <w:t>12.2</w:t>
            </w:r>
          </w:p>
        </w:tc>
        <w:tc>
          <w:tcPr>
            <w:tcW w:w="309" w:type="pct"/>
            <w:shd w:val="clear" w:color="auto" w:fill="auto"/>
            <w:noWrap/>
            <w:hideMark/>
          </w:tcPr>
          <w:p w14:paraId="4CBD25BE" w14:textId="77777777" w:rsidR="00F96346" w:rsidRPr="005D5FAF" w:rsidRDefault="00F96346" w:rsidP="00F96346">
            <w:pPr>
              <w:jc w:val="center"/>
              <w:rPr>
                <w:sz w:val="18"/>
                <w:szCs w:val="18"/>
              </w:rPr>
            </w:pPr>
            <w:r w:rsidRPr="005D5FAF">
              <w:rPr>
                <w:sz w:val="18"/>
                <w:szCs w:val="18"/>
              </w:rPr>
              <w:t>4.6</w:t>
            </w:r>
          </w:p>
        </w:tc>
        <w:tc>
          <w:tcPr>
            <w:tcW w:w="410" w:type="pct"/>
            <w:shd w:val="clear" w:color="auto" w:fill="auto"/>
            <w:noWrap/>
            <w:hideMark/>
          </w:tcPr>
          <w:p w14:paraId="0F5DC1FE" w14:textId="77777777" w:rsidR="00F96346" w:rsidRPr="005D5FAF" w:rsidRDefault="00F96346" w:rsidP="00F96346">
            <w:pPr>
              <w:jc w:val="center"/>
              <w:rPr>
                <w:sz w:val="18"/>
                <w:szCs w:val="18"/>
              </w:rPr>
            </w:pPr>
            <w:r w:rsidRPr="005D5FAF">
              <w:rPr>
                <w:sz w:val="18"/>
                <w:szCs w:val="18"/>
              </w:rPr>
              <w:t>0</w:t>
            </w:r>
          </w:p>
        </w:tc>
      </w:tr>
      <w:tr w:rsidR="00F54A3F" w:rsidRPr="00F96346" w14:paraId="7D5A885B" w14:textId="77777777" w:rsidTr="00F54A3F">
        <w:trPr>
          <w:trHeight w:val="277"/>
        </w:trPr>
        <w:tc>
          <w:tcPr>
            <w:tcW w:w="1896" w:type="pct"/>
            <w:shd w:val="clear" w:color="auto" w:fill="auto"/>
            <w:noWrap/>
            <w:hideMark/>
          </w:tcPr>
          <w:p w14:paraId="4E102720" w14:textId="77777777" w:rsidR="00F96346" w:rsidRPr="005D5FAF" w:rsidRDefault="00F96346" w:rsidP="00F96346">
            <w:pPr>
              <w:jc w:val="both"/>
              <w:rPr>
                <w:b/>
                <w:bCs/>
                <w:sz w:val="18"/>
                <w:szCs w:val="18"/>
              </w:rPr>
            </w:pPr>
            <w:r w:rsidRPr="005D5FAF">
              <w:rPr>
                <w:b/>
                <w:bCs/>
                <w:sz w:val="18"/>
                <w:szCs w:val="18"/>
              </w:rPr>
              <w:t>2.Dealing with construction permits</w:t>
            </w:r>
          </w:p>
        </w:tc>
        <w:tc>
          <w:tcPr>
            <w:tcW w:w="601" w:type="pct"/>
            <w:shd w:val="clear" w:color="auto" w:fill="auto"/>
            <w:noWrap/>
            <w:hideMark/>
          </w:tcPr>
          <w:p w14:paraId="5CB9E1D9" w14:textId="77777777" w:rsidR="00F96346" w:rsidRPr="005D5FAF" w:rsidRDefault="00F96346" w:rsidP="00F96346">
            <w:pPr>
              <w:jc w:val="center"/>
              <w:rPr>
                <w:sz w:val="18"/>
                <w:szCs w:val="18"/>
              </w:rPr>
            </w:pPr>
          </w:p>
        </w:tc>
        <w:tc>
          <w:tcPr>
            <w:tcW w:w="379" w:type="pct"/>
            <w:shd w:val="clear" w:color="auto" w:fill="auto"/>
            <w:noWrap/>
            <w:hideMark/>
          </w:tcPr>
          <w:p w14:paraId="621A18E6" w14:textId="77777777" w:rsidR="00F96346" w:rsidRPr="005D5FAF" w:rsidRDefault="00F96346" w:rsidP="00F96346">
            <w:pPr>
              <w:jc w:val="center"/>
              <w:rPr>
                <w:sz w:val="18"/>
                <w:szCs w:val="18"/>
              </w:rPr>
            </w:pPr>
          </w:p>
        </w:tc>
        <w:tc>
          <w:tcPr>
            <w:tcW w:w="347" w:type="pct"/>
            <w:shd w:val="clear" w:color="auto" w:fill="auto"/>
            <w:noWrap/>
            <w:hideMark/>
          </w:tcPr>
          <w:p w14:paraId="1E3A0BF2" w14:textId="77777777" w:rsidR="00F96346" w:rsidRPr="005D5FAF" w:rsidRDefault="00F96346" w:rsidP="00F96346">
            <w:pPr>
              <w:jc w:val="center"/>
              <w:rPr>
                <w:sz w:val="18"/>
                <w:szCs w:val="18"/>
              </w:rPr>
            </w:pPr>
          </w:p>
        </w:tc>
        <w:tc>
          <w:tcPr>
            <w:tcW w:w="354" w:type="pct"/>
            <w:shd w:val="clear" w:color="auto" w:fill="auto"/>
            <w:noWrap/>
            <w:hideMark/>
          </w:tcPr>
          <w:p w14:paraId="33E8F4F8" w14:textId="77777777" w:rsidR="00F96346" w:rsidRPr="005D5FAF" w:rsidRDefault="00F96346" w:rsidP="00F96346">
            <w:pPr>
              <w:jc w:val="center"/>
              <w:rPr>
                <w:sz w:val="18"/>
                <w:szCs w:val="18"/>
              </w:rPr>
            </w:pPr>
          </w:p>
        </w:tc>
        <w:tc>
          <w:tcPr>
            <w:tcW w:w="354" w:type="pct"/>
            <w:shd w:val="clear" w:color="auto" w:fill="auto"/>
            <w:noWrap/>
            <w:hideMark/>
          </w:tcPr>
          <w:p w14:paraId="0B0A8E76" w14:textId="77777777" w:rsidR="00F96346" w:rsidRPr="005D5FAF" w:rsidRDefault="00F96346" w:rsidP="00F96346">
            <w:pPr>
              <w:jc w:val="center"/>
              <w:rPr>
                <w:sz w:val="18"/>
                <w:szCs w:val="18"/>
              </w:rPr>
            </w:pPr>
          </w:p>
        </w:tc>
        <w:tc>
          <w:tcPr>
            <w:tcW w:w="351" w:type="pct"/>
            <w:shd w:val="clear" w:color="auto" w:fill="auto"/>
            <w:noWrap/>
            <w:hideMark/>
          </w:tcPr>
          <w:p w14:paraId="2F07F978" w14:textId="77777777" w:rsidR="00F96346" w:rsidRPr="005D5FAF" w:rsidRDefault="00F96346" w:rsidP="00F96346">
            <w:pPr>
              <w:jc w:val="center"/>
              <w:rPr>
                <w:sz w:val="18"/>
                <w:szCs w:val="18"/>
              </w:rPr>
            </w:pPr>
          </w:p>
        </w:tc>
        <w:tc>
          <w:tcPr>
            <w:tcW w:w="309" w:type="pct"/>
            <w:shd w:val="clear" w:color="auto" w:fill="auto"/>
            <w:noWrap/>
            <w:hideMark/>
          </w:tcPr>
          <w:p w14:paraId="5FFA37B3" w14:textId="77777777" w:rsidR="00F96346" w:rsidRPr="005D5FAF" w:rsidRDefault="00F96346" w:rsidP="00F96346">
            <w:pPr>
              <w:jc w:val="center"/>
              <w:rPr>
                <w:sz w:val="18"/>
                <w:szCs w:val="18"/>
              </w:rPr>
            </w:pPr>
          </w:p>
        </w:tc>
        <w:tc>
          <w:tcPr>
            <w:tcW w:w="410" w:type="pct"/>
            <w:shd w:val="clear" w:color="auto" w:fill="auto"/>
            <w:noWrap/>
            <w:hideMark/>
          </w:tcPr>
          <w:p w14:paraId="1D37B654" w14:textId="77777777" w:rsidR="00F96346" w:rsidRPr="005D5FAF" w:rsidRDefault="00F96346" w:rsidP="00F96346">
            <w:pPr>
              <w:jc w:val="center"/>
              <w:rPr>
                <w:sz w:val="18"/>
                <w:szCs w:val="18"/>
              </w:rPr>
            </w:pPr>
          </w:p>
        </w:tc>
      </w:tr>
      <w:tr w:rsidR="00F54A3F" w:rsidRPr="00F96346" w14:paraId="3FA0EA23" w14:textId="77777777" w:rsidTr="00F54A3F">
        <w:trPr>
          <w:trHeight w:val="180"/>
        </w:trPr>
        <w:tc>
          <w:tcPr>
            <w:tcW w:w="1896" w:type="pct"/>
            <w:shd w:val="clear" w:color="auto" w:fill="auto"/>
            <w:noWrap/>
            <w:hideMark/>
          </w:tcPr>
          <w:p w14:paraId="152E1514" w14:textId="77777777" w:rsidR="00F96346" w:rsidRPr="005D5FAF" w:rsidRDefault="00F96346" w:rsidP="00F96346">
            <w:pPr>
              <w:jc w:val="both"/>
              <w:rPr>
                <w:b/>
                <w:bCs/>
                <w:sz w:val="18"/>
                <w:szCs w:val="18"/>
              </w:rPr>
            </w:pPr>
            <w:r w:rsidRPr="005D5FAF">
              <w:rPr>
                <w:b/>
                <w:bCs/>
                <w:sz w:val="18"/>
                <w:szCs w:val="18"/>
              </w:rPr>
              <w:t xml:space="preserve">--No. </w:t>
            </w:r>
            <w:proofErr w:type="gramStart"/>
            <w:r w:rsidRPr="005D5FAF">
              <w:rPr>
                <w:b/>
                <w:bCs/>
                <w:sz w:val="18"/>
                <w:szCs w:val="18"/>
              </w:rPr>
              <w:t>of</w:t>
            </w:r>
            <w:proofErr w:type="gramEnd"/>
            <w:r w:rsidRPr="005D5FAF">
              <w:rPr>
                <w:b/>
                <w:bCs/>
                <w:sz w:val="18"/>
                <w:szCs w:val="18"/>
              </w:rPr>
              <w:t xml:space="preserve"> procedures</w:t>
            </w:r>
          </w:p>
        </w:tc>
        <w:tc>
          <w:tcPr>
            <w:tcW w:w="601" w:type="pct"/>
            <w:shd w:val="clear" w:color="auto" w:fill="auto"/>
            <w:noWrap/>
            <w:hideMark/>
          </w:tcPr>
          <w:p w14:paraId="23EB6A39" w14:textId="77777777" w:rsidR="00F96346" w:rsidRPr="005D5FAF" w:rsidRDefault="00F96346" w:rsidP="00F96346">
            <w:pPr>
              <w:jc w:val="center"/>
              <w:rPr>
                <w:sz w:val="18"/>
                <w:szCs w:val="18"/>
              </w:rPr>
            </w:pPr>
            <w:r w:rsidRPr="005D5FAF">
              <w:rPr>
                <w:sz w:val="18"/>
                <w:szCs w:val="18"/>
              </w:rPr>
              <w:t>14.2</w:t>
            </w:r>
          </w:p>
        </w:tc>
        <w:tc>
          <w:tcPr>
            <w:tcW w:w="379" w:type="pct"/>
            <w:shd w:val="clear" w:color="auto" w:fill="auto"/>
            <w:noWrap/>
            <w:hideMark/>
          </w:tcPr>
          <w:p w14:paraId="1956CAE6" w14:textId="77777777" w:rsidR="00F96346" w:rsidRPr="005D5FAF" w:rsidRDefault="00F96346" w:rsidP="00F96346">
            <w:pPr>
              <w:jc w:val="center"/>
              <w:rPr>
                <w:sz w:val="18"/>
                <w:szCs w:val="18"/>
              </w:rPr>
            </w:pPr>
            <w:r w:rsidRPr="005D5FAF">
              <w:rPr>
                <w:sz w:val="18"/>
                <w:szCs w:val="18"/>
              </w:rPr>
              <w:t>22</w:t>
            </w:r>
          </w:p>
        </w:tc>
        <w:tc>
          <w:tcPr>
            <w:tcW w:w="347" w:type="pct"/>
            <w:shd w:val="clear" w:color="auto" w:fill="auto"/>
            <w:noWrap/>
            <w:hideMark/>
          </w:tcPr>
          <w:p w14:paraId="31B2AA41" w14:textId="77777777" w:rsidR="00F96346" w:rsidRPr="005D5FAF" w:rsidRDefault="00F96346" w:rsidP="00F96346">
            <w:pPr>
              <w:jc w:val="center"/>
              <w:rPr>
                <w:sz w:val="18"/>
                <w:szCs w:val="18"/>
              </w:rPr>
            </w:pPr>
            <w:r w:rsidRPr="005D5FAF">
              <w:rPr>
                <w:sz w:val="18"/>
                <w:szCs w:val="18"/>
              </w:rPr>
              <w:t>35.1</w:t>
            </w:r>
          </w:p>
        </w:tc>
        <w:tc>
          <w:tcPr>
            <w:tcW w:w="354" w:type="pct"/>
            <w:shd w:val="clear" w:color="auto" w:fill="auto"/>
            <w:noWrap/>
            <w:hideMark/>
          </w:tcPr>
          <w:p w14:paraId="2E3A4B24" w14:textId="77777777" w:rsidR="00F96346" w:rsidRPr="005D5FAF" w:rsidRDefault="00F96346" w:rsidP="00F96346">
            <w:pPr>
              <w:jc w:val="center"/>
              <w:rPr>
                <w:sz w:val="18"/>
                <w:szCs w:val="18"/>
              </w:rPr>
            </w:pPr>
            <w:r w:rsidRPr="005D5FAF">
              <w:rPr>
                <w:sz w:val="18"/>
                <w:szCs w:val="18"/>
              </w:rPr>
              <w:t>17</w:t>
            </w:r>
          </w:p>
        </w:tc>
        <w:tc>
          <w:tcPr>
            <w:tcW w:w="354" w:type="pct"/>
            <w:shd w:val="clear" w:color="auto" w:fill="auto"/>
            <w:noWrap/>
            <w:hideMark/>
          </w:tcPr>
          <w:p w14:paraId="0D618184" w14:textId="77777777" w:rsidR="00F96346" w:rsidRPr="005D5FAF" w:rsidRDefault="00F96346" w:rsidP="00F96346">
            <w:pPr>
              <w:jc w:val="center"/>
              <w:rPr>
                <w:sz w:val="18"/>
                <w:szCs w:val="18"/>
              </w:rPr>
            </w:pPr>
            <w:r w:rsidRPr="005D5FAF">
              <w:rPr>
                <w:sz w:val="18"/>
                <w:szCs w:val="18"/>
              </w:rPr>
              <w:t>15</w:t>
            </w:r>
          </w:p>
        </w:tc>
        <w:tc>
          <w:tcPr>
            <w:tcW w:w="351" w:type="pct"/>
            <w:shd w:val="clear" w:color="auto" w:fill="auto"/>
            <w:noWrap/>
            <w:hideMark/>
          </w:tcPr>
          <w:p w14:paraId="70B26BD5" w14:textId="77777777" w:rsidR="00F96346" w:rsidRPr="005D5FAF" w:rsidRDefault="00F96346" w:rsidP="00F96346">
            <w:pPr>
              <w:jc w:val="center"/>
              <w:rPr>
                <w:sz w:val="18"/>
                <w:szCs w:val="18"/>
              </w:rPr>
            </w:pPr>
            <w:r w:rsidRPr="005D5FAF">
              <w:rPr>
                <w:sz w:val="18"/>
                <w:szCs w:val="18"/>
              </w:rPr>
              <w:t>13</w:t>
            </w:r>
          </w:p>
        </w:tc>
        <w:tc>
          <w:tcPr>
            <w:tcW w:w="309" w:type="pct"/>
            <w:shd w:val="clear" w:color="auto" w:fill="auto"/>
            <w:noWrap/>
            <w:hideMark/>
          </w:tcPr>
          <w:p w14:paraId="07DFC424" w14:textId="77777777" w:rsidR="00F96346" w:rsidRPr="005D5FAF" w:rsidRDefault="00F96346" w:rsidP="00F96346">
            <w:pPr>
              <w:jc w:val="center"/>
              <w:rPr>
                <w:sz w:val="18"/>
                <w:szCs w:val="18"/>
              </w:rPr>
            </w:pPr>
            <w:r w:rsidRPr="005D5FAF">
              <w:rPr>
                <w:sz w:val="18"/>
                <w:szCs w:val="18"/>
              </w:rPr>
              <w:t>10</w:t>
            </w:r>
          </w:p>
        </w:tc>
        <w:tc>
          <w:tcPr>
            <w:tcW w:w="410" w:type="pct"/>
            <w:shd w:val="clear" w:color="auto" w:fill="auto"/>
            <w:noWrap/>
            <w:hideMark/>
          </w:tcPr>
          <w:p w14:paraId="2E745300" w14:textId="77777777" w:rsidR="00F96346" w:rsidRPr="005D5FAF" w:rsidRDefault="00F96346" w:rsidP="00F96346">
            <w:pPr>
              <w:jc w:val="center"/>
              <w:rPr>
                <w:sz w:val="18"/>
                <w:szCs w:val="18"/>
              </w:rPr>
            </w:pPr>
            <w:r w:rsidRPr="005D5FAF">
              <w:rPr>
                <w:sz w:val="18"/>
                <w:szCs w:val="18"/>
              </w:rPr>
              <w:t>7</w:t>
            </w:r>
          </w:p>
        </w:tc>
      </w:tr>
      <w:tr w:rsidR="00F54A3F" w:rsidRPr="00F96346" w14:paraId="12BB6F85" w14:textId="77777777" w:rsidTr="00F54A3F">
        <w:trPr>
          <w:trHeight w:val="252"/>
        </w:trPr>
        <w:tc>
          <w:tcPr>
            <w:tcW w:w="1896" w:type="pct"/>
            <w:shd w:val="clear" w:color="auto" w:fill="auto"/>
            <w:noWrap/>
            <w:hideMark/>
          </w:tcPr>
          <w:p w14:paraId="1B4310F7" w14:textId="77777777" w:rsidR="00F96346" w:rsidRPr="005D5FAF" w:rsidRDefault="00F96346" w:rsidP="00F96346">
            <w:pPr>
              <w:jc w:val="both"/>
              <w:rPr>
                <w:b/>
                <w:bCs/>
                <w:sz w:val="18"/>
                <w:szCs w:val="18"/>
              </w:rPr>
            </w:pPr>
            <w:r w:rsidRPr="005D5FAF">
              <w:rPr>
                <w:b/>
                <w:bCs/>
                <w:sz w:val="18"/>
                <w:szCs w:val="18"/>
              </w:rPr>
              <w:t>--Time (no of days)</w:t>
            </w:r>
          </w:p>
        </w:tc>
        <w:tc>
          <w:tcPr>
            <w:tcW w:w="601" w:type="pct"/>
            <w:shd w:val="clear" w:color="auto" w:fill="auto"/>
            <w:noWrap/>
            <w:hideMark/>
          </w:tcPr>
          <w:p w14:paraId="76EE9BCF" w14:textId="77777777" w:rsidR="00F96346" w:rsidRPr="005D5FAF" w:rsidRDefault="00F96346" w:rsidP="00F96346">
            <w:pPr>
              <w:jc w:val="center"/>
              <w:rPr>
                <w:sz w:val="18"/>
                <w:szCs w:val="18"/>
              </w:rPr>
            </w:pPr>
            <w:r w:rsidRPr="005D5FAF">
              <w:rPr>
                <w:sz w:val="18"/>
                <w:szCs w:val="18"/>
              </w:rPr>
              <w:t>269</w:t>
            </w:r>
          </w:p>
        </w:tc>
        <w:tc>
          <w:tcPr>
            <w:tcW w:w="379" w:type="pct"/>
            <w:shd w:val="clear" w:color="auto" w:fill="auto"/>
            <w:noWrap/>
            <w:hideMark/>
          </w:tcPr>
          <w:p w14:paraId="3ADC4A5D" w14:textId="77777777" w:rsidR="00F96346" w:rsidRPr="005D5FAF" w:rsidRDefault="00F96346" w:rsidP="00F96346">
            <w:pPr>
              <w:jc w:val="center"/>
              <w:rPr>
                <w:sz w:val="18"/>
                <w:szCs w:val="18"/>
              </w:rPr>
            </w:pPr>
            <w:r w:rsidRPr="005D5FAF">
              <w:rPr>
                <w:sz w:val="18"/>
                <w:szCs w:val="18"/>
              </w:rPr>
              <w:t>244</w:t>
            </w:r>
          </w:p>
        </w:tc>
        <w:tc>
          <w:tcPr>
            <w:tcW w:w="347" w:type="pct"/>
            <w:shd w:val="clear" w:color="auto" w:fill="auto"/>
            <w:noWrap/>
            <w:hideMark/>
          </w:tcPr>
          <w:p w14:paraId="301D967F" w14:textId="77777777" w:rsidR="00F96346" w:rsidRPr="005D5FAF" w:rsidRDefault="00F96346" w:rsidP="00F96346">
            <w:pPr>
              <w:jc w:val="center"/>
              <w:rPr>
                <w:sz w:val="18"/>
                <w:szCs w:val="18"/>
              </w:rPr>
            </w:pPr>
            <w:r w:rsidRPr="005D5FAF">
              <w:rPr>
                <w:sz w:val="18"/>
                <w:szCs w:val="18"/>
              </w:rPr>
              <w:t>190</w:t>
            </w:r>
          </w:p>
        </w:tc>
        <w:tc>
          <w:tcPr>
            <w:tcW w:w="354" w:type="pct"/>
            <w:shd w:val="clear" w:color="auto" w:fill="auto"/>
            <w:noWrap/>
            <w:hideMark/>
          </w:tcPr>
          <w:p w14:paraId="7A234F43" w14:textId="77777777" w:rsidR="00F96346" w:rsidRPr="005D5FAF" w:rsidRDefault="00F96346" w:rsidP="00F96346">
            <w:pPr>
              <w:jc w:val="center"/>
              <w:rPr>
                <w:sz w:val="18"/>
                <w:szCs w:val="18"/>
              </w:rPr>
            </w:pPr>
            <w:r w:rsidRPr="005D5FAF">
              <w:rPr>
                <w:sz w:val="18"/>
                <w:szCs w:val="18"/>
              </w:rPr>
              <w:t>200</w:t>
            </w:r>
          </w:p>
        </w:tc>
        <w:tc>
          <w:tcPr>
            <w:tcW w:w="354" w:type="pct"/>
            <w:shd w:val="clear" w:color="auto" w:fill="auto"/>
            <w:noWrap/>
            <w:hideMark/>
          </w:tcPr>
          <w:p w14:paraId="37A4C855" w14:textId="77777777" w:rsidR="00F96346" w:rsidRPr="005D5FAF" w:rsidRDefault="00F96346" w:rsidP="00F96346">
            <w:pPr>
              <w:jc w:val="center"/>
              <w:rPr>
                <w:sz w:val="18"/>
                <w:szCs w:val="18"/>
              </w:rPr>
            </w:pPr>
            <w:r w:rsidRPr="005D5FAF">
              <w:rPr>
                <w:sz w:val="18"/>
                <w:szCs w:val="18"/>
              </w:rPr>
              <w:t>264</w:t>
            </w:r>
          </w:p>
        </w:tc>
        <w:tc>
          <w:tcPr>
            <w:tcW w:w="351" w:type="pct"/>
            <w:shd w:val="clear" w:color="auto" w:fill="auto"/>
            <w:noWrap/>
            <w:hideMark/>
          </w:tcPr>
          <w:p w14:paraId="47A63C9F" w14:textId="77777777" w:rsidR="00F96346" w:rsidRPr="005D5FAF" w:rsidRDefault="00F96346" w:rsidP="00F96346">
            <w:pPr>
              <w:jc w:val="center"/>
              <w:rPr>
                <w:sz w:val="18"/>
                <w:szCs w:val="18"/>
              </w:rPr>
            </w:pPr>
            <w:r w:rsidRPr="005D5FAF">
              <w:rPr>
                <w:sz w:val="18"/>
                <w:szCs w:val="18"/>
              </w:rPr>
              <w:t>115</w:t>
            </w:r>
          </w:p>
        </w:tc>
        <w:tc>
          <w:tcPr>
            <w:tcW w:w="309" w:type="pct"/>
            <w:shd w:val="clear" w:color="auto" w:fill="auto"/>
            <w:noWrap/>
            <w:hideMark/>
          </w:tcPr>
          <w:p w14:paraId="4F706E23" w14:textId="77777777" w:rsidR="00F96346" w:rsidRPr="005D5FAF" w:rsidRDefault="00F96346" w:rsidP="00F96346">
            <w:pPr>
              <w:jc w:val="center"/>
              <w:rPr>
                <w:sz w:val="18"/>
                <w:szCs w:val="18"/>
              </w:rPr>
            </w:pPr>
            <w:r w:rsidRPr="005D5FAF">
              <w:rPr>
                <w:sz w:val="18"/>
                <w:szCs w:val="18"/>
              </w:rPr>
              <w:t>166</w:t>
            </w:r>
          </w:p>
        </w:tc>
        <w:tc>
          <w:tcPr>
            <w:tcW w:w="410" w:type="pct"/>
            <w:shd w:val="clear" w:color="auto" w:fill="auto"/>
            <w:noWrap/>
            <w:hideMark/>
          </w:tcPr>
          <w:p w14:paraId="273E0E68" w14:textId="77777777" w:rsidR="00F96346" w:rsidRPr="005D5FAF" w:rsidRDefault="00F96346" w:rsidP="00F96346">
            <w:pPr>
              <w:jc w:val="center"/>
              <w:rPr>
                <w:sz w:val="18"/>
                <w:szCs w:val="18"/>
              </w:rPr>
            </w:pPr>
            <w:r w:rsidRPr="005D5FAF">
              <w:rPr>
                <w:sz w:val="18"/>
                <w:szCs w:val="18"/>
              </w:rPr>
              <w:t>28</w:t>
            </w:r>
          </w:p>
        </w:tc>
      </w:tr>
      <w:tr w:rsidR="00F54A3F" w:rsidRPr="00F96346" w14:paraId="5E9F753D" w14:textId="77777777" w:rsidTr="00F54A3F">
        <w:trPr>
          <w:trHeight w:val="198"/>
        </w:trPr>
        <w:tc>
          <w:tcPr>
            <w:tcW w:w="1896" w:type="pct"/>
            <w:shd w:val="clear" w:color="auto" w:fill="auto"/>
            <w:noWrap/>
            <w:hideMark/>
          </w:tcPr>
          <w:p w14:paraId="3BB1FC96" w14:textId="77777777" w:rsidR="00F96346" w:rsidRPr="005D5FAF" w:rsidRDefault="00F96346" w:rsidP="00F96346">
            <w:pPr>
              <w:jc w:val="both"/>
              <w:rPr>
                <w:b/>
                <w:bCs/>
                <w:sz w:val="18"/>
                <w:szCs w:val="18"/>
              </w:rPr>
            </w:pPr>
            <w:r w:rsidRPr="005D5FAF">
              <w:rPr>
                <w:b/>
                <w:bCs/>
                <w:sz w:val="18"/>
                <w:szCs w:val="18"/>
              </w:rPr>
              <w:t>--Cost (% of warehouse value)</w:t>
            </w:r>
          </w:p>
        </w:tc>
        <w:tc>
          <w:tcPr>
            <w:tcW w:w="601" w:type="pct"/>
            <w:shd w:val="clear" w:color="auto" w:fill="auto"/>
            <w:noWrap/>
            <w:hideMark/>
          </w:tcPr>
          <w:p w14:paraId="3633D3F8" w14:textId="77777777" w:rsidR="00F96346" w:rsidRPr="005D5FAF" w:rsidRDefault="00F96346" w:rsidP="00F96346">
            <w:pPr>
              <w:jc w:val="center"/>
              <w:rPr>
                <w:sz w:val="18"/>
                <w:szCs w:val="18"/>
              </w:rPr>
            </w:pPr>
            <w:r w:rsidRPr="005D5FAF">
              <w:rPr>
                <w:sz w:val="18"/>
                <w:szCs w:val="18"/>
              </w:rPr>
              <w:t>2.7</w:t>
            </w:r>
          </w:p>
        </w:tc>
        <w:tc>
          <w:tcPr>
            <w:tcW w:w="379" w:type="pct"/>
            <w:shd w:val="clear" w:color="auto" w:fill="auto"/>
            <w:noWrap/>
            <w:hideMark/>
          </w:tcPr>
          <w:p w14:paraId="7D57A3E3" w14:textId="77777777" w:rsidR="00F96346" w:rsidRPr="005D5FAF" w:rsidRDefault="00F96346" w:rsidP="00F96346">
            <w:pPr>
              <w:jc w:val="center"/>
              <w:rPr>
                <w:sz w:val="18"/>
                <w:szCs w:val="18"/>
              </w:rPr>
            </w:pPr>
            <w:r w:rsidRPr="005D5FAF">
              <w:rPr>
                <w:sz w:val="18"/>
                <w:szCs w:val="18"/>
              </w:rPr>
              <w:t>7</w:t>
            </w:r>
          </w:p>
        </w:tc>
        <w:tc>
          <w:tcPr>
            <w:tcW w:w="347" w:type="pct"/>
            <w:shd w:val="clear" w:color="auto" w:fill="auto"/>
            <w:noWrap/>
            <w:hideMark/>
          </w:tcPr>
          <w:p w14:paraId="263730A8" w14:textId="77777777" w:rsidR="00F96346" w:rsidRPr="005D5FAF" w:rsidRDefault="00F96346" w:rsidP="00F96346">
            <w:pPr>
              <w:jc w:val="center"/>
              <w:rPr>
                <w:sz w:val="18"/>
                <w:szCs w:val="18"/>
              </w:rPr>
            </w:pPr>
            <w:r w:rsidRPr="005D5FAF">
              <w:rPr>
                <w:sz w:val="18"/>
                <w:szCs w:val="18"/>
              </w:rPr>
              <w:t>25.9</w:t>
            </w:r>
          </w:p>
        </w:tc>
        <w:tc>
          <w:tcPr>
            <w:tcW w:w="354" w:type="pct"/>
            <w:shd w:val="clear" w:color="auto" w:fill="auto"/>
            <w:noWrap/>
            <w:hideMark/>
          </w:tcPr>
          <w:p w14:paraId="2E5253CE" w14:textId="77777777" w:rsidR="00F96346" w:rsidRPr="005D5FAF" w:rsidRDefault="00F96346" w:rsidP="00F96346">
            <w:pPr>
              <w:jc w:val="center"/>
              <w:rPr>
                <w:sz w:val="18"/>
                <w:szCs w:val="18"/>
              </w:rPr>
            </w:pPr>
            <w:r w:rsidRPr="005D5FAF">
              <w:rPr>
                <w:sz w:val="18"/>
                <w:szCs w:val="18"/>
              </w:rPr>
              <w:t>5.1</w:t>
            </w:r>
          </w:p>
        </w:tc>
        <w:tc>
          <w:tcPr>
            <w:tcW w:w="354" w:type="pct"/>
            <w:shd w:val="clear" w:color="auto" w:fill="auto"/>
            <w:noWrap/>
            <w:hideMark/>
          </w:tcPr>
          <w:p w14:paraId="2765D736" w14:textId="77777777" w:rsidR="00F96346" w:rsidRPr="005D5FAF" w:rsidRDefault="00F96346" w:rsidP="00F96346">
            <w:pPr>
              <w:jc w:val="center"/>
              <w:rPr>
                <w:sz w:val="18"/>
                <w:szCs w:val="18"/>
              </w:rPr>
            </w:pPr>
            <w:r w:rsidRPr="005D5FAF">
              <w:rPr>
                <w:sz w:val="18"/>
                <w:szCs w:val="18"/>
              </w:rPr>
              <w:t>7</w:t>
            </w:r>
          </w:p>
        </w:tc>
        <w:tc>
          <w:tcPr>
            <w:tcW w:w="351" w:type="pct"/>
            <w:shd w:val="clear" w:color="auto" w:fill="auto"/>
            <w:noWrap/>
            <w:hideMark/>
          </w:tcPr>
          <w:p w14:paraId="08FDF023" w14:textId="77777777" w:rsidR="00F96346" w:rsidRPr="005D5FAF" w:rsidRDefault="00F96346" w:rsidP="00F96346">
            <w:pPr>
              <w:jc w:val="center"/>
              <w:rPr>
                <w:sz w:val="18"/>
                <w:szCs w:val="18"/>
              </w:rPr>
            </w:pPr>
            <w:r w:rsidRPr="005D5FAF">
              <w:rPr>
                <w:sz w:val="18"/>
                <w:szCs w:val="18"/>
              </w:rPr>
              <w:t>0.4</w:t>
            </w:r>
          </w:p>
        </w:tc>
        <w:tc>
          <w:tcPr>
            <w:tcW w:w="309" w:type="pct"/>
            <w:shd w:val="clear" w:color="auto" w:fill="auto"/>
            <w:noWrap/>
            <w:hideMark/>
          </w:tcPr>
          <w:p w14:paraId="10F22710" w14:textId="77777777" w:rsidR="00F96346" w:rsidRPr="005D5FAF" w:rsidRDefault="00F96346" w:rsidP="00F96346">
            <w:pPr>
              <w:jc w:val="center"/>
              <w:rPr>
                <w:sz w:val="18"/>
                <w:szCs w:val="18"/>
              </w:rPr>
            </w:pPr>
            <w:r w:rsidRPr="005D5FAF">
              <w:rPr>
                <w:sz w:val="18"/>
                <w:szCs w:val="18"/>
              </w:rPr>
              <w:t>0.8</w:t>
            </w:r>
          </w:p>
        </w:tc>
        <w:tc>
          <w:tcPr>
            <w:tcW w:w="410" w:type="pct"/>
            <w:shd w:val="clear" w:color="auto" w:fill="auto"/>
            <w:noWrap/>
            <w:hideMark/>
          </w:tcPr>
          <w:p w14:paraId="34D15B11" w14:textId="77777777" w:rsidR="00F96346" w:rsidRPr="005D5FAF" w:rsidRDefault="00F96346" w:rsidP="00F96346">
            <w:pPr>
              <w:jc w:val="center"/>
              <w:rPr>
                <w:sz w:val="18"/>
                <w:szCs w:val="18"/>
              </w:rPr>
            </w:pPr>
            <w:r w:rsidRPr="005D5FAF">
              <w:rPr>
                <w:sz w:val="18"/>
                <w:szCs w:val="18"/>
              </w:rPr>
              <w:t>0.1</w:t>
            </w:r>
          </w:p>
        </w:tc>
      </w:tr>
      <w:tr w:rsidR="00F54A3F" w:rsidRPr="00F96346" w14:paraId="6B7C46C9" w14:textId="77777777" w:rsidTr="00F54A3F">
        <w:trPr>
          <w:trHeight w:val="223"/>
        </w:trPr>
        <w:tc>
          <w:tcPr>
            <w:tcW w:w="1896" w:type="pct"/>
            <w:shd w:val="clear" w:color="auto" w:fill="auto"/>
            <w:noWrap/>
            <w:hideMark/>
          </w:tcPr>
          <w:p w14:paraId="26618BBD" w14:textId="77777777" w:rsidR="00F96346" w:rsidRPr="005D5FAF" w:rsidRDefault="00F96346" w:rsidP="00F96346">
            <w:pPr>
              <w:jc w:val="both"/>
              <w:rPr>
                <w:b/>
                <w:bCs/>
                <w:sz w:val="18"/>
                <w:szCs w:val="18"/>
              </w:rPr>
            </w:pPr>
            <w:r w:rsidRPr="005D5FAF">
              <w:rPr>
                <w:b/>
                <w:bCs/>
                <w:sz w:val="18"/>
                <w:szCs w:val="18"/>
              </w:rPr>
              <w:t>3. Getting electricity</w:t>
            </w:r>
          </w:p>
        </w:tc>
        <w:tc>
          <w:tcPr>
            <w:tcW w:w="601" w:type="pct"/>
            <w:shd w:val="clear" w:color="auto" w:fill="auto"/>
            <w:noWrap/>
            <w:hideMark/>
          </w:tcPr>
          <w:p w14:paraId="073A9EB1" w14:textId="77777777" w:rsidR="00F96346" w:rsidRPr="005D5FAF" w:rsidRDefault="00F96346" w:rsidP="00F96346">
            <w:pPr>
              <w:jc w:val="center"/>
              <w:rPr>
                <w:sz w:val="18"/>
                <w:szCs w:val="18"/>
              </w:rPr>
            </w:pPr>
          </w:p>
        </w:tc>
        <w:tc>
          <w:tcPr>
            <w:tcW w:w="379" w:type="pct"/>
            <w:shd w:val="clear" w:color="auto" w:fill="auto"/>
            <w:noWrap/>
            <w:hideMark/>
          </w:tcPr>
          <w:p w14:paraId="6EE69549" w14:textId="77777777" w:rsidR="00F96346" w:rsidRPr="005D5FAF" w:rsidRDefault="00F96346" w:rsidP="00F96346">
            <w:pPr>
              <w:jc w:val="center"/>
              <w:rPr>
                <w:sz w:val="18"/>
                <w:szCs w:val="18"/>
              </w:rPr>
            </w:pPr>
          </w:p>
        </w:tc>
        <w:tc>
          <w:tcPr>
            <w:tcW w:w="347" w:type="pct"/>
            <w:shd w:val="clear" w:color="auto" w:fill="auto"/>
            <w:noWrap/>
            <w:hideMark/>
          </w:tcPr>
          <w:p w14:paraId="1EF9F913" w14:textId="77777777" w:rsidR="00F96346" w:rsidRPr="005D5FAF" w:rsidRDefault="00F96346" w:rsidP="00F96346">
            <w:pPr>
              <w:jc w:val="center"/>
              <w:rPr>
                <w:sz w:val="18"/>
                <w:szCs w:val="18"/>
              </w:rPr>
            </w:pPr>
          </w:p>
        </w:tc>
        <w:tc>
          <w:tcPr>
            <w:tcW w:w="354" w:type="pct"/>
            <w:shd w:val="clear" w:color="auto" w:fill="auto"/>
            <w:noWrap/>
            <w:hideMark/>
          </w:tcPr>
          <w:p w14:paraId="76D50293" w14:textId="77777777" w:rsidR="00F96346" w:rsidRPr="005D5FAF" w:rsidRDefault="00F96346" w:rsidP="00F96346">
            <w:pPr>
              <w:jc w:val="center"/>
              <w:rPr>
                <w:sz w:val="18"/>
                <w:szCs w:val="18"/>
              </w:rPr>
            </w:pPr>
          </w:p>
        </w:tc>
        <w:tc>
          <w:tcPr>
            <w:tcW w:w="354" w:type="pct"/>
            <w:shd w:val="clear" w:color="auto" w:fill="auto"/>
            <w:noWrap/>
            <w:hideMark/>
          </w:tcPr>
          <w:p w14:paraId="64D0B5D7" w14:textId="77777777" w:rsidR="00F96346" w:rsidRPr="005D5FAF" w:rsidRDefault="00F96346" w:rsidP="00F96346">
            <w:pPr>
              <w:jc w:val="center"/>
              <w:rPr>
                <w:sz w:val="18"/>
                <w:szCs w:val="18"/>
              </w:rPr>
            </w:pPr>
          </w:p>
        </w:tc>
        <w:tc>
          <w:tcPr>
            <w:tcW w:w="351" w:type="pct"/>
            <w:shd w:val="clear" w:color="auto" w:fill="auto"/>
            <w:noWrap/>
            <w:hideMark/>
          </w:tcPr>
          <w:p w14:paraId="35DCDD6F" w14:textId="77777777" w:rsidR="00F96346" w:rsidRPr="005D5FAF" w:rsidRDefault="00F96346" w:rsidP="00F96346">
            <w:pPr>
              <w:jc w:val="center"/>
              <w:rPr>
                <w:sz w:val="18"/>
                <w:szCs w:val="18"/>
              </w:rPr>
            </w:pPr>
          </w:p>
        </w:tc>
        <w:tc>
          <w:tcPr>
            <w:tcW w:w="309" w:type="pct"/>
            <w:shd w:val="clear" w:color="auto" w:fill="auto"/>
            <w:noWrap/>
            <w:hideMark/>
          </w:tcPr>
          <w:p w14:paraId="7527CD7A" w14:textId="77777777" w:rsidR="00F96346" w:rsidRPr="005D5FAF" w:rsidRDefault="00F96346" w:rsidP="00F96346">
            <w:pPr>
              <w:jc w:val="center"/>
              <w:rPr>
                <w:sz w:val="18"/>
                <w:szCs w:val="18"/>
              </w:rPr>
            </w:pPr>
          </w:p>
        </w:tc>
        <w:tc>
          <w:tcPr>
            <w:tcW w:w="410" w:type="pct"/>
            <w:shd w:val="clear" w:color="auto" w:fill="auto"/>
            <w:noWrap/>
            <w:hideMark/>
          </w:tcPr>
          <w:p w14:paraId="1302BF94" w14:textId="77777777" w:rsidR="00F96346" w:rsidRPr="005D5FAF" w:rsidRDefault="00F96346" w:rsidP="00F96346">
            <w:pPr>
              <w:jc w:val="center"/>
              <w:rPr>
                <w:sz w:val="18"/>
                <w:szCs w:val="18"/>
              </w:rPr>
            </w:pPr>
          </w:p>
        </w:tc>
      </w:tr>
      <w:tr w:rsidR="00F54A3F" w:rsidRPr="00F96346" w14:paraId="7303F479" w14:textId="77777777" w:rsidTr="00F54A3F">
        <w:trPr>
          <w:trHeight w:val="225"/>
        </w:trPr>
        <w:tc>
          <w:tcPr>
            <w:tcW w:w="1896" w:type="pct"/>
            <w:shd w:val="clear" w:color="auto" w:fill="auto"/>
            <w:noWrap/>
            <w:hideMark/>
          </w:tcPr>
          <w:p w14:paraId="19B48BCD" w14:textId="77777777" w:rsidR="00F96346" w:rsidRPr="005D5FAF" w:rsidRDefault="00F96346" w:rsidP="00F96346">
            <w:pPr>
              <w:jc w:val="both"/>
              <w:rPr>
                <w:b/>
                <w:bCs/>
                <w:sz w:val="18"/>
                <w:szCs w:val="18"/>
              </w:rPr>
            </w:pPr>
            <w:r w:rsidRPr="005D5FAF">
              <w:rPr>
                <w:b/>
                <w:bCs/>
                <w:sz w:val="18"/>
                <w:szCs w:val="18"/>
              </w:rPr>
              <w:t xml:space="preserve">--No. </w:t>
            </w:r>
            <w:proofErr w:type="gramStart"/>
            <w:r w:rsidRPr="005D5FAF">
              <w:rPr>
                <w:b/>
                <w:bCs/>
                <w:sz w:val="18"/>
                <w:szCs w:val="18"/>
              </w:rPr>
              <w:t>of</w:t>
            </w:r>
            <w:proofErr w:type="gramEnd"/>
            <w:r w:rsidRPr="005D5FAF">
              <w:rPr>
                <w:b/>
                <w:bCs/>
                <w:sz w:val="18"/>
                <w:szCs w:val="18"/>
              </w:rPr>
              <w:t xml:space="preserve"> Procedures</w:t>
            </w:r>
          </w:p>
        </w:tc>
        <w:tc>
          <w:tcPr>
            <w:tcW w:w="601" w:type="pct"/>
            <w:shd w:val="clear" w:color="auto" w:fill="auto"/>
            <w:noWrap/>
            <w:hideMark/>
          </w:tcPr>
          <w:p w14:paraId="3E63F7D6" w14:textId="77777777" w:rsidR="00F96346" w:rsidRPr="005D5FAF" w:rsidRDefault="00F96346" w:rsidP="00F96346">
            <w:pPr>
              <w:jc w:val="center"/>
              <w:rPr>
                <w:sz w:val="18"/>
                <w:szCs w:val="18"/>
              </w:rPr>
            </w:pPr>
            <w:r w:rsidRPr="005D5FAF">
              <w:rPr>
                <w:sz w:val="18"/>
                <w:szCs w:val="18"/>
              </w:rPr>
              <w:t>9</w:t>
            </w:r>
          </w:p>
        </w:tc>
        <w:tc>
          <w:tcPr>
            <w:tcW w:w="379" w:type="pct"/>
            <w:shd w:val="clear" w:color="auto" w:fill="auto"/>
            <w:noWrap/>
            <w:hideMark/>
          </w:tcPr>
          <w:p w14:paraId="1C27A7B5" w14:textId="77777777" w:rsidR="00F96346" w:rsidRPr="005D5FAF" w:rsidRDefault="00F96346" w:rsidP="00F96346">
            <w:pPr>
              <w:jc w:val="center"/>
              <w:rPr>
                <w:sz w:val="18"/>
                <w:szCs w:val="18"/>
              </w:rPr>
            </w:pPr>
            <w:r w:rsidRPr="005D5FAF">
              <w:rPr>
                <w:sz w:val="18"/>
                <w:szCs w:val="18"/>
              </w:rPr>
              <w:t>5.5</w:t>
            </w:r>
          </w:p>
        </w:tc>
        <w:tc>
          <w:tcPr>
            <w:tcW w:w="347" w:type="pct"/>
            <w:shd w:val="clear" w:color="auto" w:fill="auto"/>
            <w:noWrap/>
            <w:hideMark/>
          </w:tcPr>
          <w:p w14:paraId="385991DD" w14:textId="77777777" w:rsidR="00F96346" w:rsidRPr="005D5FAF" w:rsidRDefault="00F96346" w:rsidP="00F96346">
            <w:pPr>
              <w:jc w:val="center"/>
              <w:rPr>
                <w:sz w:val="18"/>
                <w:szCs w:val="18"/>
              </w:rPr>
            </w:pPr>
            <w:r w:rsidRPr="005D5FAF">
              <w:rPr>
                <w:sz w:val="18"/>
                <w:szCs w:val="18"/>
              </w:rPr>
              <w:t>5</w:t>
            </w:r>
          </w:p>
        </w:tc>
        <w:tc>
          <w:tcPr>
            <w:tcW w:w="354" w:type="pct"/>
            <w:shd w:val="clear" w:color="auto" w:fill="auto"/>
            <w:noWrap/>
            <w:hideMark/>
          </w:tcPr>
          <w:p w14:paraId="5F3D8D38" w14:textId="77777777" w:rsidR="00F96346" w:rsidRPr="005D5FAF" w:rsidRDefault="00F96346" w:rsidP="00F96346">
            <w:pPr>
              <w:jc w:val="center"/>
              <w:rPr>
                <w:sz w:val="18"/>
                <w:szCs w:val="18"/>
              </w:rPr>
            </w:pPr>
            <w:r w:rsidRPr="005D5FAF">
              <w:rPr>
                <w:sz w:val="18"/>
                <w:szCs w:val="18"/>
              </w:rPr>
              <w:t>4.8</w:t>
            </w:r>
          </w:p>
        </w:tc>
        <w:tc>
          <w:tcPr>
            <w:tcW w:w="354" w:type="pct"/>
            <w:shd w:val="clear" w:color="auto" w:fill="auto"/>
            <w:noWrap/>
            <w:hideMark/>
          </w:tcPr>
          <w:p w14:paraId="575F978D" w14:textId="77777777" w:rsidR="00F96346" w:rsidRPr="005D5FAF" w:rsidRDefault="00F96346" w:rsidP="00F96346">
            <w:pPr>
              <w:jc w:val="center"/>
              <w:rPr>
                <w:sz w:val="18"/>
                <w:szCs w:val="18"/>
              </w:rPr>
            </w:pPr>
            <w:r w:rsidRPr="005D5FAF">
              <w:rPr>
                <w:sz w:val="18"/>
                <w:szCs w:val="18"/>
              </w:rPr>
              <w:t>5.3</w:t>
            </w:r>
          </w:p>
        </w:tc>
        <w:tc>
          <w:tcPr>
            <w:tcW w:w="351" w:type="pct"/>
            <w:shd w:val="clear" w:color="auto" w:fill="auto"/>
            <w:noWrap/>
            <w:hideMark/>
          </w:tcPr>
          <w:p w14:paraId="0945DFE2" w14:textId="77777777" w:rsidR="00F96346" w:rsidRPr="005D5FAF" w:rsidRDefault="00F96346" w:rsidP="00F96346">
            <w:pPr>
              <w:jc w:val="center"/>
              <w:rPr>
                <w:sz w:val="18"/>
                <w:szCs w:val="18"/>
              </w:rPr>
            </w:pPr>
            <w:r w:rsidRPr="005D5FAF">
              <w:rPr>
                <w:sz w:val="18"/>
                <w:szCs w:val="18"/>
              </w:rPr>
              <w:t>5</w:t>
            </w:r>
          </w:p>
        </w:tc>
        <w:tc>
          <w:tcPr>
            <w:tcW w:w="309" w:type="pct"/>
            <w:shd w:val="clear" w:color="auto" w:fill="auto"/>
            <w:noWrap/>
            <w:hideMark/>
          </w:tcPr>
          <w:p w14:paraId="58AA848B" w14:textId="77777777" w:rsidR="00F96346" w:rsidRPr="005D5FAF" w:rsidRDefault="00F96346" w:rsidP="00F96346">
            <w:pPr>
              <w:jc w:val="center"/>
              <w:rPr>
                <w:sz w:val="18"/>
                <w:szCs w:val="18"/>
              </w:rPr>
            </w:pPr>
            <w:r w:rsidRPr="005D5FAF">
              <w:rPr>
                <w:sz w:val="18"/>
                <w:szCs w:val="18"/>
              </w:rPr>
              <w:t>5</w:t>
            </w:r>
          </w:p>
        </w:tc>
        <w:tc>
          <w:tcPr>
            <w:tcW w:w="410" w:type="pct"/>
            <w:shd w:val="clear" w:color="auto" w:fill="auto"/>
            <w:noWrap/>
            <w:hideMark/>
          </w:tcPr>
          <w:p w14:paraId="20AB9F1E" w14:textId="77777777" w:rsidR="00F96346" w:rsidRPr="005D5FAF" w:rsidRDefault="00F96346" w:rsidP="00F96346">
            <w:pPr>
              <w:jc w:val="center"/>
              <w:rPr>
                <w:sz w:val="18"/>
                <w:szCs w:val="18"/>
              </w:rPr>
            </w:pPr>
            <w:r w:rsidRPr="005D5FAF">
              <w:rPr>
                <w:sz w:val="18"/>
                <w:szCs w:val="18"/>
              </w:rPr>
              <w:t>3</w:t>
            </w:r>
          </w:p>
        </w:tc>
      </w:tr>
      <w:tr w:rsidR="00F54A3F" w:rsidRPr="00F96346" w14:paraId="418E5BA8" w14:textId="77777777" w:rsidTr="00F54A3F">
        <w:trPr>
          <w:trHeight w:val="180"/>
        </w:trPr>
        <w:tc>
          <w:tcPr>
            <w:tcW w:w="1896" w:type="pct"/>
            <w:shd w:val="clear" w:color="auto" w:fill="auto"/>
            <w:noWrap/>
            <w:hideMark/>
          </w:tcPr>
          <w:p w14:paraId="79C6B718" w14:textId="77777777" w:rsidR="00F96346" w:rsidRPr="005D5FAF" w:rsidRDefault="00F96346" w:rsidP="00F96346">
            <w:pPr>
              <w:jc w:val="both"/>
              <w:rPr>
                <w:b/>
                <w:bCs/>
                <w:sz w:val="18"/>
                <w:szCs w:val="18"/>
              </w:rPr>
            </w:pPr>
            <w:r w:rsidRPr="005D5FAF">
              <w:rPr>
                <w:b/>
                <w:bCs/>
                <w:sz w:val="18"/>
                <w:szCs w:val="18"/>
              </w:rPr>
              <w:t xml:space="preserve">--Time (no. </w:t>
            </w:r>
            <w:proofErr w:type="gramStart"/>
            <w:r w:rsidRPr="005D5FAF">
              <w:rPr>
                <w:b/>
                <w:bCs/>
                <w:sz w:val="18"/>
                <w:szCs w:val="18"/>
              </w:rPr>
              <w:t>of</w:t>
            </w:r>
            <w:proofErr w:type="gramEnd"/>
            <w:r w:rsidRPr="005D5FAF">
              <w:rPr>
                <w:b/>
                <w:bCs/>
                <w:sz w:val="18"/>
                <w:szCs w:val="18"/>
              </w:rPr>
              <w:t xml:space="preserve"> days)</w:t>
            </w:r>
          </w:p>
        </w:tc>
        <w:tc>
          <w:tcPr>
            <w:tcW w:w="601" w:type="pct"/>
            <w:shd w:val="clear" w:color="auto" w:fill="auto"/>
            <w:noWrap/>
            <w:hideMark/>
          </w:tcPr>
          <w:p w14:paraId="576B1EB6" w14:textId="77777777" w:rsidR="00F96346" w:rsidRPr="005D5FAF" w:rsidRDefault="00F96346" w:rsidP="00F96346">
            <w:pPr>
              <w:jc w:val="center"/>
              <w:rPr>
                <w:sz w:val="18"/>
                <w:szCs w:val="18"/>
              </w:rPr>
            </w:pPr>
            <w:r w:rsidRPr="005D5FAF">
              <w:rPr>
                <w:sz w:val="18"/>
                <w:szCs w:val="18"/>
              </w:rPr>
              <w:t>429</w:t>
            </w:r>
          </w:p>
        </w:tc>
        <w:tc>
          <w:tcPr>
            <w:tcW w:w="379" w:type="pct"/>
            <w:shd w:val="clear" w:color="auto" w:fill="auto"/>
            <w:noWrap/>
            <w:hideMark/>
          </w:tcPr>
          <w:p w14:paraId="438603DC" w14:textId="77777777" w:rsidR="00F96346" w:rsidRPr="005D5FAF" w:rsidRDefault="00F96346" w:rsidP="00F96346">
            <w:pPr>
              <w:jc w:val="center"/>
              <w:rPr>
                <w:sz w:val="18"/>
                <w:szCs w:val="18"/>
              </w:rPr>
            </w:pPr>
            <w:r w:rsidRPr="005D5FAF">
              <w:rPr>
                <w:sz w:val="18"/>
                <w:szCs w:val="18"/>
              </w:rPr>
              <w:t>143</w:t>
            </w:r>
          </w:p>
        </w:tc>
        <w:tc>
          <w:tcPr>
            <w:tcW w:w="347" w:type="pct"/>
            <w:shd w:val="clear" w:color="auto" w:fill="auto"/>
            <w:noWrap/>
            <w:hideMark/>
          </w:tcPr>
          <w:p w14:paraId="074EDD4D" w14:textId="77777777" w:rsidR="00F96346" w:rsidRPr="005D5FAF" w:rsidRDefault="00F96346" w:rsidP="00F96346">
            <w:pPr>
              <w:jc w:val="center"/>
              <w:rPr>
                <w:sz w:val="18"/>
                <w:szCs w:val="18"/>
              </w:rPr>
            </w:pPr>
            <w:r w:rsidRPr="005D5FAF">
              <w:rPr>
                <w:sz w:val="18"/>
                <w:szCs w:val="18"/>
              </w:rPr>
              <w:t>46</w:t>
            </w:r>
          </w:p>
        </w:tc>
        <w:tc>
          <w:tcPr>
            <w:tcW w:w="354" w:type="pct"/>
            <w:shd w:val="clear" w:color="auto" w:fill="auto"/>
            <w:noWrap/>
            <w:hideMark/>
          </w:tcPr>
          <w:p w14:paraId="778C864C" w14:textId="77777777" w:rsidR="00F96346" w:rsidRPr="005D5FAF" w:rsidRDefault="00F96346" w:rsidP="00F96346">
            <w:pPr>
              <w:jc w:val="center"/>
              <w:rPr>
                <w:sz w:val="18"/>
                <w:szCs w:val="18"/>
              </w:rPr>
            </w:pPr>
            <w:r w:rsidRPr="005D5FAF">
              <w:rPr>
                <w:sz w:val="18"/>
                <w:szCs w:val="18"/>
              </w:rPr>
              <w:t>58</w:t>
            </w:r>
          </w:p>
        </w:tc>
        <w:tc>
          <w:tcPr>
            <w:tcW w:w="354" w:type="pct"/>
            <w:shd w:val="clear" w:color="auto" w:fill="auto"/>
            <w:noWrap/>
            <w:hideMark/>
          </w:tcPr>
          <w:p w14:paraId="6508FBB5" w14:textId="77777777" w:rsidR="00F96346" w:rsidRPr="005D5FAF" w:rsidRDefault="00F96346" w:rsidP="00F96346">
            <w:pPr>
              <w:jc w:val="center"/>
              <w:rPr>
                <w:sz w:val="18"/>
                <w:szCs w:val="18"/>
              </w:rPr>
            </w:pPr>
            <w:r w:rsidRPr="005D5FAF">
              <w:rPr>
                <w:sz w:val="18"/>
                <w:szCs w:val="18"/>
              </w:rPr>
              <w:t>181</w:t>
            </w:r>
          </w:p>
        </w:tc>
        <w:tc>
          <w:tcPr>
            <w:tcW w:w="351" w:type="pct"/>
            <w:shd w:val="clear" w:color="auto" w:fill="auto"/>
            <w:noWrap/>
            <w:hideMark/>
          </w:tcPr>
          <w:p w14:paraId="24AD3063" w14:textId="77777777" w:rsidR="00F96346" w:rsidRPr="005D5FAF" w:rsidRDefault="00F96346" w:rsidP="00F96346">
            <w:pPr>
              <w:jc w:val="center"/>
              <w:rPr>
                <w:sz w:val="18"/>
                <w:szCs w:val="18"/>
              </w:rPr>
            </w:pPr>
            <w:r w:rsidRPr="005D5FAF">
              <w:rPr>
                <w:sz w:val="18"/>
                <w:szCs w:val="18"/>
              </w:rPr>
              <w:t>100</w:t>
            </w:r>
          </w:p>
        </w:tc>
        <w:tc>
          <w:tcPr>
            <w:tcW w:w="309" w:type="pct"/>
            <w:shd w:val="clear" w:color="auto" w:fill="auto"/>
            <w:noWrap/>
            <w:hideMark/>
          </w:tcPr>
          <w:p w14:paraId="23261371" w14:textId="77777777" w:rsidR="00F96346" w:rsidRPr="005D5FAF" w:rsidRDefault="00F96346" w:rsidP="00F96346">
            <w:pPr>
              <w:jc w:val="center"/>
              <w:rPr>
                <w:sz w:val="18"/>
                <w:szCs w:val="18"/>
              </w:rPr>
            </w:pPr>
            <w:r w:rsidRPr="005D5FAF">
              <w:rPr>
                <w:sz w:val="18"/>
                <w:szCs w:val="18"/>
              </w:rPr>
              <w:t>46</w:t>
            </w:r>
          </w:p>
        </w:tc>
        <w:tc>
          <w:tcPr>
            <w:tcW w:w="410" w:type="pct"/>
            <w:shd w:val="clear" w:color="auto" w:fill="auto"/>
            <w:noWrap/>
            <w:hideMark/>
          </w:tcPr>
          <w:p w14:paraId="06C4A8DA" w14:textId="77777777" w:rsidR="00F96346" w:rsidRPr="005D5FAF" w:rsidRDefault="00F96346" w:rsidP="00F96346">
            <w:pPr>
              <w:jc w:val="center"/>
              <w:rPr>
                <w:sz w:val="18"/>
                <w:szCs w:val="18"/>
              </w:rPr>
            </w:pPr>
            <w:r w:rsidRPr="005D5FAF">
              <w:rPr>
                <w:sz w:val="18"/>
                <w:szCs w:val="18"/>
              </w:rPr>
              <w:t>18</w:t>
            </w:r>
          </w:p>
        </w:tc>
      </w:tr>
      <w:tr w:rsidR="00F54A3F" w:rsidRPr="00F96346" w14:paraId="5B82F2CD" w14:textId="77777777" w:rsidTr="00F54A3F">
        <w:trPr>
          <w:trHeight w:val="225"/>
        </w:trPr>
        <w:tc>
          <w:tcPr>
            <w:tcW w:w="1896" w:type="pct"/>
            <w:shd w:val="clear" w:color="auto" w:fill="auto"/>
            <w:noWrap/>
            <w:hideMark/>
          </w:tcPr>
          <w:p w14:paraId="0D5F192C" w14:textId="77777777" w:rsidR="00F96346" w:rsidRPr="005D5FAF" w:rsidRDefault="00F96346" w:rsidP="00F96346">
            <w:pPr>
              <w:jc w:val="both"/>
              <w:rPr>
                <w:b/>
                <w:bCs/>
                <w:sz w:val="18"/>
                <w:szCs w:val="18"/>
              </w:rPr>
            </w:pPr>
            <w:r w:rsidRPr="005D5FAF">
              <w:rPr>
                <w:b/>
                <w:bCs/>
                <w:sz w:val="18"/>
                <w:szCs w:val="18"/>
              </w:rPr>
              <w:t>--Cost (% of income per capita)</w:t>
            </w:r>
          </w:p>
        </w:tc>
        <w:tc>
          <w:tcPr>
            <w:tcW w:w="601" w:type="pct"/>
            <w:shd w:val="clear" w:color="auto" w:fill="auto"/>
            <w:noWrap/>
            <w:hideMark/>
          </w:tcPr>
          <w:p w14:paraId="145557FF" w14:textId="77777777" w:rsidR="00F96346" w:rsidRPr="005D5FAF" w:rsidRDefault="00F96346" w:rsidP="00F96346">
            <w:pPr>
              <w:jc w:val="center"/>
              <w:rPr>
                <w:sz w:val="18"/>
                <w:szCs w:val="18"/>
              </w:rPr>
            </w:pPr>
            <w:r w:rsidRPr="005D5FAF">
              <w:rPr>
                <w:sz w:val="18"/>
                <w:szCs w:val="18"/>
              </w:rPr>
              <w:t>2861</w:t>
            </w:r>
          </w:p>
        </w:tc>
        <w:tc>
          <w:tcPr>
            <w:tcW w:w="379" w:type="pct"/>
            <w:shd w:val="clear" w:color="auto" w:fill="auto"/>
            <w:noWrap/>
            <w:hideMark/>
          </w:tcPr>
          <w:p w14:paraId="291D8F28" w14:textId="77777777" w:rsidR="00F96346" w:rsidRPr="005D5FAF" w:rsidRDefault="00F96346" w:rsidP="00F96346">
            <w:pPr>
              <w:jc w:val="center"/>
              <w:rPr>
                <w:sz w:val="18"/>
                <w:szCs w:val="18"/>
              </w:rPr>
            </w:pPr>
            <w:r w:rsidRPr="005D5FAF">
              <w:rPr>
                <w:sz w:val="18"/>
                <w:szCs w:val="18"/>
              </w:rPr>
              <w:t>390</w:t>
            </w:r>
          </w:p>
        </w:tc>
        <w:tc>
          <w:tcPr>
            <w:tcW w:w="347" w:type="pct"/>
            <w:shd w:val="clear" w:color="auto" w:fill="auto"/>
            <w:noWrap/>
            <w:hideMark/>
          </w:tcPr>
          <w:p w14:paraId="6E09A9E0" w14:textId="77777777" w:rsidR="00F96346" w:rsidRPr="005D5FAF" w:rsidRDefault="00F96346" w:rsidP="00F96346">
            <w:pPr>
              <w:jc w:val="center"/>
              <w:rPr>
                <w:sz w:val="18"/>
                <w:szCs w:val="18"/>
              </w:rPr>
            </w:pPr>
            <w:r w:rsidRPr="005D5FAF">
              <w:rPr>
                <w:sz w:val="18"/>
                <w:szCs w:val="18"/>
              </w:rPr>
              <w:t>133.2</w:t>
            </w:r>
          </w:p>
        </w:tc>
        <w:tc>
          <w:tcPr>
            <w:tcW w:w="354" w:type="pct"/>
            <w:shd w:val="clear" w:color="auto" w:fill="auto"/>
            <w:noWrap/>
            <w:hideMark/>
          </w:tcPr>
          <w:p w14:paraId="03C6E6FF" w14:textId="77777777" w:rsidR="00F96346" w:rsidRPr="005D5FAF" w:rsidRDefault="00F96346" w:rsidP="00F96346">
            <w:pPr>
              <w:jc w:val="center"/>
              <w:rPr>
                <w:sz w:val="18"/>
                <w:szCs w:val="18"/>
              </w:rPr>
            </w:pPr>
            <w:r w:rsidRPr="005D5FAF">
              <w:rPr>
                <w:sz w:val="18"/>
                <w:szCs w:val="18"/>
              </w:rPr>
              <w:t>357</w:t>
            </w:r>
          </w:p>
        </w:tc>
        <w:tc>
          <w:tcPr>
            <w:tcW w:w="354" w:type="pct"/>
            <w:shd w:val="clear" w:color="auto" w:fill="auto"/>
            <w:noWrap/>
            <w:hideMark/>
          </w:tcPr>
          <w:p w14:paraId="0098786B" w14:textId="77777777" w:rsidR="00F96346" w:rsidRPr="005D5FAF" w:rsidRDefault="00F96346" w:rsidP="00F96346">
            <w:pPr>
              <w:jc w:val="center"/>
              <w:rPr>
                <w:sz w:val="18"/>
                <w:szCs w:val="18"/>
              </w:rPr>
            </w:pPr>
            <w:r w:rsidRPr="005D5FAF">
              <w:rPr>
                <w:sz w:val="18"/>
                <w:szCs w:val="18"/>
              </w:rPr>
              <w:t>1772</w:t>
            </w:r>
          </w:p>
        </w:tc>
        <w:tc>
          <w:tcPr>
            <w:tcW w:w="351" w:type="pct"/>
            <w:shd w:val="clear" w:color="auto" w:fill="auto"/>
            <w:noWrap/>
            <w:hideMark/>
          </w:tcPr>
          <w:p w14:paraId="745041B0" w14:textId="77777777" w:rsidR="00F96346" w:rsidRPr="005D5FAF" w:rsidRDefault="00F96346" w:rsidP="00F96346">
            <w:pPr>
              <w:jc w:val="center"/>
              <w:rPr>
                <w:sz w:val="18"/>
                <w:szCs w:val="18"/>
              </w:rPr>
            </w:pPr>
            <w:r w:rsidRPr="005D5FAF">
              <w:rPr>
                <w:sz w:val="18"/>
                <w:szCs w:val="18"/>
              </w:rPr>
              <w:t>732</w:t>
            </w:r>
          </w:p>
        </w:tc>
        <w:tc>
          <w:tcPr>
            <w:tcW w:w="309" w:type="pct"/>
            <w:shd w:val="clear" w:color="auto" w:fill="auto"/>
            <w:noWrap/>
            <w:hideMark/>
          </w:tcPr>
          <w:p w14:paraId="45F4EC35" w14:textId="77777777" w:rsidR="00F96346" w:rsidRPr="005D5FAF" w:rsidRDefault="00F96346" w:rsidP="00F96346">
            <w:pPr>
              <w:jc w:val="center"/>
              <w:rPr>
                <w:sz w:val="18"/>
                <w:szCs w:val="18"/>
              </w:rPr>
            </w:pPr>
            <w:r w:rsidRPr="005D5FAF">
              <w:rPr>
                <w:sz w:val="18"/>
                <w:szCs w:val="18"/>
              </w:rPr>
              <w:t>1261</w:t>
            </w:r>
          </w:p>
        </w:tc>
        <w:tc>
          <w:tcPr>
            <w:tcW w:w="410" w:type="pct"/>
            <w:shd w:val="clear" w:color="auto" w:fill="auto"/>
            <w:noWrap/>
            <w:hideMark/>
          </w:tcPr>
          <w:p w14:paraId="60168897" w14:textId="77777777" w:rsidR="00F96346" w:rsidRPr="005D5FAF" w:rsidRDefault="00F96346" w:rsidP="00F96346">
            <w:pPr>
              <w:jc w:val="center"/>
              <w:rPr>
                <w:sz w:val="18"/>
                <w:szCs w:val="18"/>
              </w:rPr>
            </w:pPr>
            <w:r w:rsidRPr="005D5FAF">
              <w:rPr>
                <w:sz w:val="18"/>
                <w:szCs w:val="18"/>
              </w:rPr>
              <w:t>0</w:t>
            </w:r>
          </w:p>
        </w:tc>
      </w:tr>
      <w:tr w:rsidR="00F54A3F" w:rsidRPr="00F96346" w14:paraId="6CF1D388" w14:textId="77777777" w:rsidTr="00F54A3F">
        <w:trPr>
          <w:trHeight w:val="277"/>
        </w:trPr>
        <w:tc>
          <w:tcPr>
            <w:tcW w:w="1896" w:type="pct"/>
            <w:shd w:val="clear" w:color="auto" w:fill="auto"/>
            <w:noWrap/>
            <w:hideMark/>
          </w:tcPr>
          <w:p w14:paraId="49A99C88" w14:textId="77777777" w:rsidR="00F96346" w:rsidRPr="005D5FAF" w:rsidRDefault="00F96346" w:rsidP="00F96346">
            <w:pPr>
              <w:jc w:val="both"/>
              <w:rPr>
                <w:b/>
                <w:bCs/>
                <w:sz w:val="18"/>
                <w:szCs w:val="18"/>
              </w:rPr>
            </w:pPr>
            <w:r w:rsidRPr="005D5FAF">
              <w:rPr>
                <w:b/>
                <w:bCs/>
                <w:sz w:val="18"/>
                <w:szCs w:val="18"/>
              </w:rPr>
              <w:t>4. Registering property</w:t>
            </w:r>
          </w:p>
        </w:tc>
        <w:tc>
          <w:tcPr>
            <w:tcW w:w="601" w:type="pct"/>
            <w:shd w:val="clear" w:color="auto" w:fill="auto"/>
            <w:noWrap/>
            <w:hideMark/>
          </w:tcPr>
          <w:p w14:paraId="0AE6E321" w14:textId="77777777" w:rsidR="00F96346" w:rsidRPr="005D5FAF" w:rsidRDefault="00F96346" w:rsidP="00F96346">
            <w:pPr>
              <w:jc w:val="center"/>
              <w:rPr>
                <w:sz w:val="18"/>
                <w:szCs w:val="18"/>
              </w:rPr>
            </w:pPr>
          </w:p>
        </w:tc>
        <w:tc>
          <w:tcPr>
            <w:tcW w:w="379" w:type="pct"/>
            <w:shd w:val="clear" w:color="auto" w:fill="auto"/>
            <w:noWrap/>
            <w:hideMark/>
          </w:tcPr>
          <w:p w14:paraId="56A414AC" w14:textId="77777777" w:rsidR="00F96346" w:rsidRPr="005D5FAF" w:rsidRDefault="00F96346" w:rsidP="00F96346">
            <w:pPr>
              <w:rPr>
                <w:sz w:val="18"/>
                <w:szCs w:val="18"/>
              </w:rPr>
            </w:pPr>
          </w:p>
        </w:tc>
        <w:tc>
          <w:tcPr>
            <w:tcW w:w="347" w:type="pct"/>
            <w:shd w:val="clear" w:color="auto" w:fill="auto"/>
            <w:noWrap/>
            <w:hideMark/>
          </w:tcPr>
          <w:p w14:paraId="6FB9E05A" w14:textId="77777777" w:rsidR="00F96346" w:rsidRPr="005D5FAF" w:rsidRDefault="00F96346" w:rsidP="00F96346">
            <w:pPr>
              <w:jc w:val="center"/>
              <w:rPr>
                <w:sz w:val="18"/>
                <w:szCs w:val="18"/>
              </w:rPr>
            </w:pPr>
          </w:p>
        </w:tc>
        <w:tc>
          <w:tcPr>
            <w:tcW w:w="354" w:type="pct"/>
            <w:shd w:val="clear" w:color="auto" w:fill="auto"/>
            <w:noWrap/>
            <w:hideMark/>
          </w:tcPr>
          <w:p w14:paraId="48E0BCAE" w14:textId="77777777" w:rsidR="00F96346" w:rsidRPr="005D5FAF" w:rsidRDefault="00F96346" w:rsidP="00F96346">
            <w:pPr>
              <w:jc w:val="center"/>
              <w:rPr>
                <w:sz w:val="18"/>
                <w:szCs w:val="18"/>
              </w:rPr>
            </w:pPr>
          </w:p>
        </w:tc>
        <w:tc>
          <w:tcPr>
            <w:tcW w:w="354" w:type="pct"/>
            <w:shd w:val="clear" w:color="auto" w:fill="auto"/>
            <w:noWrap/>
            <w:hideMark/>
          </w:tcPr>
          <w:p w14:paraId="70B32CE9" w14:textId="77777777" w:rsidR="00F96346" w:rsidRPr="005D5FAF" w:rsidRDefault="00F96346" w:rsidP="00F96346">
            <w:pPr>
              <w:jc w:val="center"/>
              <w:rPr>
                <w:sz w:val="18"/>
                <w:szCs w:val="18"/>
              </w:rPr>
            </w:pPr>
          </w:p>
        </w:tc>
        <w:tc>
          <w:tcPr>
            <w:tcW w:w="351" w:type="pct"/>
            <w:shd w:val="clear" w:color="auto" w:fill="auto"/>
            <w:noWrap/>
            <w:hideMark/>
          </w:tcPr>
          <w:p w14:paraId="24CECE59" w14:textId="77777777" w:rsidR="00F96346" w:rsidRPr="005D5FAF" w:rsidRDefault="00F96346" w:rsidP="00F96346">
            <w:pPr>
              <w:jc w:val="center"/>
              <w:rPr>
                <w:sz w:val="18"/>
                <w:szCs w:val="18"/>
              </w:rPr>
            </w:pPr>
          </w:p>
        </w:tc>
        <w:tc>
          <w:tcPr>
            <w:tcW w:w="309" w:type="pct"/>
            <w:shd w:val="clear" w:color="auto" w:fill="auto"/>
            <w:noWrap/>
            <w:hideMark/>
          </w:tcPr>
          <w:p w14:paraId="2CCEEECC" w14:textId="77777777" w:rsidR="00F96346" w:rsidRPr="005D5FAF" w:rsidRDefault="00F96346" w:rsidP="00F96346">
            <w:pPr>
              <w:jc w:val="center"/>
              <w:rPr>
                <w:sz w:val="18"/>
                <w:szCs w:val="18"/>
              </w:rPr>
            </w:pPr>
          </w:p>
        </w:tc>
        <w:tc>
          <w:tcPr>
            <w:tcW w:w="410" w:type="pct"/>
            <w:shd w:val="clear" w:color="auto" w:fill="auto"/>
            <w:noWrap/>
            <w:hideMark/>
          </w:tcPr>
          <w:p w14:paraId="19ABC002" w14:textId="77777777" w:rsidR="00F96346" w:rsidRPr="005D5FAF" w:rsidRDefault="00F96346" w:rsidP="00F96346">
            <w:pPr>
              <w:jc w:val="center"/>
              <w:rPr>
                <w:sz w:val="18"/>
                <w:szCs w:val="18"/>
              </w:rPr>
            </w:pPr>
          </w:p>
        </w:tc>
      </w:tr>
      <w:tr w:rsidR="00F54A3F" w:rsidRPr="00F96346" w14:paraId="345834F1" w14:textId="77777777" w:rsidTr="00F54A3F">
        <w:trPr>
          <w:trHeight w:val="180"/>
        </w:trPr>
        <w:tc>
          <w:tcPr>
            <w:tcW w:w="1896" w:type="pct"/>
            <w:shd w:val="clear" w:color="auto" w:fill="auto"/>
            <w:noWrap/>
            <w:hideMark/>
          </w:tcPr>
          <w:p w14:paraId="144CFB33" w14:textId="77777777" w:rsidR="00F96346" w:rsidRPr="005D5FAF" w:rsidRDefault="00F96346" w:rsidP="00F96346">
            <w:pPr>
              <w:jc w:val="both"/>
              <w:rPr>
                <w:b/>
                <w:bCs/>
                <w:sz w:val="18"/>
                <w:szCs w:val="18"/>
              </w:rPr>
            </w:pPr>
            <w:r w:rsidRPr="005D5FAF">
              <w:rPr>
                <w:b/>
                <w:bCs/>
                <w:sz w:val="18"/>
                <w:szCs w:val="18"/>
              </w:rPr>
              <w:t xml:space="preserve">--No. </w:t>
            </w:r>
            <w:proofErr w:type="gramStart"/>
            <w:r w:rsidRPr="005D5FAF">
              <w:rPr>
                <w:b/>
                <w:bCs/>
                <w:sz w:val="18"/>
                <w:szCs w:val="18"/>
              </w:rPr>
              <w:t>of</w:t>
            </w:r>
            <w:proofErr w:type="gramEnd"/>
            <w:r w:rsidRPr="005D5FAF">
              <w:rPr>
                <w:b/>
                <w:bCs/>
                <w:sz w:val="18"/>
                <w:szCs w:val="18"/>
              </w:rPr>
              <w:t xml:space="preserve"> procedures</w:t>
            </w:r>
          </w:p>
        </w:tc>
        <w:tc>
          <w:tcPr>
            <w:tcW w:w="601" w:type="pct"/>
            <w:shd w:val="clear" w:color="auto" w:fill="auto"/>
            <w:noWrap/>
            <w:hideMark/>
          </w:tcPr>
          <w:p w14:paraId="684D917E" w14:textId="77777777" w:rsidR="00F96346" w:rsidRPr="005D5FAF" w:rsidRDefault="00F96346" w:rsidP="00F96346">
            <w:pPr>
              <w:jc w:val="center"/>
              <w:rPr>
                <w:sz w:val="18"/>
                <w:szCs w:val="18"/>
              </w:rPr>
            </w:pPr>
            <w:r w:rsidRPr="005D5FAF">
              <w:rPr>
                <w:sz w:val="18"/>
                <w:szCs w:val="18"/>
              </w:rPr>
              <w:t>8</w:t>
            </w:r>
          </w:p>
        </w:tc>
        <w:tc>
          <w:tcPr>
            <w:tcW w:w="379" w:type="pct"/>
            <w:shd w:val="clear" w:color="auto" w:fill="auto"/>
            <w:noWrap/>
            <w:hideMark/>
          </w:tcPr>
          <w:p w14:paraId="02D370EF" w14:textId="77777777" w:rsidR="00F96346" w:rsidRPr="005D5FAF" w:rsidRDefault="00F96346" w:rsidP="00F96346">
            <w:pPr>
              <w:jc w:val="center"/>
              <w:rPr>
                <w:sz w:val="18"/>
                <w:szCs w:val="18"/>
              </w:rPr>
            </w:pPr>
            <w:r w:rsidRPr="005D5FAF">
              <w:rPr>
                <w:sz w:val="18"/>
                <w:szCs w:val="18"/>
              </w:rPr>
              <w:t>4</w:t>
            </w:r>
          </w:p>
        </w:tc>
        <w:tc>
          <w:tcPr>
            <w:tcW w:w="347" w:type="pct"/>
            <w:shd w:val="clear" w:color="auto" w:fill="auto"/>
            <w:noWrap/>
            <w:hideMark/>
          </w:tcPr>
          <w:p w14:paraId="04A0325B" w14:textId="77777777" w:rsidR="00F96346" w:rsidRPr="005D5FAF" w:rsidRDefault="00F96346" w:rsidP="00F96346">
            <w:pPr>
              <w:jc w:val="center"/>
              <w:rPr>
                <w:sz w:val="18"/>
                <w:szCs w:val="18"/>
              </w:rPr>
            </w:pPr>
            <w:r w:rsidRPr="005D5FAF">
              <w:rPr>
                <w:sz w:val="18"/>
                <w:szCs w:val="18"/>
              </w:rPr>
              <w:t>7</w:t>
            </w:r>
          </w:p>
        </w:tc>
        <w:tc>
          <w:tcPr>
            <w:tcW w:w="354" w:type="pct"/>
            <w:shd w:val="clear" w:color="auto" w:fill="auto"/>
            <w:noWrap/>
            <w:hideMark/>
          </w:tcPr>
          <w:p w14:paraId="10B88303" w14:textId="77777777" w:rsidR="00F96346" w:rsidRPr="005D5FAF" w:rsidRDefault="00F96346" w:rsidP="00F96346">
            <w:pPr>
              <w:jc w:val="center"/>
              <w:rPr>
                <w:sz w:val="18"/>
                <w:szCs w:val="18"/>
              </w:rPr>
            </w:pPr>
            <w:r w:rsidRPr="005D5FAF">
              <w:rPr>
                <w:sz w:val="18"/>
                <w:szCs w:val="18"/>
              </w:rPr>
              <w:t>5</w:t>
            </w:r>
          </w:p>
        </w:tc>
        <w:tc>
          <w:tcPr>
            <w:tcW w:w="354" w:type="pct"/>
            <w:shd w:val="clear" w:color="auto" w:fill="auto"/>
            <w:noWrap/>
            <w:hideMark/>
          </w:tcPr>
          <w:p w14:paraId="1186CC2C" w14:textId="77777777" w:rsidR="00F96346" w:rsidRPr="005D5FAF" w:rsidRDefault="00F96346" w:rsidP="00F96346">
            <w:pPr>
              <w:jc w:val="center"/>
              <w:rPr>
                <w:sz w:val="18"/>
                <w:szCs w:val="18"/>
              </w:rPr>
            </w:pPr>
            <w:r w:rsidRPr="005D5FAF">
              <w:rPr>
                <w:sz w:val="18"/>
                <w:szCs w:val="18"/>
              </w:rPr>
              <w:t>7.7</w:t>
            </w:r>
          </w:p>
        </w:tc>
        <w:tc>
          <w:tcPr>
            <w:tcW w:w="351" w:type="pct"/>
            <w:shd w:val="clear" w:color="auto" w:fill="auto"/>
            <w:noWrap/>
            <w:hideMark/>
          </w:tcPr>
          <w:p w14:paraId="7B536027" w14:textId="77777777" w:rsidR="00F96346" w:rsidRPr="005D5FAF" w:rsidRDefault="00F96346" w:rsidP="00F96346">
            <w:pPr>
              <w:jc w:val="center"/>
              <w:rPr>
                <w:sz w:val="18"/>
                <w:szCs w:val="18"/>
              </w:rPr>
            </w:pPr>
            <w:r w:rsidRPr="005D5FAF">
              <w:rPr>
                <w:sz w:val="18"/>
                <w:szCs w:val="18"/>
              </w:rPr>
              <w:t>9</w:t>
            </w:r>
          </w:p>
        </w:tc>
        <w:tc>
          <w:tcPr>
            <w:tcW w:w="309" w:type="pct"/>
            <w:shd w:val="clear" w:color="auto" w:fill="auto"/>
            <w:noWrap/>
            <w:hideMark/>
          </w:tcPr>
          <w:p w14:paraId="489CA826" w14:textId="77777777" w:rsidR="00F96346" w:rsidRPr="005D5FAF" w:rsidRDefault="00F96346" w:rsidP="00F96346">
            <w:pPr>
              <w:jc w:val="center"/>
              <w:rPr>
                <w:sz w:val="18"/>
                <w:szCs w:val="18"/>
              </w:rPr>
            </w:pPr>
            <w:r w:rsidRPr="005D5FAF">
              <w:rPr>
                <w:sz w:val="18"/>
                <w:szCs w:val="18"/>
              </w:rPr>
              <w:t>5</w:t>
            </w:r>
          </w:p>
        </w:tc>
        <w:tc>
          <w:tcPr>
            <w:tcW w:w="410" w:type="pct"/>
            <w:shd w:val="clear" w:color="auto" w:fill="auto"/>
            <w:noWrap/>
            <w:hideMark/>
          </w:tcPr>
          <w:p w14:paraId="3CEB924C" w14:textId="77777777" w:rsidR="00F96346" w:rsidRPr="005D5FAF" w:rsidRDefault="00F96346" w:rsidP="00F96346">
            <w:pPr>
              <w:jc w:val="center"/>
              <w:rPr>
                <w:sz w:val="18"/>
                <w:szCs w:val="18"/>
              </w:rPr>
            </w:pPr>
            <w:r w:rsidRPr="005D5FAF">
              <w:rPr>
                <w:sz w:val="18"/>
                <w:szCs w:val="18"/>
              </w:rPr>
              <w:t>1</w:t>
            </w:r>
          </w:p>
        </w:tc>
      </w:tr>
      <w:tr w:rsidR="00F54A3F" w:rsidRPr="00F96346" w14:paraId="7608B8DB" w14:textId="77777777" w:rsidTr="00F54A3F">
        <w:trPr>
          <w:trHeight w:val="243"/>
        </w:trPr>
        <w:tc>
          <w:tcPr>
            <w:tcW w:w="1896" w:type="pct"/>
            <w:shd w:val="clear" w:color="auto" w:fill="auto"/>
            <w:noWrap/>
            <w:hideMark/>
          </w:tcPr>
          <w:p w14:paraId="36F3D865" w14:textId="77777777" w:rsidR="00F96346" w:rsidRPr="005D5FAF" w:rsidRDefault="00F96346" w:rsidP="00F96346">
            <w:pPr>
              <w:jc w:val="both"/>
              <w:rPr>
                <w:b/>
                <w:bCs/>
                <w:sz w:val="18"/>
                <w:szCs w:val="18"/>
              </w:rPr>
            </w:pPr>
            <w:r w:rsidRPr="005D5FAF">
              <w:rPr>
                <w:b/>
                <w:bCs/>
                <w:sz w:val="18"/>
                <w:szCs w:val="18"/>
              </w:rPr>
              <w:t xml:space="preserve">--Time (no. </w:t>
            </w:r>
            <w:proofErr w:type="gramStart"/>
            <w:r w:rsidRPr="005D5FAF">
              <w:rPr>
                <w:b/>
                <w:bCs/>
                <w:sz w:val="18"/>
                <w:szCs w:val="18"/>
              </w:rPr>
              <w:t>of</w:t>
            </w:r>
            <w:proofErr w:type="gramEnd"/>
            <w:r w:rsidRPr="005D5FAF">
              <w:rPr>
                <w:b/>
                <w:bCs/>
                <w:sz w:val="18"/>
                <w:szCs w:val="18"/>
              </w:rPr>
              <w:t xml:space="preserve"> days)</w:t>
            </w:r>
          </w:p>
        </w:tc>
        <w:tc>
          <w:tcPr>
            <w:tcW w:w="601" w:type="pct"/>
            <w:shd w:val="clear" w:color="auto" w:fill="auto"/>
            <w:noWrap/>
            <w:hideMark/>
          </w:tcPr>
          <w:p w14:paraId="43C1622C" w14:textId="77777777" w:rsidR="00F96346" w:rsidRPr="005D5FAF" w:rsidRDefault="00F96346" w:rsidP="00F96346">
            <w:pPr>
              <w:jc w:val="center"/>
              <w:rPr>
                <w:sz w:val="18"/>
                <w:szCs w:val="18"/>
              </w:rPr>
            </w:pPr>
            <w:r w:rsidRPr="005D5FAF">
              <w:rPr>
                <w:sz w:val="18"/>
                <w:szCs w:val="18"/>
              </w:rPr>
              <w:t>244</w:t>
            </w:r>
          </w:p>
        </w:tc>
        <w:tc>
          <w:tcPr>
            <w:tcW w:w="379" w:type="pct"/>
            <w:shd w:val="clear" w:color="auto" w:fill="auto"/>
            <w:noWrap/>
            <w:hideMark/>
          </w:tcPr>
          <w:p w14:paraId="6CE016C3" w14:textId="77777777" w:rsidR="00F96346" w:rsidRPr="005D5FAF" w:rsidRDefault="00F96346" w:rsidP="00F96346">
            <w:pPr>
              <w:jc w:val="center"/>
              <w:rPr>
                <w:sz w:val="18"/>
                <w:szCs w:val="18"/>
              </w:rPr>
            </w:pPr>
            <w:r w:rsidRPr="005D5FAF">
              <w:rPr>
                <w:sz w:val="18"/>
                <w:szCs w:val="18"/>
              </w:rPr>
              <w:t>19.5</w:t>
            </w:r>
          </w:p>
        </w:tc>
        <w:tc>
          <w:tcPr>
            <w:tcW w:w="347" w:type="pct"/>
            <w:shd w:val="clear" w:color="auto" w:fill="auto"/>
            <w:noWrap/>
            <w:hideMark/>
          </w:tcPr>
          <w:p w14:paraId="6BD61C71" w14:textId="77777777" w:rsidR="00F96346" w:rsidRPr="005D5FAF" w:rsidRDefault="00F96346" w:rsidP="00F96346">
            <w:pPr>
              <w:jc w:val="center"/>
              <w:rPr>
                <w:sz w:val="18"/>
                <w:szCs w:val="18"/>
              </w:rPr>
            </w:pPr>
            <w:r w:rsidRPr="005D5FAF">
              <w:rPr>
                <w:sz w:val="18"/>
                <w:szCs w:val="18"/>
              </w:rPr>
              <w:t>46.8</w:t>
            </w:r>
          </w:p>
        </w:tc>
        <w:tc>
          <w:tcPr>
            <w:tcW w:w="354" w:type="pct"/>
            <w:shd w:val="clear" w:color="auto" w:fill="auto"/>
            <w:noWrap/>
            <w:hideMark/>
          </w:tcPr>
          <w:p w14:paraId="100E0095" w14:textId="77777777" w:rsidR="00F96346" w:rsidRPr="005D5FAF" w:rsidRDefault="00F96346" w:rsidP="00F96346">
            <w:pPr>
              <w:jc w:val="center"/>
              <w:rPr>
                <w:sz w:val="18"/>
                <w:szCs w:val="18"/>
              </w:rPr>
            </w:pPr>
            <w:r w:rsidRPr="005D5FAF">
              <w:rPr>
                <w:sz w:val="18"/>
                <w:szCs w:val="18"/>
              </w:rPr>
              <w:t>27.4</w:t>
            </w:r>
          </w:p>
        </w:tc>
        <w:tc>
          <w:tcPr>
            <w:tcW w:w="354" w:type="pct"/>
            <w:shd w:val="clear" w:color="auto" w:fill="auto"/>
            <w:noWrap/>
            <w:hideMark/>
          </w:tcPr>
          <w:p w14:paraId="04390C67" w14:textId="77777777" w:rsidR="00F96346" w:rsidRPr="005D5FAF" w:rsidRDefault="00F96346" w:rsidP="00F96346">
            <w:pPr>
              <w:jc w:val="center"/>
              <w:rPr>
                <w:sz w:val="18"/>
                <w:szCs w:val="18"/>
              </w:rPr>
            </w:pPr>
            <w:r w:rsidRPr="005D5FAF">
              <w:rPr>
                <w:sz w:val="18"/>
                <w:szCs w:val="18"/>
              </w:rPr>
              <w:t>154.8</w:t>
            </w:r>
          </w:p>
        </w:tc>
        <w:tc>
          <w:tcPr>
            <w:tcW w:w="351" w:type="pct"/>
            <w:shd w:val="clear" w:color="auto" w:fill="auto"/>
            <w:noWrap/>
            <w:hideMark/>
          </w:tcPr>
          <w:p w14:paraId="1B9D8EB5" w14:textId="77777777" w:rsidR="00F96346" w:rsidRPr="005D5FAF" w:rsidRDefault="00F96346" w:rsidP="00F96346">
            <w:pPr>
              <w:jc w:val="center"/>
              <w:rPr>
                <w:sz w:val="18"/>
                <w:szCs w:val="18"/>
              </w:rPr>
            </w:pPr>
            <w:r w:rsidRPr="005D5FAF">
              <w:rPr>
                <w:sz w:val="18"/>
                <w:szCs w:val="18"/>
              </w:rPr>
              <w:t>51</w:t>
            </w:r>
          </w:p>
        </w:tc>
        <w:tc>
          <w:tcPr>
            <w:tcW w:w="309" w:type="pct"/>
            <w:shd w:val="clear" w:color="auto" w:fill="auto"/>
            <w:noWrap/>
            <w:hideMark/>
          </w:tcPr>
          <w:p w14:paraId="06786D94" w14:textId="77777777" w:rsidR="00F96346" w:rsidRPr="005D5FAF" w:rsidRDefault="00F96346" w:rsidP="00F96346">
            <w:pPr>
              <w:jc w:val="center"/>
              <w:rPr>
                <w:sz w:val="18"/>
                <w:szCs w:val="18"/>
              </w:rPr>
            </w:pPr>
            <w:r w:rsidRPr="005D5FAF">
              <w:rPr>
                <w:sz w:val="18"/>
                <w:szCs w:val="18"/>
              </w:rPr>
              <w:t>57.5</w:t>
            </w:r>
          </w:p>
        </w:tc>
        <w:tc>
          <w:tcPr>
            <w:tcW w:w="410" w:type="pct"/>
            <w:shd w:val="clear" w:color="auto" w:fill="auto"/>
            <w:noWrap/>
            <w:hideMark/>
          </w:tcPr>
          <w:p w14:paraId="5510869B" w14:textId="77777777" w:rsidR="00F96346" w:rsidRPr="005D5FAF" w:rsidRDefault="00F96346" w:rsidP="00F96346">
            <w:pPr>
              <w:jc w:val="center"/>
              <w:rPr>
                <w:sz w:val="18"/>
                <w:szCs w:val="18"/>
              </w:rPr>
            </w:pPr>
            <w:r w:rsidRPr="005D5FAF">
              <w:rPr>
                <w:sz w:val="18"/>
                <w:szCs w:val="18"/>
              </w:rPr>
              <w:t>1</w:t>
            </w:r>
          </w:p>
        </w:tc>
      </w:tr>
      <w:tr w:rsidR="00F54A3F" w:rsidRPr="00F96346" w14:paraId="3AEFAD42" w14:textId="77777777" w:rsidTr="00F54A3F">
        <w:trPr>
          <w:trHeight w:val="270"/>
        </w:trPr>
        <w:tc>
          <w:tcPr>
            <w:tcW w:w="1896" w:type="pct"/>
            <w:shd w:val="clear" w:color="auto" w:fill="auto"/>
            <w:noWrap/>
            <w:hideMark/>
          </w:tcPr>
          <w:p w14:paraId="47A88D83" w14:textId="77777777" w:rsidR="00F96346" w:rsidRPr="005D5FAF" w:rsidRDefault="00F96346" w:rsidP="00F96346">
            <w:pPr>
              <w:jc w:val="both"/>
              <w:rPr>
                <w:b/>
                <w:bCs/>
                <w:sz w:val="18"/>
                <w:szCs w:val="18"/>
              </w:rPr>
            </w:pPr>
            <w:r w:rsidRPr="005D5FAF">
              <w:rPr>
                <w:b/>
                <w:bCs/>
                <w:sz w:val="18"/>
                <w:szCs w:val="18"/>
              </w:rPr>
              <w:t>--Cost (% of property value)</w:t>
            </w:r>
          </w:p>
        </w:tc>
        <w:tc>
          <w:tcPr>
            <w:tcW w:w="601" w:type="pct"/>
            <w:shd w:val="clear" w:color="auto" w:fill="auto"/>
            <w:noWrap/>
            <w:hideMark/>
          </w:tcPr>
          <w:p w14:paraId="2849C06B" w14:textId="77777777" w:rsidR="00F96346" w:rsidRPr="005D5FAF" w:rsidRDefault="00F96346" w:rsidP="00F96346">
            <w:pPr>
              <w:jc w:val="center"/>
              <w:rPr>
                <w:sz w:val="18"/>
                <w:szCs w:val="18"/>
              </w:rPr>
            </w:pPr>
            <w:r w:rsidRPr="005D5FAF">
              <w:rPr>
                <w:sz w:val="18"/>
                <w:szCs w:val="18"/>
              </w:rPr>
              <w:t>7</w:t>
            </w:r>
          </w:p>
        </w:tc>
        <w:tc>
          <w:tcPr>
            <w:tcW w:w="379" w:type="pct"/>
            <w:shd w:val="clear" w:color="auto" w:fill="auto"/>
            <w:noWrap/>
            <w:hideMark/>
          </w:tcPr>
          <w:p w14:paraId="30679CF1" w14:textId="77777777" w:rsidR="00F96346" w:rsidRPr="005D5FAF" w:rsidRDefault="00F96346" w:rsidP="00F96346">
            <w:pPr>
              <w:jc w:val="center"/>
              <w:rPr>
                <w:sz w:val="18"/>
                <w:szCs w:val="18"/>
              </w:rPr>
            </w:pPr>
            <w:r w:rsidRPr="005D5FAF">
              <w:rPr>
                <w:sz w:val="18"/>
                <w:szCs w:val="18"/>
              </w:rPr>
              <w:t>3.4</w:t>
            </w:r>
          </w:p>
        </w:tc>
        <w:tc>
          <w:tcPr>
            <w:tcW w:w="347" w:type="pct"/>
            <w:shd w:val="clear" w:color="auto" w:fill="auto"/>
            <w:noWrap/>
            <w:hideMark/>
          </w:tcPr>
          <w:p w14:paraId="11FC9BC0" w14:textId="77777777" w:rsidR="00F96346" w:rsidRPr="005D5FAF" w:rsidRDefault="00F96346" w:rsidP="00F96346">
            <w:pPr>
              <w:jc w:val="center"/>
              <w:rPr>
                <w:sz w:val="18"/>
                <w:szCs w:val="18"/>
              </w:rPr>
            </w:pPr>
            <w:r w:rsidRPr="005D5FAF">
              <w:rPr>
                <w:sz w:val="18"/>
                <w:szCs w:val="18"/>
              </w:rPr>
              <w:t>7.7</w:t>
            </w:r>
          </w:p>
        </w:tc>
        <w:tc>
          <w:tcPr>
            <w:tcW w:w="354" w:type="pct"/>
            <w:shd w:val="clear" w:color="auto" w:fill="auto"/>
            <w:noWrap/>
            <w:hideMark/>
          </w:tcPr>
          <w:p w14:paraId="22EFD231" w14:textId="77777777" w:rsidR="00F96346" w:rsidRPr="005D5FAF" w:rsidRDefault="00F96346" w:rsidP="00F96346">
            <w:pPr>
              <w:jc w:val="center"/>
              <w:rPr>
                <w:sz w:val="18"/>
                <w:szCs w:val="18"/>
              </w:rPr>
            </w:pPr>
            <w:r w:rsidRPr="005D5FAF">
              <w:rPr>
                <w:sz w:val="18"/>
                <w:szCs w:val="18"/>
              </w:rPr>
              <w:t>10.8</w:t>
            </w:r>
          </w:p>
        </w:tc>
        <w:tc>
          <w:tcPr>
            <w:tcW w:w="354" w:type="pct"/>
            <w:shd w:val="clear" w:color="auto" w:fill="auto"/>
            <w:noWrap/>
            <w:hideMark/>
          </w:tcPr>
          <w:p w14:paraId="655F798A" w14:textId="77777777" w:rsidR="00F96346" w:rsidRPr="005D5FAF" w:rsidRDefault="00F96346" w:rsidP="00F96346">
            <w:pPr>
              <w:jc w:val="center"/>
              <w:rPr>
                <w:sz w:val="18"/>
                <w:szCs w:val="18"/>
              </w:rPr>
            </w:pPr>
            <w:r w:rsidRPr="005D5FAF">
              <w:rPr>
                <w:sz w:val="18"/>
                <w:szCs w:val="18"/>
              </w:rPr>
              <w:t>4.6</w:t>
            </w:r>
          </w:p>
        </w:tc>
        <w:tc>
          <w:tcPr>
            <w:tcW w:w="351" w:type="pct"/>
            <w:shd w:val="clear" w:color="auto" w:fill="auto"/>
            <w:noWrap/>
            <w:hideMark/>
          </w:tcPr>
          <w:p w14:paraId="1AC697E0" w14:textId="77777777" w:rsidR="00F96346" w:rsidRPr="005D5FAF" w:rsidRDefault="00F96346" w:rsidP="00F96346">
            <w:pPr>
              <w:jc w:val="center"/>
              <w:rPr>
                <w:sz w:val="18"/>
                <w:szCs w:val="18"/>
              </w:rPr>
            </w:pPr>
            <w:r w:rsidRPr="005D5FAF">
              <w:rPr>
                <w:sz w:val="18"/>
                <w:szCs w:val="18"/>
              </w:rPr>
              <w:t>5.1</w:t>
            </w:r>
          </w:p>
        </w:tc>
        <w:tc>
          <w:tcPr>
            <w:tcW w:w="309" w:type="pct"/>
            <w:shd w:val="clear" w:color="auto" w:fill="auto"/>
            <w:noWrap/>
            <w:hideMark/>
          </w:tcPr>
          <w:p w14:paraId="4FBD1FB3" w14:textId="77777777" w:rsidR="00F96346" w:rsidRPr="005D5FAF" w:rsidRDefault="00F96346" w:rsidP="00F96346">
            <w:pPr>
              <w:jc w:val="center"/>
              <w:rPr>
                <w:sz w:val="18"/>
                <w:szCs w:val="18"/>
              </w:rPr>
            </w:pPr>
            <w:r w:rsidRPr="005D5FAF">
              <w:rPr>
                <w:sz w:val="18"/>
                <w:szCs w:val="18"/>
              </w:rPr>
              <w:t>0.6</w:t>
            </w:r>
          </w:p>
        </w:tc>
        <w:tc>
          <w:tcPr>
            <w:tcW w:w="410" w:type="pct"/>
            <w:shd w:val="clear" w:color="auto" w:fill="auto"/>
            <w:noWrap/>
            <w:hideMark/>
          </w:tcPr>
          <w:p w14:paraId="25760021" w14:textId="77777777" w:rsidR="00F96346" w:rsidRPr="005D5FAF" w:rsidRDefault="00F96346" w:rsidP="00F96346">
            <w:pPr>
              <w:jc w:val="center"/>
              <w:rPr>
                <w:sz w:val="18"/>
                <w:szCs w:val="18"/>
              </w:rPr>
            </w:pPr>
            <w:r w:rsidRPr="005D5FAF">
              <w:rPr>
                <w:sz w:val="18"/>
                <w:szCs w:val="18"/>
              </w:rPr>
              <w:t>0</w:t>
            </w:r>
          </w:p>
        </w:tc>
      </w:tr>
      <w:tr w:rsidR="00F54A3F" w:rsidRPr="00F96346" w14:paraId="65BFAA21" w14:textId="77777777" w:rsidTr="00F54A3F">
        <w:trPr>
          <w:trHeight w:val="205"/>
        </w:trPr>
        <w:tc>
          <w:tcPr>
            <w:tcW w:w="1896" w:type="pct"/>
            <w:shd w:val="clear" w:color="auto" w:fill="auto"/>
            <w:noWrap/>
            <w:hideMark/>
          </w:tcPr>
          <w:p w14:paraId="17D68A75" w14:textId="77777777" w:rsidR="00F96346" w:rsidRPr="005D5FAF" w:rsidRDefault="00F96346" w:rsidP="00F96346">
            <w:pPr>
              <w:jc w:val="both"/>
              <w:rPr>
                <w:b/>
                <w:bCs/>
                <w:sz w:val="18"/>
                <w:szCs w:val="18"/>
              </w:rPr>
            </w:pPr>
            <w:r w:rsidRPr="005D5FAF">
              <w:rPr>
                <w:b/>
                <w:bCs/>
                <w:sz w:val="18"/>
                <w:szCs w:val="18"/>
              </w:rPr>
              <w:t>5. Getting credit</w:t>
            </w:r>
          </w:p>
        </w:tc>
        <w:tc>
          <w:tcPr>
            <w:tcW w:w="601" w:type="pct"/>
            <w:shd w:val="clear" w:color="auto" w:fill="auto"/>
            <w:noWrap/>
            <w:hideMark/>
          </w:tcPr>
          <w:p w14:paraId="1C8A56F0" w14:textId="77777777" w:rsidR="00F96346" w:rsidRPr="005D5FAF" w:rsidRDefault="00F96346" w:rsidP="00F96346">
            <w:pPr>
              <w:jc w:val="center"/>
              <w:rPr>
                <w:sz w:val="18"/>
                <w:szCs w:val="18"/>
              </w:rPr>
            </w:pPr>
          </w:p>
        </w:tc>
        <w:tc>
          <w:tcPr>
            <w:tcW w:w="379" w:type="pct"/>
            <w:shd w:val="clear" w:color="auto" w:fill="auto"/>
            <w:noWrap/>
            <w:hideMark/>
          </w:tcPr>
          <w:p w14:paraId="02360404" w14:textId="77777777" w:rsidR="00F96346" w:rsidRPr="005D5FAF" w:rsidRDefault="00F96346" w:rsidP="00F96346">
            <w:pPr>
              <w:jc w:val="center"/>
              <w:rPr>
                <w:sz w:val="18"/>
                <w:szCs w:val="18"/>
              </w:rPr>
            </w:pPr>
          </w:p>
        </w:tc>
        <w:tc>
          <w:tcPr>
            <w:tcW w:w="347" w:type="pct"/>
            <w:shd w:val="clear" w:color="auto" w:fill="auto"/>
            <w:noWrap/>
            <w:hideMark/>
          </w:tcPr>
          <w:p w14:paraId="6D44C439" w14:textId="77777777" w:rsidR="00F96346" w:rsidRPr="005D5FAF" w:rsidRDefault="00F96346" w:rsidP="00F96346">
            <w:pPr>
              <w:jc w:val="center"/>
              <w:rPr>
                <w:sz w:val="18"/>
                <w:szCs w:val="18"/>
              </w:rPr>
            </w:pPr>
          </w:p>
        </w:tc>
        <w:tc>
          <w:tcPr>
            <w:tcW w:w="354" w:type="pct"/>
            <w:shd w:val="clear" w:color="auto" w:fill="auto"/>
            <w:noWrap/>
            <w:hideMark/>
          </w:tcPr>
          <w:p w14:paraId="0228B673" w14:textId="77777777" w:rsidR="00F96346" w:rsidRPr="005D5FAF" w:rsidRDefault="00F96346" w:rsidP="00F96346">
            <w:pPr>
              <w:jc w:val="center"/>
              <w:rPr>
                <w:sz w:val="18"/>
                <w:szCs w:val="18"/>
              </w:rPr>
            </w:pPr>
          </w:p>
        </w:tc>
        <w:tc>
          <w:tcPr>
            <w:tcW w:w="354" w:type="pct"/>
            <w:shd w:val="clear" w:color="auto" w:fill="auto"/>
            <w:noWrap/>
            <w:hideMark/>
          </w:tcPr>
          <w:p w14:paraId="6EEC0801" w14:textId="77777777" w:rsidR="00F96346" w:rsidRPr="005D5FAF" w:rsidRDefault="00F96346" w:rsidP="00F96346">
            <w:pPr>
              <w:jc w:val="center"/>
              <w:rPr>
                <w:sz w:val="18"/>
                <w:szCs w:val="18"/>
              </w:rPr>
            </w:pPr>
          </w:p>
        </w:tc>
        <w:tc>
          <w:tcPr>
            <w:tcW w:w="351" w:type="pct"/>
            <w:shd w:val="clear" w:color="auto" w:fill="auto"/>
            <w:noWrap/>
            <w:hideMark/>
          </w:tcPr>
          <w:p w14:paraId="6FFC1156" w14:textId="77777777" w:rsidR="00F96346" w:rsidRPr="005D5FAF" w:rsidRDefault="00F96346" w:rsidP="00F96346">
            <w:pPr>
              <w:jc w:val="center"/>
              <w:rPr>
                <w:sz w:val="18"/>
                <w:szCs w:val="18"/>
              </w:rPr>
            </w:pPr>
          </w:p>
        </w:tc>
        <w:tc>
          <w:tcPr>
            <w:tcW w:w="309" w:type="pct"/>
            <w:shd w:val="clear" w:color="auto" w:fill="auto"/>
            <w:noWrap/>
            <w:hideMark/>
          </w:tcPr>
          <w:p w14:paraId="343214A4" w14:textId="77777777" w:rsidR="00F96346" w:rsidRPr="005D5FAF" w:rsidRDefault="00F96346" w:rsidP="00F96346">
            <w:pPr>
              <w:jc w:val="center"/>
              <w:rPr>
                <w:sz w:val="18"/>
                <w:szCs w:val="18"/>
              </w:rPr>
            </w:pPr>
          </w:p>
        </w:tc>
        <w:tc>
          <w:tcPr>
            <w:tcW w:w="410" w:type="pct"/>
            <w:shd w:val="clear" w:color="auto" w:fill="auto"/>
            <w:noWrap/>
            <w:hideMark/>
          </w:tcPr>
          <w:p w14:paraId="004EAFEC" w14:textId="77777777" w:rsidR="00F96346" w:rsidRPr="005D5FAF" w:rsidRDefault="00F96346" w:rsidP="00F96346">
            <w:pPr>
              <w:jc w:val="center"/>
              <w:rPr>
                <w:sz w:val="18"/>
                <w:szCs w:val="18"/>
              </w:rPr>
            </w:pPr>
          </w:p>
        </w:tc>
      </w:tr>
      <w:tr w:rsidR="00F54A3F" w:rsidRPr="00F96346" w14:paraId="1116DDE0" w14:textId="77777777" w:rsidTr="00F54A3F">
        <w:trPr>
          <w:trHeight w:val="252"/>
        </w:trPr>
        <w:tc>
          <w:tcPr>
            <w:tcW w:w="1896" w:type="pct"/>
            <w:shd w:val="clear" w:color="auto" w:fill="auto"/>
            <w:noWrap/>
            <w:hideMark/>
          </w:tcPr>
          <w:p w14:paraId="04EE9314" w14:textId="77777777" w:rsidR="00F96346" w:rsidRPr="005D5FAF" w:rsidRDefault="00F96346" w:rsidP="00F96346">
            <w:pPr>
              <w:jc w:val="both"/>
              <w:rPr>
                <w:b/>
                <w:bCs/>
                <w:sz w:val="18"/>
                <w:szCs w:val="18"/>
              </w:rPr>
            </w:pPr>
            <w:r w:rsidRPr="005D5FAF">
              <w:rPr>
                <w:b/>
                <w:bCs/>
                <w:sz w:val="18"/>
                <w:szCs w:val="18"/>
              </w:rPr>
              <w:t>--Strength of legal rights index (0-12)</w:t>
            </w:r>
          </w:p>
        </w:tc>
        <w:tc>
          <w:tcPr>
            <w:tcW w:w="601" w:type="pct"/>
            <w:shd w:val="clear" w:color="auto" w:fill="auto"/>
            <w:noWrap/>
            <w:hideMark/>
          </w:tcPr>
          <w:p w14:paraId="4F8D1505" w14:textId="77777777" w:rsidR="00F96346" w:rsidRPr="005D5FAF" w:rsidRDefault="00F96346" w:rsidP="00F96346">
            <w:pPr>
              <w:jc w:val="center"/>
              <w:rPr>
                <w:sz w:val="18"/>
                <w:szCs w:val="18"/>
              </w:rPr>
            </w:pPr>
            <w:r w:rsidRPr="005D5FAF">
              <w:rPr>
                <w:sz w:val="18"/>
                <w:szCs w:val="18"/>
              </w:rPr>
              <w:t>5</w:t>
            </w:r>
          </w:p>
        </w:tc>
        <w:tc>
          <w:tcPr>
            <w:tcW w:w="379" w:type="pct"/>
            <w:shd w:val="clear" w:color="auto" w:fill="auto"/>
            <w:noWrap/>
            <w:hideMark/>
          </w:tcPr>
          <w:p w14:paraId="726C47D7" w14:textId="77777777" w:rsidR="00F96346" w:rsidRPr="005D5FAF" w:rsidRDefault="00F96346" w:rsidP="00F96346">
            <w:pPr>
              <w:jc w:val="center"/>
              <w:rPr>
                <w:sz w:val="18"/>
                <w:szCs w:val="18"/>
              </w:rPr>
            </w:pPr>
            <w:r w:rsidRPr="005D5FAF">
              <w:rPr>
                <w:sz w:val="18"/>
                <w:szCs w:val="18"/>
              </w:rPr>
              <w:t>4</w:t>
            </w:r>
          </w:p>
        </w:tc>
        <w:tc>
          <w:tcPr>
            <w:tcW w:w="347" w:type="pct"/>
            <w:shd w:val="clear" w:color="auto" w:fill="auto"/>
            <w:noWrap/>
            <w:hideMark/>
          </w:tcPr>
          <w:p w14:paraId="3F0CF9F1" w14:textId="77777777" w:rsidR="00F96346" w:rsidRPr="005D5FAF" w:rsidRDefault="00F96346" w:rsidP="00F96346">
            <w:pPr>
              <w:jc w:val="center"/>
              <w:rPr>
                <w:sz w:val="18"/>
                <w:szCs w:val="18"/>
              </w:rPr>
            </w:pPr>
            <w:r w:rsidRPr="005D5FAF">
              <w:rPr>
                <w:sz w:val="18"/>
                <w:szCs w:val="18"/>
              </w:rPr>
              <w:t>6</w:t>
            </w:r>
          </w:p>
        </w:tc>
        <w:tc>
          <w:tcPr>
            <w:tcW w:w="354" w:type="pct"/>
            <w:shd w:val="clear" w:color="auto" w:fill="auto"/>
            <w:noWrap/>
            <w:hideMark/>
          </w:tcPr>
          <w:p w14:paraId="6FDD6FAF" w14:textId="77777777" w:rsidR="00F96346" w:rsidRPr="005D5FAF" w:rsidRDefault="00F96346" w:rsidP="00F96346">
            <w:pPr>
              <w:jc w:val="center"/>
              <w:rPr>
                <w:sz w:val="18"/>
                <w:szCs w:val="18"/>
              </w:rPr>
            </w:pPr>
            <w:r w:rsidRPr="005D5FAF">
              <w:rPr>
                <w:sz w:val="18"/>
                <w:szCs w:val="18"/>
              </w:rPr>
              <w:t>6</w:t>
            </w:r>
          </w:p>
        </w:tc>
        <w:tc>
          <w:tcPr>
            <w:tcW w:w="354" w:type="pct"/>
            <w:shd w:val="clear" w:color="auto" w:fill="auto"/>
            <w:noWrap/>
            <w:hideMark/>
          </w:tcPr>
          <w:p w14:paraId="1D128450" w14:textId="77777777" w:rsidR="00F96346" w:rsidRPr="005D5FAF" w:rsidRDefault="00F96346" w:rsidP="00F96346">
            <w:pPr>
              <w:jc w:val="center"/>
              <w:rPr>
                <w:sz w:val="18"/>
                <w:szCs w:val="18"/>
              </w:rPr>
            </w:pPr>
            <w:r w:rsidRPr="005D5FAF">
              <w:rPr>
                <w:sz w:val="18"/>
                <w:szCs w:val="18"/>
              </w:rPr>
              <w:t>3</w:t>
            </w:r>
          </w:p>
        </w:tc>
        <w:tc>
          <w:tcPr>
            <w:tcW w:w="351" w:type="pct"/>
            <w:shd w:val="clear" w:color="auto" w:fill="auto"/>
            <w:noWrap/>
            <w:hideMark/>
          </w:tcPr>
          <w:p w14:paraId="6A6AAEBA" w14:textId="77777777" w:rsidR="00F96346" w:rsidRPr="005D5FAF" w:rsidRDefault="00F96346" w:rsidP="00F96346">
            <w:pPr>
              <w:jc w:val="center"/>
              <w:rPr>
                <w:sz w:val="18"/>
                <w:szCs w:val="18"/>
              </w:rPr>
            </w:pPr>
            <w:r w:rsidRPr="005D5FAF">
              <w:rPr>
                <w:sz w:val="18"/>
                <w:szCs w:val="18"/>
              </w:rPr>
              <w:t>2</w:t>
            </w:r>
          </w:p>
        </w:tc>
        <w:tc>
          <w:tcPr>
            <w:tcW w:w="309" w:type="pct"/>
            <w:shd w:val="clear" w:color="auto" w:fill="auto"/>
            <w:noWrap/>
            <w:hideMark/>
          </w:tcPr>
          <w:p w14:paraId="19BE0238" w14:textId="77777777" w:rsidR="00F96346" w:rsidRPr="005D5FAF" w:rsidRDefault="00F96346" w:rsidP="00F96346">
            <w:pPr>
              <w:jc w:val="center"/>
              <w:rPr>
                <w:sz w:val="18"/>
                <w:szCs w:val="18"/>
              </w:rPr>
            </w:pPr>
            <w:r w:rsidRPr="005D5FAF">
              <w:rPr>
                <w:sz w:val="18"/>
                <w:szCs w:val="18"/>
              </w:rPr>
              <w:t>7</w:t>
            </w:r>
          </w:p>
        </w:tc>
        <w:tc>
          <w:tcPr>
            <w:tcW w:w="410" w:type="pct"/>
            <w:shd w:val="clear" w:color="auto" w:fill="auto"/>
            <w:noWrap/>
            <w:hideMark/>
          </w:tcPr>
          <w:p w14:paraId="2967E05B" w14:textId="77777777" w:rsidR="00F96346" w:rsidRPr="005D5FAF" w:rsidRDefault="00F96346" w:rsidP="00F96346">
            <w:pPr>
              <w:jc w:val="center"/>
              <w:rPr>
                <w:sz w:val="18"/>
                <w:szCs w:val="18"/>
              </w:rPr>
            </w:pPr>
            <w:r w:rsidRPr="005D5FAF">
              <w:rPr>
                <w:sz w:val="18"/>
                <w:szCs w:val="18"/>
              </w:rPr>
              <w:t>12</w:t>
            </w:r>
          </w:p>
        </w:tc>
      </w:tr>
      <w:tr w:rsidR="00F54A3F" w:rsidRPr="00F96346" w14:paraId="22DDBC41" w14:textId="77777777" w:rsidTr="00F54A3F">
        <w:trPr>
          <w:trHeight w:val="225"/>
        </w:trPr>
        <w:tc>
          <w:tcPr>
            <w:tcW w:w="1896" w:type="pct"/>
            <w:shd w:val="clear" w:color="auto" w:fill="auto"/>
            <w:noWrap/>
            <w:hideMark/>
          </w:tcPr>
          <w:p w14:paraId="354A938C" w14:textId="77777777" w:rsidR="00F96346" w:rsidRPr="005D5FAF" w:rsidRDefault="00F96346" w:rsidP="00F96346">
            <w:pPr>
              <w:jc w:val="both"/>
              <w:rPr>
                <w:b/>
                <w:bCs/>
                <w:sz w:val="18"/>
                <w:szCs w:val="18"/>
              </w:rPr>
            </w:pPr>
            <w:r w:rsidRPr="005D5FAF">
              <w:rPr>
                <w:b/>
                <w:bCs/>
                <w:sz w:val="18"/>
                <w:szCs w:val="18"/>
              </w:rPr>
              <w:t xml:space="preserve">--Depth of credit info index (0-8) </w:t>
            </w:r>
          </w:p>
        </w:tc>
        <w:tc>
          <w:tcPr>
            <w:tcW w:w="601" w:type="pct"/>
            <w:shd w:val="clear" w:color="auto" w:fill="auto"/>
            <w:noWrap/>
            <w:hideMark/>
          </w:tcPr>
          <w:p w14:paraId="090B2C0B" w14:textId="77777777" w:rsidR="00F96346" w:rsidRPr="005D5FAF" w:rsidRDefault="00F96346" w:rsidP="00F96346">
            <w:pPr>
              <w:jc w:val="center"/>
              <w:rPr>
                <w:sz w:val="18"/>
                <w:szCs w:val="18"/>
              </w:rPr>
            </w:pPr>
            <w:r w:rsidRPr="005D5FAF">
              <w:rPr>
                <w:sz w:val="18"/>
                <w:szCs w:val="18"/>
              </w:rPr>
              <w:t>0</w:t>
            </w:r>
          </w:p>
        </w:tc>
        <w:tc>
          <w:tcPr>
            <w:tcW w:w="379" w:type="pct"/>
            <w:shd w:val="clear" w:color="auto" w:fill="auto"/>
            <w:noWrap/>
            <w:hideMark/>
          </w:tcPr>
          <w:p w14:paraId="0CA54EBB" w14:textId="77777777" w:rsidR="00F96346" w:rsidRPr="005D5FAF" w:rsidRDefault="00F96346" w:rsidP="00F96346">
            <w:pPr>
              <w:jc w:val="center"/>
              <w:rPr>
                <w:sz w:val="18"/>
                <w:szCs w:val="18"/>
              </w:rPr>
            </w:pPr>
            <w:r w:rsidRPr="005D5FAF">
              <w:rPr>
                <w:sz w:val="18"/>
                <w:szCs w:val="18"/>
              </w:rPr>
              <w:t>8</w:t>
            </w:r>
          </w:p>
        </w:tc>
        <w:tc>
          <w:tcPr>
            <w:tcW w:w="347" w:type="pct"/>
            <w:shd w:val="clear" w:color="auto" w:fill="auto"/>
            <w:noWrap/>
            <w:hideMark/>
          </w:tcPr>
          <w:p w14:paraId="3CCA2045" w14:textId="77777777" w:rsidR="00F96346" w:rsidRPr="005D5FAF" w:rsidRDefault="00F96346" w:rsidP="00F96346">
            <w:pPr>
              <w:jc w:val="center"/>
              <w:rPr>
                <w:sz w:val="18"/>
                <w:szCs w:val="18"/>
              </w:rPr>
            </w:pPr>
            <w:r w:rsidRPr="005D5FAF">
              <w:rPr>
                <w:sz w:val="18"/>
                <w:szCs w:val="18"/>
              </w:rPr>
              <w:t>7</w:t>
            </w:r>
          </w:p>
        </w:tc>
        <w:tc>
          <w:tcPr>
            <w:tcW w:w="354" w:type="pct"/>
            <w:shd w:val="clear" w:color="auto" w:fill="auto"/>
            <w:noWrap/>
            <w:hideMark/>
          </w:tcPr>
          <w:p w14:paraId="3144C3B8" w14:textId="77777777" w:rsidR="00F96346" w:rsidRPr="005D5FAF" w:rsidRDefault="00F96346" w:rsidP="00F96346">
            <w:pPr>
              <w:jc w:val="center"/>
              <w:rPr>
                <w:sz w:val="18"/>
                <w:szCs w:val="18"/>
              </w:rPr>
            </w:pPr>
            <w:r w:rsidRPr="005D5FAF">
              <w:rPr>
                <w:sz w:val="18"/>
                <w:szCs w:val="18"/>
              </w:rPr>
              <w:t>6</w:t>
            </w:r>
          </w:p>
        </w:tc>
        <w:tc>
          <w:tcPr>
            <w:tcW w:w="354" w:type="pct"/>
            <w:shd w:val="clear" w:color="auto" w:fill="auto"/>
            <w:noWrap/>
            <w:hideMark/>
          </w:tcPr>
          <w:p w14:paraId="36153CB7" w14:textId="77777777" w:rsidR="00F96346" w:rsidRPr="005D5FAF" w:rsidRDefault="00F96346" w:rsidP="00F96346">
            <w:pPr>
              <w:jc w:val="center"/>
              <w:rPr>
                <w:sz w:val="18"/>
                <w:szCs w:val="18"/>
              </w:rPr>
            </w:pPr>
            <w:r w:rsidRPr="005D5FAF">
              <w:rPr>
                <w:sz w:val="18"/>
                <w:szCs w:val="18"/>
              </w:rPr>
              <w:t>7</w:t>
            </w:r>
          </w:p>
        </w:tc>
        <w:tc>
          <w:tcPr>
            <w:tcW w:w="351" w:type="pct"/>
            <w:shd w:val="clear" w:color="auto" w:fill="auto"/>
            <w:noWrap/>
            <w:hideMark/>
          </w:tcPr>
          <w:p w14:paraId="67C70E45" w14:textId="77777777" w:rsidR="00F96346" w:rsidRPr="005D5FAF" w:rsidRDefault="00F96346" w:rsidP="00F96346">
            <w:pPr>
              <w:jc w:val="center"/>
              <w:rPr>
                <w:sz w:val="18"/>
                <w:szCs w:val="18"/>
              </w:rPr>
            </w:pPr>
            <w:r w:rsidRPr="005D5FAF">
              <w:rPr>
                <w:sz w:val="18"/>
                <w:szCs w:val="18"/>
              </w:rPr>
              <w:t>6</w:t>
            </w:r>
          </w:p>
        </w:tc>
        <w:tc>
          <w:tcPr>
            <w:tcW w:w="309" w:type="pct"/>
            <w:shd w:val="clear" w:color="auto" w:fill="auto"/>
            <w:noWrap/>
            <w:hideMark/>
          </w:tcPr>
          <w:p w14:paraId="5A7B6C71" w14:textId="77777777" w:rsidR="00F96346" w:rsidRPr="005D5FAF" w:rsidRDefault="00F96346" w:rsidP="00F96346">
            <w:pPr>
              <w:jc w:val="center"/>
              <w:rPr>
                <w:sz w:val="18"/>
                <w:szCs w:val="18"/>
              </w:rPr>
            </w:pPr>
            <w:r w:rsidRPr="005D5FAF">
              <w:rPr>
                <w:sz w:val="18"/>
                <w:szCs w:val="18"/>
              </w:rPr>
              <w:t>7</w:t>
            </w:r>
          </w:p>
        </w:tc>
        <w:tc>
          <w:tcPr>
            <w:tcW w:w="410" w:type="pct"/>
            <w:shd w:val="clear" w:color="auto" w:fill="auto"/>
            <w:noWrap/>
            <w:hideMark/>
          </w:tcPr>
          <w:p w14:paraId="4BFC2329" w14:textId="77777777" w:rsidR="00F96346" w:rsidRPr="005D5FAF" w:rsidRDefault="00F96346" w:rsidP="00F96346">
            <w:pPr>
              <w:jc w:val="center"/>
              <w:rPr>
                <w:sz w:val="18"/>
                <w:szCs w:val="18"/>
              </w:rPr>
            </w:pPr>
            <w:r w:rsidRPr="005D5FAF">
              <w:rPr>
                <w:sz w:val="18"/>
                <w:szCs w:val="18"/>
              </w:rPr>
              <w:t>8</w:t>
            </w:r>
          </w:p>
        </w:tc>
      </w:tr>
      <w:tr w:rsidR="00F54A3F" w:rsidRPr="00F96346" w14:paraId="4BF40E4B" w14:textId="77777777" w:rsidTr="00F54A3F">
        <w:trPr>
          <w:trHeight w:val="288"/>
        </w:trPr>
        <w:tc>
          <w:tcPr>
            <w:tcW w:w="1896" w:type="pct"/>
            <w:shd w:val="clear" w:color="auto" w:fill="auto"/>
            <w:noWrap/>
            <w:hideMark/>
          </w:tcPr>
          <w:p w14:paraId="2F8BD3B8" w14:textId="77777777" w:rsidR="00F96346" w:rsidRPr="005D5FAF" w:rsidRDefault="00F96346" w:rsidP="00F96346">
            <w:pPr>
              <w:jc w:val="both"/>
              <w:rPr>
                <w:b/>
                <w:bCs/>
                <w:sz w:val="18"/>
                <w:szCs w:val="18"/>
              </w:rPr>
            </w:pPr>
            <w:r w:rsidRPr="005D5FAF">
              <w:rPr>
                <w:b/>
                <w:bCs/>
                <w:sz w:val="18"/>
                <w:szCs w:val="18"/>
              </w:rPr>
              <w:t>--Credit registry coverage (% of adults)</w:t>
            </w:r>
          </w:p>
        </w:tc>
        <w:tc>
          <w:tcPr>
            <w:tcW w:w="601" w:type="pct"/>
            <w:shd w:val="clear" w:color="auto" w:fill="auto"/>
            <w:noWrap/>
            <w:hideMark/>
          </w:tcPr>
          <w:p w14:paraId="224605F9" w14:textId="77777777" w:rsidR="00F96346" w:rsidRPr="005D5FAF" w:rsidRDefault="00F96346" w:rsidP="00F96346">
            <w:pPr>
              <w:jc w:val="center"/>
              <w:rPr>
                <w:sz w:val="18"/>
                <w:szCs w:val="18"/>
              </w:rPr>
            </w:pPr>
            <w:r w:rsidRPr="005D5FAF">
              <w:rPr>
                <w:sz w:val="18"/>
                <w:szCs w:val="18"/>
              </w:rPr>
              <w:t>0.9</w:t>
            </w:r>
          </w:p>
        </w:tc>
        <w:tc>
          <w:tcPr>
            <w:tcW w:w="379" w:type="pct"/>
            <w:shd w:val="clear" w:color="auto" w:fill="auto"/>
            <w:noWrap/>
            <w:hideMark/>
          </w:tcPr>
          <w:p w14:paraId="735FE9E9" w14:textId="77777777" w:rsidR="00F96346" w:rsidRPr="005D5FAF" w:rsidRDefault="00F96346" w:rsidP="00F96346">
            <w:pPr>
              <w:jc w:val="center"/>
              <w:rPr>
                <w:sz w:val="18"/>
                <w:szCs w:val="18"/>
              </w:rPr>
            </w:pPr>
            <w:r w:rsidRPr="005D5FAF">
              <w:rPr>
                <w:sz w:val="18"/>
                <w:szCs w:val="18"/>
              </w:rPr>
              <w:t>91.1</w:t>
            </w:r>
          </w:p>
        </w:tc>
        <w:tc>
          <w:tcPr>
            <w:tcW w:w="347" w:type="pct"/>
            <w:shd w:val="clear" w:color="auto" w:fill="auto"/>
            <w:noWrap/>
            <w:hideMark/>
          </w:tcPr>
          <w:p w14:paraId="419D8249" w14:textId="77777777" w:rsidR="00F96346" w:rsidRPr="005D5FAF" w:rsidRDefault="00F96346" w:rsidP="00F96346">
            <w:pPr>
              <w:jc w:val="center"/>
              <w:rPr>
                <w:sz w:val="18"/>
                <w:szCs w:val="18"/>
              </w:rPr>
            </w:pPr>
            <w:r w:rsidRPr="005D5FAF">
              <w:rPr>
                <w:sz w:val="18"/>
                <w:szCs w:val="18"/>
              </w:rPr>
              <w:t>0</w:t>
            </w:r>
          </w:p>
        </w:tc>
        <w:tc>
          <w:tcPr>
            <w:tcW w:w="354" w:type="pct"/>
            <w:shd w:val="clear" w:color="auto" w:fill="auto"/>
            <w:noWrap/>
            <w:hideMark/>
          </w:tcPr>
          <w:p w14:paraId="529C0110" w14:textId="77777777" w:rsidR="00F96346" w:rsidRPr="005D5FAF" w:rsidRDefault="00F96346" w:rsidP="00F96346">
            <w:pPr>
              <w:jc w:val="center"/>
              <w:rPr>
                <w:sz w:val="18"/>
                <w:szCs w:val="18"/>
              </w:rPr>
            </w:pPr>
            <w:r w:rsidRPr="005D5FAF">
              <w:rPr>
                <w:sz w:val="18"/>
                <w:szCs w:val="18"/>
              </w:rPr>
              <w:t>51.8</w:t>
            </w:r>
          </w:p>
        </w:tc>
        <w:tc>
          <w:tcPr>
            <w:tcW w:w="354" w:type="pct"/>
            <w:shd w:val="clear" w:color="auto" w:fill="auto"/>
            <w:noWrap/>
            <w:hideMark/>
          </w:tcPr>
          <w:p w14:paraId="45E194C9" w14:textId="77777777" w:rsidR="00F96346" w:rsidRPr="005D5FAF" w:rsidRDefault="00F96346" w:rsidP="00F96346">
            <w:pPr>
              <w:jc w:val="center"/>
              <w:rPr>
                <w:sz w:val="18"/>
                <w:szCs w:val="18"/>
              </w:rPr>
            </w:pPr>
            <w:r w:rsidRPr="005D5FAF">
              <w:rPr>
                <w:sz w:val="18"/>
                <w:szCs w:val="18"/>
              </w:rPr>
              <w:t>9.4</w:t>
            </w:r>
          </w:p>
        </w:tc>
        <w:tc>
          <w:tcPr>
            <w:tcW w:w="351" w:type="pct"/>
            <w:shd w:val="clear" w:color="auto" w:fill="auto"/>
            <w:noWrap/>
            <w:hideMark/>
          </w:tcPr>
          <w:p w14:paraId="7A15B1EA" w14:textId="77777777" w:rsidR="00F96346" w:rsidRPr="005D5FAF" w:rsidRDefault="00F96346" w:rsidP="00F96346">
            <w:pPr>
              <w:jc w:val="center"/>
              <w:rPr>
                <w:sz w:val="18"/>
                <w:szCs w:val="18"/>
              </w:rPr>
            </w:pPr>
            <w:r w:rsidRPr="005D5FAF">
              <w:rPr>
                <w:sz w:val="18"/>
                <w:szCs w:val="18"/>
              </w:rPr>
              <w:t>0</w:t>
            </w:r>
          </w:p>
        </w:tc>
        <w:tc>
          <w:tcPr>
            <w:tcW w:w="309" w:type="pct"/>
            <w:shd w:val="clear" w:color="auto" w:fill="auto"/>
            <w:noWrap/>
            <w:hideMark/>
          </w:tcPr>
          <w:p w14:paraId="2D57687A" w14:textId="77777777" w:rsidR="00F96346" w:rsidRPr="005D5FAF" w:rsidRDefault="00F96346" w:rsidP="00F96346">
            <w:pPr>
              <w:jc w:val="center"/>
              <w:rPr>
                <w:sz w:val="18"/>
                <w:szCs w:val="18"/>
              </w:rPr>
            </w:pPr>
            <w:r w:rsidRPr="005D5FAF">
              <w:rPr>
                <w:sz w:val="18"/>
                <w:szCs w:val="18"/>
              </w:rPr>
              <w:t>41.8</w:t>
            </w:r>
          </w:p>
        </w:tc>
        <w:tc>
          <w:tcPr>
            <w:tcW w:w="410" w:type="pct"/>
            <w:shd w:val="clear" w:color="auto" w:fill="auto"/>
            <w:noWrap/>
            <w:hideMark/>
          </w:tcPr>
          <w:p w14:paraId="0D4FDD93" w14:textId="77777777" w:rsidR="00F96346" w:rsidRPr="005D5FAF" w:rsidRDefault="00F96346" w:rsidP="00F96346">
            <w:pPr>
              <w:jc w:val="center"/>
              <w:rPr>
                <w:sz w:val="18"/>
                <w:szCs w:val="18"/>
              </w:rPr>
            </w:pPr>
            <w:r w:rsidRPr="005D5FAF">
              <w:rPr>
                <w:sz w:val="18"/>
                <w:szCs w:val="18"/>
              </w:rPr>
              <w:t>100</w:t>
            </w:r>
          </w:p>
        </w:tc>
      </w:tr>
      <w:tr w:rsidR="00F54A3F" w:rsidRPr="00F96346" w14:paraId="19E3C020" w14:textId="77777777" w:rsidTr="00F54A3F">
        <w:trPr>
          <w:trHeight w:val="252"/>
        </w:trPr>
        <w:tc>
          <w:tcPr>
            <w:tcW w:w="1896" w:type="pct"/>
            <w:shd w:val="clear" w:color="auto" w:fill="auto"/>
            <w:noWrap/>
            <w:hideMark/>
          </w:tcPr>
          <w:p w14:paraId="6CD52E6E" w14:textId="77777777" w:rsidR="00F96346" w:rsidRPr="005D5FAF" w:rsidRDefault="00F96346" w:rsidP="00F96346">
            <w:pPr>
              <w:jc w:val="both"/>
              <w:rPr>
                <w:b/>
                <w:bCs/>
                <w:sz w:val="18"/>
                <w:szCs w:val="18"/>
              </w:rPr>
            </w:pPr>
            <w:r w:rsidRPr="005D5FAF">
              <w:rPr>
                <w:b/>
                <w:bCs/>
                <w:sz w:val="18"/>
                <w:szCs w:val="18"/>
              </w:rPr>
              <w:t>--Credit bureau coverage (% of adults)</w:t>
            </w:r>
          </w:p>
        </w:tc>
        <w:tc>
          <w:tcPr>
            <w:tcW w:w="601" w:type="pct"/>
            <w:shd w:val="clear" w:color="auto" w:fill="auto"/>
            <w:noWrap/>
            <w:hideMark/>
          </w:tcPr>
          <w:p w14:paraId="49633456" w14:textId="77777777" w:rsidR="00F96346" w:rsidRPr="005D5FAF" w:rsidRDefault="00F96346" w:rsidP="00F96346">
            <w:pPr>
              <w:jc w:val="center"/>
              <w:rPr>
                <w:sz w:val="18"/>
                <w:szCs w:val="18"/>
              </w:rPr>
            </w:pPr>
            <w:r w:rsidRPr="005D5FAF">
              <w:rPr>
                <w:sz w:val="18"/>
                <w:szCs w:val="18"/>
              </w:rPr>
              <w:t>0</w:t>
            </w:r>
          </w:p>
        </w:tc>
        <w:tc>
          <w:tcPr>
            <w:tcW w:w="379" w:type="pct"/>
            <w:shd w:val="clear" w:color="auto" w:fill="auto"/>
            <w:noWrap/>
            <w:hideMark/>
          </w:tcPr>
          <w:p w14:paraId="7DDBA32D" w14:textId="77777777" w:rsidR="00F96346" w:rsidRPr="005D5FAF" w:rsidRDefault="00F96346" w:rsidP="00F96346">
            <w:pPr>
              <w:jc w:val="center"/>
              <w:rPr>
                <w:sz w:val="18"/>
                <w:szCs w:val="18"/>
              </w:rPr>
            </w:pPr>
            <w:r w:rsidRPr="005D5FAF">
              <w:rPr>
                <w:sz w:val="18"/>
                <w:szCs w:val="18"/>
              </w:rPr>
              <w:t>21.3</w:t>
            </w:r>
          </w:p>
        </w:tc>
        <w:tc>
          <w:tcPr>
            <w:tcW w:w="347" w:type="pct"/>
            <w:shd w:val="clear" w:color="auto" w:fill="auto"/>
            <w:noWrap/>
            <w:hideMark/>
          </w:tcPr>
          <w:p w14:paraId="6E0FF0AD" w14:textId="77777777" w:rsidR="00F96346" w:rsidRPr="005D5FAF" w:rsidRDefault="00F96346" w:rsidP="00F96346">
            <w:pPr>
              <w:jc w:val="center"/>
              <w:rPr>
                <w:sz w:val="18"/>
                <w:szCs w:val="18"/>
              </w:rPr>
            </w:pPr>
            <w:r w:rsidRPr="005D5FAF">
              <w:rPr>
                <w:sz w:val="18"/>
                <w:szCs w:val="18"/>
              </w:rPr>
              <w:t>21.4</w:t>
            </w:r>
          </w:p>
        </w:tc>
        <w:tc>
          <w:tcPr>
            <w:tcW w:w="354" w:type="pct"/>
            <w:shd w:val="clear" w:color="auto" w:fill="auto"/>
            <w:noWrap/>
            <w:hideMark/>
          </w:tcPr>
          <w:p w14:paraId="74911C73" w14:textId="77777777" w:rsidR="00F96346" w:rsidRPr="005D5FAF" w:rsidRDefault="00F96346" w:rsidP="00F96346">
            <w:pPr>
              <w:jc w:val="center"/>
              <w:rPr>
                <w:sz w:val="18"/>
                <w:szCs w:val="18"/>
              </w:rPr>
            </w:pPr>
            <w:r w:rsidRPr="005D5FAF">
              <w:rPr>
                <w:sz w:val="18"/>
                <w:szCs w:val="18"/>
              </w:rPr>
              <w:t>0</w:t>
            </w:r>
          </w:p>
        </w:tc>
        <w:tc>
          <w:tcPr>
            <w:tcW w:w="354" w:type="pct"/>
            <w:shd w:val="clear" w:color="auto" w:fill="auto"/>
            <w:noWrap/>
            <w:hideMark/>
          </w:tcPr>
          <w:p w14:paraId="7DFD4E80" w14:textId="77777777" w:rsidR="00F96346" w:rsidRPr="005D5FAF" w:rsidRDefault="00F96346" w:rsidP="00F96346">
            <w:pPr>
              <w:jc w:val="center"/>
              <w:rPr>
                <w:sz w:val="18"/>
                <w:szCs w:val="18"/>
              </w:rPr>
            </w:pPr>
            <w:r w:rsidRPr="005D5FAF">
              <w:rPr>
                <w:sz w:val="18"/>
                <w:szCs w:val="18"/>
              </w:rPr>
              <w:t>5.8</w:t>
            </w:r>
          </w:p>
        </w:tc>
        <w:tc>
          <w:tcPr>
            <w:tcW w:w="351" w:type="pct"/>
            <w:shd w:val="clear" w:color="auto" w:fill="auto"/>
            <w:noWrap/>
            <w:hideMark/>
          </w:tcPr>
          <w:p w14:paraId="79B985E6" w14:textId="77777777" w:rsidR="00F96346" w:rsidRPr="005D5FAF" w:rsidRDefault="00F96346" w:rsidP="00F96346">
            <w:pPr>
              <w:jc w:val="center"/>
              <w:rPr>
                <w:sz w:val="18"/>
                <w:szCs w:val="18"/>
              </w:rPr>
            </w:pPr>
            <w:r w:rsidRPr="005D5FAF">
              <w:rPr>
                <w:sz w:val="18"/>
                <w:szCs w:val="18"/>
              </w:rPr>
              <w:t>57.2</w:t>
            </w:r>
          </w:p>
        </w:tc>
        <w:tc>
          <w:tcPr>
            <w:tcW w:w="309" w:type="pct"/>
            <w:shd w:val="clear" w:color="auto" w:fill="auto"/>
            <w:noWrap/>
            <w:hideMark/>
          </w:tcPr>
          <w:p w14:paraId="5D52BD11" w14:textId="77777777" w:rsidR="00F96346" w:rsidRPr="005D5FAF" w:rsidRDefault="00F96346" w:rsidP="00F96346">
            <w:pPr>
              <w:jc w:val="center"/>
              <w:rPr>
                <w:sz w:val="18"/>
                <w:szCs w:val="18"/>
              </w:rPr>
            </w:pPr>
            <w:r w:rsidRPr="005D5FAF">
              <w:rPr>
                <w:sz w:val="18"/>
                <w:szCs w:val="18"/>
              </w:rPr>
              <w:t>14.8</w:t>
            </w:r>
          </w:p>
        </w:tc>
        <w:tc>
          <w:tcPr>
            <w:tcW w:w="410" w:type="pct"/>
            <w:shd w:val="clear" w:color="auto" w:fill="auto"/>
            <w:noWrap/>
            <w:hideMark/>
          </w:tcPr>
          <w:p w14:paraId="4A2C2066" w14:textId="77777777" w:rsidR="00F96346" w:rsidRPr="005D5FAF" w:rsidRDefault="00F96346" w:rsidP="00F96346">
            <w:pPr>
              <w:jc w:val="center"/>
              <w:rPr>
                <w:sz w:val="18"/>
                <w:szCs w:val="18"/>
              </w:rPr>
            </w:pPr>
            <w:r w:rsidRPr="005D5FAF">
              <w:rPr>
                <w:sz w:val="18"/>
                <w:szCs w:val="18"/>
              </w:rPr>
              <w:t>100</w:t>
            </w:r>
          </w:p>
        </w:tc>
      </w:tr>
      <w:tr w:rsidR="00F54A3F" w:rsidRPr="00F96346" w14:paraId="6D99BC88" w14:textId="77777777" w:rsidTr="00F54A3F">
        <w:trPr>
          <w:trHeight w:val="250"/>
        </w:trPr>
        <w:tc>
          <w:tcPr>
            <w:tcW w:w="1896" w:type="pct"/>
            <w:shd w:val="clear" w:color="auto" w:fill="auto"/>
            <w:noWrap/>
            <w:hideMark/>
          </w:tcPr>
          <w:p w14:paraId="514E41A6" w14:textId="77777777" w:rsidR="00F96346" w:rsidRPr="005D5FAF" w:rsidRDefault="00F96346" w:rsidP="00F96346">
            <w:pPr>
              <w:jc w:val="both"/>
              <w:rPr>
                <w:b/>
                <w:bCs/>
                <w:sz w:val="18"/>
                <w:szCs w:val="18"/>
              </w:rPr>
            </w:pPr>
            <w:r w:rsidRPr="005D5FAF">
              <w:rPr>
                <w:b/>
                <w:bCs/>
                <w:sz w:val="18"/>
                <w:szCs w:val="18"/>
              </w:rPr>
              <w:t>6. Protecting minority investors</w:t>
            </w:r>
          </w:p>
        </w:tc>
        <w:tc>
          <w:tcPr>
            <w:tcW w:w="601" w:type="pct"/>
            <w:shd w:val="clear" w:color="auto" w:fill="auto"/>
            <w:noWrap/>
            <w:hideMark/>
          </w:tcPr>
          <w:p w14:paraId="423955B8" w14:textId="77777777" w:rsidR="00F96346" w:rsidRPr="005D5FAF" w:rsidRDefault="00F96346" w:rsidP="00F96346">
            <w:pPr>
              <w:jc w:val="center"/>
              <w:rPr>
                <w:sz w:val="18"/>
                <w:szCs w:val="18"/>
              </w:rPr>
            </w:pPr>
          </w:p>
        </w:tc>
        <w:tc>
          <w:tcPr>
            <w:tcW w:w="379" w:type="pct"/>
            <w:shd w:val="clear" w:color="auto" w:fill="auto"/>
            <w:noWrap/>
            <w:hideMark/>
          </w:tcPr>
          <w:p w14:paraId="2C9A5A92" w14:textId="77777777" w:rsidR="00F96346" w:rsidRPr="005D5FAF" w:rsidRDefault="00F96346" w:rsidP="00F96346">
            <w:pPr>
              <w:jc w:val="center"/>
              <w:rPr>
                <w:sz w:val="18"/>
                <w:szCs w:val="18"/>
              </w:rPr>
            </w:pPr>
          </w:p>
        </w:tc>
        <w:tc>
          <w:tcPr>
            <w:tcW w:w="347" w:type="pct"/>
            <w:shd w:val="clear" w:color="auto" w:fill="auto"/>
            <w:noWrap/>
            <w:hideMark/>
          </w:tcPr>
          <w:p w14:paraId="38916E01" w14:textId="77777777" w:rsidR="00F96346" w:rsidRPr="005D5FAF" w:rsidRDefault="00F96346" w:rsidP="00F96346">
            <w:pPr>
              <w:jc w:val="center"/>
              <w:rPr>
                <w:sz w:val="18"/>
                <w:szCs w:val="18"/>
              </w:rPr>
            </w:pPr>
          </w:p>
        </w:tc>
        <w:tc>
          <w:tcPr>
            <w:tcW w:w="354" w:type="pct"/>
            <w:shd w:val="clear" w:color="auto" w:fill="auto"/>
            <w:noWrap/>
            <w:hideMark/>
          </w:tcPr>
          <w:p w14:paraId="3E35E378" w14:textId="77777777" w:rsidR="00F96346" w:rsidRPr="005D5FAF" w:rsidRDefault="00F96346" w:rsidP="00F96346">
            <w:pPr>
              <w:jc w:val="center"/>
              <w:rPr>
                <w:sz w:val="18"/>
                <w:szCs w:val="18"/>
              </w:rPr>
            </w:pPr>
          </w:p>
        </w:tc>
        <w:tc>
          <w:tcPr>
            <w:tcW w:w="354" w:type="pct"/>
            <w:shd w:val="clear" w:color="auto" w:fill="auto"/>
            <w:noWrap/>
            <w:hideMark/>
          </w:tcPr>
          <w:p w14:paraId="34645AE5" w14:textId="77777777" w:rsidR="00F96346" w:rsidRPr="005D5FAF" w:rsidRDefault="00F96346" w:rsidP="00F96346">
            <w:pPr>
              <w:jc w:val="center"/>
              <w:rPr>
                <w:sz w:val="18"/>
                <w:szCs w:val="18"/>
              </w:rPr>
            </w:pPr>
          </w:p>
        </w:tc>
        <w:tc>
          <w:tcPr>
            <w:tcW w:w="351" w:type="pct"/>
            <w:shd w:val="clear" w:color="auto" w:fill="auto"/>
            <w:noWrap/>
            <w:hideMark/>
          </w:tcPr>
          <w:p w14:paraId="08FFD70A" w14:textId="77777777" w:rsidR="00F96346" w:rsidRPr="005D5FAF" w:rsidRDefault="00F96346" w:rsidP="00F96346">
            <w:pPr>
              <w:jc w:val="center"/>
              <w:rPr>
                <w:sz w:val="18"/>
                <w:szCs w:val="18"/>
              </w:rPr>
            </w:pPr>
          </w:p>
        </w:tc>
        <w:tc>
          <w:tcPr>
            <w:tcW w:w="309" w:type="pct"/>
            <w:shd w:val="clear" w:color="auto" w:fill="auto"/>
            <w:noWrap/>
            <w:hideMark/>
          </w:tcPr>
          <w:p w14:paraId="59E957EC" w14:textId="77777777" w:rsidR="00F96346" w:rsidRPr="005D5FAF" w:rsidRDefault="00F96346" w:rsidP="00F96346">
            <w:pPr>
              <w:jc w:val="center"/>
              <w:rPr>
                <w:sz w:val="18"/>
                <w:szCs w:val="18"/>
              </w:rPr>
            </w:pPr>
          </w:p>
        </w:tc>
        <w:tc>
          <w:tcPr>
            <w:tcW w:w="410" w:type="pct"/>
            <w:shd w:val="clear" w:color="auto" w:fill="auto"/>
            <w:noWrap/>
            <w:hideMark/>
          </w:tcPr>
          <w:p w14:paraId="67DEE8E6" w14:textId="77777777" w:rsidR="00F96346" w:rsidRPr="005D5FAF" w:rsidRDefault="00F96346" w:rsidP="00F96346">
            <w:pPr>
              <w:jc w:val="center"/>
              <w:rPr>
                <w:sz w:val="18"/>
                <w:szCs w:val="18"/>
              </w:rPr>
            </w:pPr>
          </w:p>
        </w:tc>
      </w:tr>
      <w:tr w:rsidR="00F54A3F" w:rsidRPr="00F96346" w14:paraId="4DA509F1" w14:textId="77777777" w:rsidTr="00F54A3F">
        <w:trPr>
          <w:trHeight w:val="252"/>
        </w:trPr>
        <w:tc>
          <w:tcPr>
            <w:tcW w:w="1896" w:type="pct"/>
            <w:shd w:val="clear" w:color="auto" w:fill="auto"/>
            <w:noWrap/>
            <w:hideMark/>
          </w:tcPr>
          <w:p w14:paraId="3DE2ACB6" w14:textId="77777777" w:rsidR="00F96346" w:rsidRPr="005D5FAF" w:rsidRDefault="00F96346" w:rsidP="00F96346">
            <w:pPr>
              <w:jc w:val="both"/>
              <w:rPr>
                <w:b/>
                <w:bCs/>
                <w:sz w:val="18"/>
                <w:szCs w:val="18"/>
              </w:rPr>
            </w:pPr>
            <w:r w:rsidRPr="005D5FAF">
              <w:rPr>
                <w:b/>
                <w:bCs/>
                <w:sz w:val="18"/>
                <w:szCs w:val="18"/>
              </w:rPr>
              <w:t>--Extent of conflict of interest regulation index (0-10)</w:t>
            </w:r>
          </w:p>
        </w:tc>
        <w:tc>
          <w:tcPr>
            <w:tcW w:w="601" w:type="pct"/>
            <w:shd w:val="clear" w:color="auto" w:fill="auto"/>
            <w:noWrap/>
            <w:hideMark/>
          </w:tcPr>
          <w:p w14:paraId="3C088CF9" w14:textId="77777777" w:rsidR="00F96346" w:rsidRPr="005D5FAF" w:rsidRDefault="00F96346" w:rsidP="00F96346">
            <w:pPr>
              <w:jc w:val="center"/>
              <w:rPr>
                <w:sz w:val="18"/>
                <w:szCs w:val="18"/>
              </w:rPr>
            </w:pPr>
            <w:r w:rsidRPr="005D5FAF">
              <w:rPr>
                <w:sz w:val="18"/>
                <w:szCs w:val="18"/>
              </w:rPr>
              <w:t>6.3</w:t>
            </w:r>
          </w:p>
        </w:tc>
        <w:tc>
          <w:tcPr>
            <w:tcW w:w="379" w:type="pct"/>
            <w:shd w:val="clear" w:color="auto" w:fill="auto"/>
            <w:noWrap/>
            <w:hideMark/>
          </w:tcPr>
          <w:p w14:paraId="2F14F18B" w14:textId="77777777" w:rsidR="00F96346" w:rsidRPr="005D5FAF" w:rsidRDefault="00F96346" w:rsidP="00F96346">
            <w:pPr>
              <w:jc w:val="center"/>
              <w:rPr>
                <w:sz w:val="18"/>
                <w:szCs w:val="18"/>
              </w:rPr>
            </w:pPr>
            <w:r w:rsidRPr="005D5FAF">
              <w:rPr>
                <w:sz w:val="18"/>
                <w:szCs w:val="18"/>
              </w:rPr>
              <w:t>5</w:t>
            </w:r>
          </w:p>
        </w:tc>
        <w:tc>
          <w:tcPr>
            <w:tcW w:w="347" w:type="pct"/>
            <w:shd w:val="clear" w:color="auto" w:fill="auto"/>
            <w:noWrap/>
            <w:hideMark/>
          </w:tcPr>
          <w:p w14:paraId="5183271B" w14:textId="77777777" w:rsidR="00F96346" w:rsidRPr="005D5FAF" w:rsidRDefault="00F96346" w:rsidP="00F96346">
            <w:pPr>
              <w:jc w:val="center"/>
              <w:rPr>
                <w:sz w:val="18"/>
                <w:szCs w:val="18"/>
              </w:rPr>
            </w:pPr>
            <w:r w:rsidRPr="005D5FAF">
              <w:rPr>
                <w:sz w:val="18"/>
                <w:szCs w:val="18"/>
              </w:rPr>
              <w:t>6.7</w:t>
            </w:r>
          </w:p>
        </w:tc>
        <w:tc>
          <w:tcPr>
            <w:tcW w:w="354" w:type="pct"/>
            <w:shd w:val="clear" w:color="auto" w:fill="auto"/>
            <w:noWrap/>
            <w:hideMark/>
          </w:tcPr>
          <w:p w14:paraId="2F8006D5" w14:textId="77777777" w:rsidR="00F96346" w:rsidRPr="005D5FAF" w:rsidRDefault="00F96346" w:rsidP="00F96346">
            <w:pPr>
              <w:jc w:val="center"/>
              <w:rPr>
                <w:sz w:val="18"/>
                <w:szCs w:val="18"/>
              </w:rPr>
            </w:pPr>
            <w:r w:rsidRPr="005D5FAF">
              <w:rPr>
                <w:sz w:val="18"/>
                <w:szCs w:val="18"/>
              </w:rPr>
              <w:t>5.7</w:t>
            </w:r>
          </w:p>
        </w:tc>
        <w:tc>
          <w:tcPr>
            <w:tcW w:w="354" w:type="pct"/>
            <w:shd w:val="clear" w:color="auto" w:fill="auto"/>
            <w:noWrap/>
            <w:hideMark/>
          </w:tcPr>
          <w:p w14:paraId="5D92F2EB" w14:textId="77777777" w:rsidR="00F96346" w:rsidRPr="005D5FAF" w:rsidRDefault="00F96346" w:rsidP="00F96346">
            <w:pPr>
              <w:jc w:val="center"/>
              <w:rPr>
                <w:sz w:val="18"/>
                <w:szCs w:val="18"/>
              </w:rPr>
            </w:pPr>
            <w:r w:rsidRPr="005D5FAF">
              <w:rPr>
                <w:sz w:val="18"/>
                <w:szCs w:val="18"/>
              </w:rPr>
              <w:t>6</w:t>
            </w:r>
          </w:p>
        </w:tc>
        <w:tc>
          <w:tcPr>
            <w:tcW w:w="351" w:type="pct"/>
            <w:shd w:val="clear" w:color="auto" w:fill="auto"/>
            <w:noWrap/>
            <w:hideMark/>
          </w:tcPr>
          <w:p w14:paraId="697DFD88" w14:textId="77777777" w:rsidR="00F96346" w:rsidRPr="005D5FAF" w:rsidRDefault="00F96346" w:rsidP="00F96346">
            <w:pPr>
              <w:jc w:val="center"/>
              <w:rPr>
                <w:sz w:val="18"/>
                <w:szCs w:val="18"/>
              </w:rPr>
            </w:pPr>
            <w:r w:rsidRPr="005D5FAF">
              <w:rPr>
                <w:sz w:val="18"/>
                <w:szCs w:val="18"/>
              </w:rPr>
              <w:t>6.7</w:t>
            </w:r>
          </w:p>
        </w:tc>
        <w:tc>
          <w:tcPr>
            <w:tcW w:w="309" w:type="pct"/>
            <w:shd w:val="clear" w:color="auto" w:fill="auto"/>
            <w:noWrap/>
            <w:hideMark/>
          </w:tcPr>
          <w:p w14:paraId="21743448" w14:textId="77777777" w:rsidR="00F96346" w:rsidRPr="005D5FAF" w:rsidRDefault="00F96346" w:rsidP="00F96346">
            <w:pPr>
              <w:jc w:val="center"/>
              <w:rPr>
                <w:sz w:val="18"/>
                <w:szCs w:val="18"/>
              </w:rPr>
            </w:pPr>
            <w:r w:rsidRPr="005D5FAF">
              <w:rPr>
                <w:sz w:val="18"/>
                <w:szCs w:val="18"/>
              </w:rPr>
              <w:t>4.3</w:t>
            </w:r>
          </w:p>
        </w:tc>
        <w:tc>
          <w:tcPr>
            <w:tcW w:w="410" w:type="pct"/>
            <w:shd w:val="clear" w:color="auto" w:fill="auto"/>
            <w:noWrap/>
            <w:hideMark/>
          </w:tcPr>
          <w:p w14:paraId="02067AE3" w14:textId="77777777" w:rsidR="00F96346" w:rsidRPr="005D5FAF" w:rsidRDefault="00F96346" w:rsidP="00F96346">
            <w:pPr>
              <w:jc w:val="center"/>
              <w:rPr>
                <w:sz w:val="18"/>
                <w:szCs w:val="18"/>
              </w:rPr>
            </w:pPr>
            <w:r w:rsidRPr="005D5FAF">
              <w:rPr>
                <w:sz w:val="18"/>
                <w:szCs w:val="18"/>
              </w:rPr>
              <w:t>9.3</w:t>
            </w:r>
          </w:p>
        </w:tc>
      </w:tr>
      <w:tr w:rsidR="00F54A3F" w:rsidRPr="00F96346" w14:paraId="4D56A94F" w14:textId="77777777" w:rsidTr="00F54A3F">
        <w:trPr>
          <w:trHeight w:val="270"/>
        </w:trPr>
        <w:tc>
          <w:tcPr>
            <w:tcW w:w="1896" w:type="pct"/>
            <w:shd w:val="clear" w:color="auto" w:fill="auto"/>
            <w:noWrap/>
            <w:hideMark/>
          </w:tcPr>
          <w:p w14:paraId="4F7B3439" w14:textId="77777777" w:rsidR="00F96346" w:rsidRPr="005D5FAF" w:rsidRDefault="00F96346" w:rsidP="00F96346">
            <w:pPr>
              <w:jc w:val="both"/>
              <w:rPr>
                <w:b/>
                <w:bCs/>
                <w:sz w:val="18"/>
                <w:szCs w:val="18"/>
              </w:rPr>
            </w:pPr>
            <w:r w:rsidRPr="005D5FAF">
              <w:rPr>
                <w:b/>
                <w:bCs/>
                <w:sz w:val="18"/>
                <w:szCs w:val="18"/>
              </w:rPr>
              <w:t>--Extent of shareholder governance index (0-10)</w:t>
            </w:r>
          </w:p>
        </w:tc>
        <w:tc>
          <w:tcPr>
            <w:tcW w:w="601" w:type="pct"/>
            <w:shd w:val="clear" w:color="auto" w:fill="auto"/>
            <w:noWrap/>
            <w:hideMark/>
          </w:tcPr>
          <w:p w14:paraId="448F5F19" w14:textId="77777777" w:rsidR="00F96346" w:rsidRPr="005D5FAF" w:rsidRDefault="00F96346" w:rsidP="00F96346">
            <w:pPr>
              <w:jc w:val="center"/>
              <w:rPr>
                <w:sz w:val="18"/>
                <w:szCs w:val="18"/>
              </w:rPr>
            </w:pPr>
            <w:r w:rsidRPr="005D5FAF">
              <w:rPr>
                <w:sz w:val="18"/>
                <w:szCs w:val="18"/>
              </w:rPr>
              <w:t>5</w:t>
            </w:r>
          </w:p>
        </w:tc>
        <w:tc>
          <w:tcPr>
            <w:tcW w:w="379" w:type="pct"/>
            <w:shd w:val="clear" w:color="auto" w:fill="auto"/>
            <w:noWrap/>
            <w:hideMark/>
          </w:tcPr>
          <w:p w14:paraId="4B402D9B" w14:textId="77777777" w:rsidR="00F96346" w:rsidRPr="005D5FAF" w:rsidRDefault="00F96346" w:rsidP="00F96346">
            <w:pPr>
              <w:jc w:val="center"/>
              <w:rPr>
                <w:sz w:val="18"/>
                <w:szCs w:val="18"/>
              </w:rPr>
            </w:pPr>
            <w:r w:rsidRPr="005D5FAF">
              <w:rPr>
                <w:sz w:val="18"/>
                <w:szCs w:val="18"/>
              </w:rPr>
              <w:t>4</w:t>
            </w:r>
          </w:p>
        </w:tc>
        <w:tc>
          <w:tcPr>
            <w:tcW w:w="347" w:type="pct"/>
            <w:shd w:val="clear" w:color="auto" w:fill="auto"/>
            <w:noWrap/>
            <w:hideMark/>
          </w:tcPr>
          <w:p w14:paraId="78225FE2" w14:textId="77777777" w:rsidR="00F96346" w:rsidRPr="005D5FAF" w:rsidRDefault="00F96346" w:rsidP="00F96346">
            <w:pPr>
              <w:jc w:val="center"/>
              <w:rPr>
                <w:sz w:val="18"/>
                <w:szCs w:val="18"/>
              </w:rPr>
            </w:pPr>
            <w:r w:rsidRPr="005D5FAF">
              <w:rPr>
                <w:sz w:val="18"/>
                <w:szCs w:val="18"/>
              </w:rPr>
              <w:t>8</w:t>
            </w:r>
          </w:p>
        </w:tc>
        <w:tc>
          <w:tcPr>
            <w:tcW w:w="354" w:type="pct"/>
            <w:shd w:val="clear" w:color="auto" w:fill="auto"/>
            <w:noWrap/>
            <w:hideMark/>
          </w:tcPr>
          <w:p w14:paraId="59C5535E" w14:textId="77777777" w:rsidR="00F96346" w:rsidRPr="005D5FAF" w:rsidRDefault="00F96346" w:rsidP="00F96346">
            <w:pPr>
              <w:jc w:val="center"/>
              <w:rPr>
                <w:sz w:val="18"/>
                <w:szCs w:val="18"/>
              </w:rPr>
            </w:pPr>
            <w:r w:rsidRPr="005D5FAF">
              <w:rPr>
                <w:sz w:val="18"/>
                <w:szCs w:val="18"/>
              </w:rPr>
              <w:t>5.7</w:t>
            </w:r>
          </w:p>
        </w:tc>
        <w:tc>
          <w:tcPr>
            <w:tcW w:w="354" w:type="pct"/>
            <w:shd w:val="clear" w:color="auto" w:fill="auto"/>
            <w:noWrap/>
            <w:hideMark/>
          </w:tcPr>
          <w:p w14:paraId="021C1724" w14:textId="77777777" w:rsidR="00F96346" w:rsidRPr="005D5FAF" w:rsidRDefault="00F96346" w:rsidP="00F96346">
            <w:pPr>
              <w:jc w:val="center"/>
              <w:rPr>
                <w:sz w:val="18"/>
                <w:szCs w:val="18"/>
              </w:rPr>
            </w:pPr>
            <w:r w:rsidRPr="005D5FAF">
              <w:rPr>
                <w:sz w:val="18"/>
                <w:szCs w:val="18"/>
              </w:rPr>
              <w:t>7.3</w:t>
            </w:r>
          </w:p>
        </w:tc>
        <w:tc>
          <w:tcPr>
            <w:tcW w:w="351" w:type="pct"/>
            <w:shd w:val="clear" w:color="auto" w:fill="auto"/>
            <w:noWrap/>
            <w:hideMark/>
          </w:tcPr>
          <w:p w14:paraId="0AB07954" w14:textId="77777777" w:rsidR="00F96346" w:rsidRPr="005D5FAF" w:rsidRDefault="00F96346" w:rsidP="00F96346">
            <w:pPr>
              <w:jc w:val="center"/>
              <w:rPr>
                <w:sz w:val="18"/>
                <w:szCs w:val="18"/>
              </w:rPr>
            </w:pPr>
            <w:r w:rsidRPr="005D5FAF">
              <w:rPr>
                <w:sz w:val="18"/>
                <w:szCs w:val="18"/>
              </w:rPr>
              <w:t>6</w:t>
            </w:r>
          </w:p>
        </w:tc>
        <w:tc>
          <w:tcPr>
            <w:tcW w:w="309" w:type="pct"/>
            <w:shd w:val="clear" w:color="auto" w:fill="auto"/>
            <w:noWrap/>
            <w:hideMark/>
          </w:tcPr>
          <w:p w14:paraId="2F2B364E" w14:textId="77777777" w:rsidR="00F96346" w:rsidRPr="005D5FAF" w:rsidRDefault="00F96346" w:rsidP="00F96346">
            <w:pPr>
              <w:jc w:val="center"/>
              <w:rPr>
                <w:sz w:val="18"/>
                <w:szCs w:val="18"/>
              </w:rPr>
            </w:pPr>
            <w:r w:rsidRPr="005D5FAF">
              <w:rPr>
                <w:sz w:val="18"/>
                <w:szCs w:val="18"/>
              </w:rPr>
              <w:t>6.3</w:t>
            </w:r>
          </w:p>
        </w:tc>
        <w:tc>
          <w:tcPr>
            <w:tcW w:w="410" w:type="pct"/>
            <w:shd w:val="clear" w:color="auto" w:fill="auto"/>
            <w:noWrap/>
            <w:hideMark/>
          </w:tcPr>
          <w:p w14:paraId="27CF0DF1" w14:textId="77777777" w:rsidR="00F96346" w:rsidRPr="005D5FAF" w:rsidRDefault="00F96346" w:rsidP="00F96346">
            <w:pPr>
              <w:jc w:val="center"/>
              <w:rPr>
                <w:sz w:val="18"/>
                <w:szCs w:val="18"/>
              </w:rPr>
            </w:pPr>
            <w:r w:rsidRPr="005D5FAF">
              <w:rPr>
                <w:sz w:val="18"/>
                <w:szCs w:val="18"/>
              </w:rPr>
              <w:t>8.3</w:t>
            </w:r>
          </w:p>
        </w:tc>
      </w:tr>
      <w:tr w:rsidR="00F54A3F" w:rsidRPr="00F96346" w14:paraId="17F66248" w14:textId="77777777" w:rsidTr="00F54A3F">
        <w:trPr>
          <w:trHeight w:val="180"/>
        </w:trPr>
        <w:tc>
          <w:tcPr>
            <w:tcW w:w="1896" w:type="pct"/>
            <w:shd w:val="clear" w:color="auto" w:fill="auto"/>
            <w:noWrap/>
            <w:hideMark/>
          </w:tcPr>
          <w:p w14:paraId="10AA1A39" w14:textId="77777777" w:rsidR="00F96346" w:rsidRPr="005D5FAF" w:rsidRDefault="00F96346" w:rsidP="00F96346">
            <w:pPr>
              <w:jc w:val="both"/>
              <w:rPr>
                <w:b/>
                <w:bCs/>
                <w:sz w:val="18"/>
                <w:szCs w:val="18"/>
              </w:rPr>
            </w:pPr>
            <w:r w:rsidRPr="005D5FAF">
              <w:rPr>
                <w:b/>
                <w:bCs/>
                <w:sz w:val="18"/>
                <w:szCs w:val="18"/>
              </w:rPr>
              <w:t xml:space="preserve">--Strength of minority investor </w:t>
            </w:r>
            <w:proofErr w:type="gramStart"/>
            <w:r w:rsidRPr="005D5FAF">
              <w:rPr>
                <w:b/>
                <w:bCs/>
                <w:sz w:val="18"/>
                <w:szCs w:val="18"/>
              </w:rPr>
              <w:t>protection(</w:t>
            </w:r>
            <w:proofErr w:type="gramEnd"/>
            <w:r w:rsidRPr="005D5FAF">
              <w:rPr>
                <w:b/>
                <w:bCs/>
                <w:sz w:val="18"/>
                <w:szCs w:val="18"/>
              </w:rPr>
              <w:t>0-10)</w:t>
            </w:r>
          </w:p>
        </w:tc>
        <w:tc>
          <w:tcPr>
            <w:tcW w:w="601" w:type="pct"/>
            <w:shd w:val="clear" w:color="auto" w:fill="auto"/>
            <w:noWrap/>
            <w:hideMark/>
          </w:tcPr>
          <w:p w14:paraId="68BCC8AF" w14:textId="77777777" w:rsidR="00F96346" w:rsidRPr="005D5FAF" w:rsidRDefault="00F96346" w:rsidP="00F96346">
            <w:pPr>
              <w:jc w:val="center"/>
              <w:rPr>
                <w:sz w:val="18"/>
                <w:szCs w:val="18"/>
              </w:rPr>
            </w:pPr>
            <w:r w:rsidRPr="005D5FAF">
              <w:rPr>
                <w:sz w:val="18"/>
                <w:szCs w:val="18"/>
              </w:rPr>
              <w:t>5.7</w:t>
            </w:r>
          </w:p>
        </w:tc>
        <w:tc>
          <w:tcPr>
            <w:tcW w:w="379" w:type="pct"/>
            <w:shd w:val="clear" w:color="auto" w:fill="auto"/>
            <w:noWrap/>
            <w:hideMark/>
          </w:tcPr>
          <w:p w14:paraId="2D6BC275" w14:textId="77777777" w:rsidR="00F96346" w:rsidRPr="005D5FAF" w:rsidRDefault="00F96346" w:rsidP="00F96346">
            <w:pPr>
              <w:jc w:val="center"/>
              <w:rPr>
                <w:sz w:val="18"/>
                <w:szCs w:val="18"/>
              </w:rPr>
            </w:pPr>
            <w:r w:rsidRPr="005D5FAF">
              <w:rPr>
                <w:sz w:val="18"/>
                <w:szCs w:val="18"/>
              </w:rPr>
              <w:t>4.5</w:t>
            </w:r>
          </w:p>
        </w:tc>
        <w:tc>
          <w:tcPr>
            <w:tcW w:w="347" w:type="pct"/>
            <w:shd w:val="clear" w:color="auto" w:fill="auto"/>
            <w:noWrap/>
            <w:hideMark/>
          </w:tcPr>
          <w:p w14:paraId="1A0FD707" w14:textId="77777777" w:rsidR="00F96346" w:rsidRPr="005D5FAF" w:rsidRDefault="00F96346" w:rsidP="00F96346">
            <w:pPr>
              <w:jc w:val="center"/>
              <w:rPr>
                <w:sz w:val="18"/>
                <w:szCs w:val="18"/>
              </w:rPr>
            </w:pPr>
            <w:r w:rsidRPr="005D5FAF">
              <w:rPr>
                <w:sz w:val="18"/>
                <w:szCs w:val="18"/>
              </w:rPr>
              <w:t>7.3</w:t>
            </w:r>
          </w:p>
        </w:tc>
        <w:tc>
          <w:tcPr>
            <w:tcW w:w="354" w:type="pct"/>
            <w:shd w:val="clear" w:color="auto" w:fill="auto"/>
            <w:noWrap/>
            <w:hideMark/>
          </w:tcPr>
          <w:p w14:paraId="6CB8D6D2" w14:textId="77777777" w:rsidR="00F96346" w:rsidRPr="005D5FAF" w:rsidRDefault="00F96346" w:rsidP="00F96346">
            <w:pPr>
              <w:jc w:val="center"/>
              <w:rPr>
                <w:sz w:val="18"/>
                <w:szCs w:val="18"/>
              </w:rPr>
            </w:pPr>
            <w:r w:rsidRPr="005D5FAF">
              <w:rPr>
                <w:sz w:val="18"/>
                <w:szCs w:val="18"/>
              </w:rPr>
              <w:t>5.7</w:t>
            </w:r>
          </w:p>
        </w:tc>
        <w:tc>
          <w:tcPr>
            <w:tcW w:w="354" w:type="pct"/>
            <w:shd w:val="clear" w:color="auto" w:fill="auto"/>
            <w:noWrap/>
            <w:hideMark/>
          </w:tcPr>
          <w:p w14:paraId="0A1627BC" w14:textId="77777777" w:rsidR="00F96346" w:rsidRPr="005D5FAF" w:rsidRDefault="00F96346" w:rsidP="00F96346">
            <w:pPr>
              <w:jc w:val="center"/>
              <w:rPr>
                <w:sz w:val="18"/>
                <w:szCs w:val="18"/>
              </w:rPr>
            </w:pPr>
            <w:r w:rsidRPr="005D5FAF">
              <w:rPr>
                <w:sz w:val="18"/>
                <w:szCs w:val="18"/>
              </w:rPr>
              <w:t>6.7</w:t>
            </w:r>
          </w:p>
        </w:tc>
        <w:tc>
          <w:tcPr>
            <w:tcW w:w="351" w:type="pct"/>
            <w:shd w:val="clear" w:color="auto" w:fill="auto"/>
            <w:noWrap/>
            <w:hideMark/>
          </w:tcPr>
          <w:p w14:paraId="0EFF0B13" w14:textId="77777777" w:rsidR="00F96346" w:rsidRPr="005D5FAF" w:rsidRDefault="00F96346" w:rsidP="00F96346">
            <w:pPr>
              <w:jc w:val="center"/>
              <w:rPr>
                <w:sz w:val="18"/>
                <w:szCs w:val="18"/>
              </w:rPr>
            </w:pPr>
            <w:r w:rsidRPr="005D5FAF">
              <w:rPr>
                <w:sz w:val="18"/>
                <w:szCs w:val="18"/>
              </w:rPr>
              <w:t>6.3</w:t>
            </w:r>
          </w:p>
        </w:tc>
        <w:tc>
          <w:tcPr>
            <w:tcW w:w="309" w:type="pct"/>
            <w:shd w:val="clear" w:color="auto" w:fill="auto"/>
            <w:noWrap/>
            <w:hideMark/>
          </w:tcPr>
          <w:p w14:paraId="69589F15" w14:textId="77777777" w:rsidR="00F96346" w:rsidRPr="005D5FAF" w:rsidRDefault="00F96346" w:rsidP="00F96346">
            <w:pPr>
              <w:jc w:val="center"/>
              <w:rPr>
                <w:sz w:val="18"/>
                <w:szCs w:val="18"/>
              </w:rPr>
            </w:pPr>
            <w:r w:rsidRPr="005D5FAF">
              <w:rPr>
                <w:sz w:val="18"/>
                <w:szCs w:val="18"/>
              </w:rPr>
              <w:t>5.3</w:t>
            </w:r>
          </w:p>
        </w:tc>
        <w:tc>
          <w:tcPr>
            <w:tcW w:w="410" w:type="pct"/>
            <w:shd w:val="clear" w:color="auto" w:fill="auto"/>
            <w:noWrap/>
            <w:hideMark/>
          </w:tcPr>
          <w:p w14:paraId="07DBD7E7" w14:textId="77777777" w:rsidR="00F96346" w:rsidRPr="005D5FAF" w:rsidRDefault="00F96346" w:rsidP="00F96346">
            <w:pPr>
              <w:jc w:val="center"/>
              <w:rPr>
                <w:sz w:val="18"/>
                <w:szCs w:val="18"/>
              </w:rPr>
            </w:pPr>
            <w:r w:rsidRPr="005D5FAF">
              <w:rPr>
                <w:sz w:val="18"/>
                <w:szCs w:val="18"/>
              </w:rPr>
              <w:t>8.3</w:t>
            </w:r>
          </w:p>
        </w:tc>
      </w:tr>
      <w:tr w:rsidR="00F54A3F" w:rsidRPr="00F96346" w14:paraId="7C7DAF81" w14:textId="77777777" w:rsidTr="00F54A3F">
        <w:trPr>
          <w:trHeight w:val="232"/>
        </w:trPr>
        <w:tc>
          <w:tcPr>
            <w:tcW w:w="1896" w:type="pct"/>
            <w:shd w:val="clear" w:color="auto" w:fill="auto"/>
            <w:noWrap/>
            <w:hideMark/>
          </w:tcPr>
          <w:p w14:paraId="622521D2" w14:textId="77777777" w:rsidR="00F96346" w:rsidRPr="005D5FAF" w:rsidRDefault="00F96346" w:rsidP="00F96346">
            <w:pPr>
              <w:jc w:val="both"/>
              <w:rPr>
                <w:b/>
                <w:bCs/>
                <w:sz w:val="18"/>
                <w:szCs w:val="18"/>
              </w:rPr>
            </w:pPr>
            <w:r w:rsidRPr="005D5FAF">
              <w:rPr>
                <w:b/>
                <w:bCs/>
                <w:sz w:val="18"/>
                <w:szCs w:val="18"/>
              </w:rPr>
              <w:t xml:space="preserve">7. Paying taxes </w:t>
            </w:r>
          </w:p>
        </w:tc>
        <w:tc>
          <w:tcPr>
            <w:tcW w:w="601" w:type="pct"/>
            <w:shd w:val="clear" w:color="auto" w:fill="auto"/>
            <w:noWrap/>
            <w:hideMark/>
          </w:tcPr>
          <w:p w14:paraId="458F61EF" w14:textId="77777777" w:rsidR="00F96346" w:rsidRPr="005D5FAF" w:rsidRDefault="00F96346" w:rsidP="00F96346">
            <w:pPr>
              <w:jc w:val="center"/>
              <w:rPr>
                <w:sz w:val="18"/>
                <w:szCs w:val="18"/>
              </w:rPr>
            </w:pPr>
          </w:p>
        </w:tc>
        <w:tc>
          <w:tcPr>
            <w:tcW w:w="379" w:type="pct"/>
            <w:shd w:val="clear" w:color="auto" w:fill="auto"/>
            <w:noWrap/>
            <w:hideMark/>
          </w:tcPr>
          <w:p w14:paraId="28ACF633" w14:textId="77777777" w:rsidR="00F96346" w:rsidRPr="005D5FAF" w:rsidRDefault="00F96346" w:rsidP="00F96346">
            <w:pPr>
              <w:jc w:val="center"/>
              <w:rPr>
                <w:sz w:val="18"/>
                <w:szCs w:val="18"/>
              </w:rPr>
            </w:pPr>
          </w:p>
        </w:tc>
        <w:tc>
          <w:tcPr>
            <w:tcW w:w="347" w:type="pct"/>
            <w:shd w:val="clear" w:color="auto" w:fill="auto"/>
            <w:noWrap/>
            <w:hideMark/>
          </w:tcPr>
          <w:p w14:paraId="0E6DDD58" w14:textId="77777777" w:rsidR="00F96346" w:rsidRPr="005D5FAF" w:rsidRDefault="00F96346" w:rsidP="00F96346">
            <w:pPr>
              <w:jc w:val="center"/>
              <w:rPr>
                <w:sz w:val="18"/>
                <w:szCs w:val="18"/>
              </w:rPr>
            </w:pPr>
          </w:p>
        </w:tc>
        <w:tc>
          <w:tcPr>
            <w:tcW w:w="354" w:type="pct"/>
            <w:shd w:val="clear" w:color="auto" w:fill="auto"/>
            <w:noWrap/>
            <w:hideMark/>
          </w:tcPr>
          <w:p w14:paraId="27D13224" w14:textId="77777777" w:rsidR="00F96346" w:rsidRPr="005D5FAF" w:rsidRDefault="00F96346" w:rsidP="00F96346">
            <w:pPr>
              <w:jc w:val="center"/>
              <w:rPr>
                <w:sz w:val="18"/>
                <w:szCs w:val="18"/>
              </w:rPr>
            </w:pPr>
          </w:p>
        </w:tc>
        <w:tc>
          <w:tcPr>
            <w:tcW w:w="354" w:type="pct"/>
            <w:shd w:val="clear" w:color="auto" w:fill="auto"/>
            <w:noWrap/>
            <w:hideMark/>
          </w:tcPr>
          <w:p w14:paraId="1F7D5942" w14:textId="77777777" w:rsidR="00F96346" w:rsidRPr="005D5FAF" w:rsidRDefault="00F96346" w:rsidP="00F96346">
            <w:pPr>
              <w:jc w:val="center"/>
              <w:rPr>
                <w:sz w:val="18"/>
                <w:szCs w:val="18"/>
              </w:rPr>
            </w:pPr>
          </w:p>
        </w:tc>
        <w:tc>
          <w:tcPr>
            <w:tcW w:w="351" w:type="pct"/>
            <w:shd w:val="clear" w:color="auto" w:fill="auto"/>
            <w:noWrap/>
            <w:hideMark/>
          </w:tcPr>
          <w:p w14:paraId="26D60C13" w14:textId="77777777" w:rsidR="00F96346" w:rsidRPr="005D5FAF" w:rsidRDefault="00F96346" w:rsidP="00F96346">
            <w:pPr>
              <w:jc w:val="center"/>
              <w:rPr>
                <w:sz w:val="18"/>
                <w:szCs w:val="18"/>
              </w:rPr>
            </w:pPr>
          </w:p>
        </w:tc>
        <w:tc>
          <w:tcPr>
            <w:tcW w:w="309" w:type="pct"/>
            <w:shd w:val="clear" w:color="auto" w:fill="auto"/>
            <w:noWrap/>
            <w:hideMark/>
          </w:tcPr>
          <w:p w14:paraId="7C99F93C" w14:textId="77777777" w:rsidR="00F96346" w:rsidRPr="005D5FAF" w:rsidRDefault="00F96346" w:rsidP="00F96346">
            <w:pPr>
              <w:jc w:val="center"/>
              <w:rPr>
                <w:sz w:val="18"/>
                <w:szCs w:val="18"/>
              </w:rPr>
            </w:pPr>
          </w:p>
        </w:tc>
        <w:tc>
          <w:tcPr>
            <w:tcW w:w="410" w:type="pct"/>
            <w:shd w:val="clear" w:color="auto" w:fill="auto"/>
            <w:noWrap/>
            <w:hideMark/>
          </w:tcPr>
          <w:p w14:paraId="39FB65D0" w14:textId="77777777" w:rsidR="00F96346" w:rsidRPr="005D5FAF" w:rsidRDefault="00F96346" w:rsidP="00F96346">
            <w:pPr>
              <w:jc w:val="center"/>
              <w:rPr>
                <w:sz w:val="18"/>
                <w:szCs w:val="18"/>
              </w:rPr>
            </w:pPr>
          </w:p>
        </w:tc>
      </w:tr>
      <w:tr w:rsidR="00F54A3F" w:rsidRPr="00F96346" w14:paraId="4A7A376F" w14:textId="77777777" w:rsidTr="00F54A3F">
        <w:trPr>
          <w:trHeight w:val="243"/>
        </w:trPr>
        <w:tc>
          <w:tcPr>
            <w:tcW w:w="1896" w:type="pct"/>
            <w:shd w:val="clear" w:color="auto" w:fill="auto"/>
            <w:noWrap/>
            <w:hideMark/>
          </w:tcPr>
          <w:p w14:paraId="7CC2EAFC" w14:textId="77777777" w:rsidR="00F96346" w:rsidRPr="005D5FAF" w:rsidRDefault="00F96346" w:rsidP="00F96346">
            <w:pPr>
              <w:jc w:val="both"/>
              <w:rPr>
                <w:b/>
                <w:bCs/>
                <w:sz w:val="18"/>
                <w:szCs w:val="18"/>
              </w:rPr>
            </w:pPr>
            <w:r w:rsidRPr="005D5FAF">
              <w:rPr>
                <w:b/>
                <w:bCs/>
                <w:sz w:val="18"/>
                <w:szCs w:val="18"/>
              </w:rPr>
              <w:t xml:space="preserve">--No. </w:t>
            </w:r>
            <w:proofErr w:type="gramStart"/>
            <w:r w:rsidRPr="005D5FAF">
              <w:rPr>
                <w:b/>
                <w:bCs/>
                <w:sz w:val="18"/>
                <w:szCs w:val="18"/>
              </w:rPr>
              <w:t>of</w:t>
            </w:r>
            <w:proofErr w:type="gramEnd"/>
            <w:r w:rsidRPr="005D5FAF">
              <w:rPr>
                <w:b/>
                <w:bCs/>
                <w:sz w:val="18"/>
                <w:szCs w:val="18"/>
              </w:rPr>
              <w:t xml:space="preserve"> payments per year</w:t>
            </w:r>
          </w:p>
        </w:tc>
        <w:tc>
          <w:tcPr>
            <w:tcW w:w="601" w:type="pct"/>
            <w:shd w:val="clear" w:color="auto" w:fill="auto"/>
            <w:noWrap/>
            <w:hideMark/>
          </w:tcPr>
          <w:p w14:paraId="5CBDC0F4" w14:textId="77777777" w:rsidR="00F96346" w:rsidRPr="005D5FAF" w:rsidRDefault="00F96346" w:rsidP="00F96346">
            <w:pPr>
              <w:jc w:val="center"/>
              <w:rPr>
                <w:sz w:val="18"/>
                <w:szCs w:val="18"/>
              </w:rPr>
            </w:pPr>
            <w:r w:rsidRPr="005D5FAF">
              <w:rPr>
                <w:sz w:val="18"/>
                <w:szCs w:val="18"/>
              </w:rPr>
              <w:t>33</w:t>
            </w:r>
          </w:p>
        </w:tc>
        <w:tc>
          <w:tcPr>
            <w:tcW w:w="379" w:type="pct"/>
            <w:shd w:val="clear" w:color="auto" w:fill="auto"/>
            <w:noWrap/>
            <w:hideMark/>
          </w:tcPr>
          <w:p w14:paraId="76A030C5" w14:textId="77777777" w:rsidR="00F96346" w:rsidRPr="005D5FAF" w:rsidRDefault="00F96346" w:rsidP="00F96346">
            <w:pPr>
              <w:jc w:val="center"/>
              <w:rPr>
                <w:sz w:val="18"/>
                <w:szCs w:val="18"/>
              </w:rPr>
            </w:pPr>
            <w:r w:rsidRPr="005D5FAF">
              <w:rPr>
                <w:sz w:val="18"/>
                <w:szCs w:val="18"/>
              </w:rPr>
              <w:t>9</w:t>
            </w:r>
          </w:p>
        </w:tc>
        <w:tc>
          <w:tcPr>
            <w:tcW w:w="347" w:type="pct"/>
            <w:shd w:val="clear" w:color="auto" w:fill="auto"/>
            <w:noWrap/>
            <w:hideMark/>
          </w:tcPr>
          <w:p w14:paraId="7A7BF77D" w14:textId="77777777" w:rsidR="00F96346" w:rsidRPr="005D5FAF" w:rsidRDefault="00F96346" w:rsidP="00F96346">
            <w:pPr>
              <w:jc w:val="center"/>
              <w:rPr>
                <w:sz w:val="18"/>
                <w:szCs w:val="18"/>
              </w:rPr>
            </w:pPr>
            <w:r w:rsidRPr="005D5FAF">
              <w:rPr>
                <w:sz w:val="18"/>
                <w:szCs w:val="18"/>
              </w:rPr>
              <w:t>25</w:t>
            </w:r>
          </w:p>
        </w:tc>
        <w:tc>
          <w:tcPr>
            <w:tcW w:w="354" w:type="pct"/>
            <w:shd w:val="clear" w:color="auto" w:fill="auto"/>
            <w:noWrap/>
            <w:hideMark/>
          </w:tcPr>
          <w:p w14:paraId="00D2756B" w14:textId="77777777" w:rsidR="00F96346" w:rsidRPr="005D5FAF" w:rsidRDefault="00F96346" w:rsidP="00F96346">
            <w:pPr>
              <w:jc w:val="center"/>
              <w:rPr>
                <w:sz w:val="18"/>
                <w:szCs w:val="18"/>
              </w:rPr>
            </w:pPr>
            <w:r w:rsidRPr="005D5FAF">
              <w:rPr>
                <w:sz w:val="18"/>
                <w:szCs w:val="18"/>
              </w:rPr>
              <w:t>43</w:t>
            </w:r>
          </w:p>
        </w:tc>
        <w:tc>
          <w:tcPr>
            <w:tcW w:w="354" w:type="pct"/>
            <w:shd w:val="clear" w:color="auto" w:fill="auto"/>
            <w:noWrap/>
            <w:hideMark/>
          </w:tcPr>
          <w:p w14:paraId="24EF38DA" w14:textId="77777777" w:rsidR="00F96346" w:rsidRPr="005D5FAF" w:rsidRDefault="00F96346" w:rsidP="00F96346">
            <w:pPr>
              <w:jc w:val="center"/>
              <w:rPr>
                <w:sz w:val="18"/>
                <w:szCs w:val="18"/>
              </w:rPr>
            </w:pPr>
            <w:r w:rsidRPr="005D5FAF">
              <w:rPr>
                <w:sz w:val="18"/>
                <w:szCs w:val="18"/>
              </w:rPr>
              <w:t>47</w:t>
            </w:r>
          </w:p>
        </w:tc>
        <w:tc>
          <w:tcPr>
            <w:tcW w:w="351" w:type="pct"/>
            <w:shd w:val="clear" w:color="auto" w:fill="auto"/>
            <w:noWrap/>
            <w:hideMark/>
          </w:tcPr>
          <w:p w14:paraId="0864D8C5" w14:textId="77777777" w:rsidR="00F96346" w:rsidRPr="005D5FAF" w:rsidRDefault="00F96346" w:rsidP="00F96346">
            <w:pPr>
              <w:jc w:val="center"/>
              <w:rPr>
                <w:sz w:val="18"/>
                <w:szCs w:val="18"/>
              </w:rPr>
            </w:pPr>
            <w:r w:rsidRPr="005D5FAF">
              <w:rPr>
                <w:sz w:val="18"/>
                <w:szCs w:val="18"/>
              </w:rPr>
              <w:t>47</w:t>
            </w:r>
          </w:p>
        </w:tc>
        <w:tc>
          <w:tcPr>
            <w:tcW w:w="309" w:type="pct"/>
            <w:shd w:val="clear" w:color="auto" w:fill="auto"/>
            <w:noWrap/>
            <w:hideMark/>
          </w:tcPr>
          <w:p w14:paraId="1FDCA6D1" w14:textId="77777777" w:rsidR="00F96346" w:rsidRPr="005D5FAF" w:rsidRDefault="00F96346" w:rsidP="00F96346">
            <w:pPr>
              <w:jc w:val="center"/>
              <w:rPr>
                <w:sz w:val="18"/>
                <w:szCs w:val="18"/>
              </w:rPr>
            </w:pPr>
            <w:r w:rsidRPr="005D5FAF">
              <w:rPr>
                <w:sz w:val="18"/>
                <w:szCs w:val="18"/>
              </w:rPr>
              <w:t>31</w:t>
            </w:r>
          </w:p>
        </w:tc>
        <w:tc>
          <w:tcPr>
            <w:tcW w:w="410" w:type="pct"/>
            <w:shd w:val="clear" w:color="auto" w:fill="auto"/>
            <w:noWrap/>
            <w:hideMark/>
          </w:tcPr>
          <w:p w14:paraId="6EF86652" w14:textId="77777777" w:rsidR="00F96346" w:rsidRPr="005D5FAF" w:rsidRDefault="00F96346" w:rsidP="00F96346">
            <w:pPr>
              <w:jc w:val="center"/>
              <w:rPr>
                <w:sz w:val="18"/>
                <w:szCs w:val="18"/>
              </w:rPr>
            </w:pPr>
            <w:r w:rsidRPr="005D5FAF">
              <w:rPr>
                <w:sz w:val="18"/>
                <w:szCs w:val="18"/>
              </w:rPr>
              <w:t>3</w:t>
            </w:r>
          </w:p>
        </w:tc>
      </w:tr>
      <w:tr w:rsidR="00F54A3F" w:rsidRPr="00F96346" w14:paraId="2B7B2895" w14:textId="77777777" w:rsidTr="00F54A3F">
        <w:trPr>
          <w:trHeight w:val="162"/>
        </w:trPr>
        <w:tc>
          <w:tcPr>
            <w:tcW w:w="1896" w:type="pct"/>
            <w:shd w:val="clear" w:color="auto" w:fill="auto"/>
            <w:noWrap/>
            <w:hideMark/>
          </w:tcPr>
          <w:p w14:paraId="4DAD8540" w14:textId="77777777" w:rsidR="00F96346" w:rsidRPr="005D5FAF" w:rsidRDefault="00F96346" w:rsidP="00F96346">
            <w:pPr>
              <w:jc w:val="both"/>
              <w:rPr>
                <w:b/>
                <w:bCs/>
                <w:sz w:val="18"/>
                <w:szCs w:val="18"/>
              </w:rPr>
            </w:pPr>
            <w:r w:rsidRPr="005D5FAF">
              <w:rPr>
                <w:b/>
                <w:bCs/>
                <w:sz w:val="18"/>
                <w:szCs w:val="18"/>
              </w:rPr>
              <w:t xml:space="preserve">--Time (no. </w:t>
            </w:r>
            <w:proofErr w:type="gramStart"/>
            <w:r w:rsidRPr="005D5FAF">
              <w:rPr>
                <w:b/>
                <w:bCs/>
                <w:sz w:val="18"/>
                <w:szCs w:val="18"/>
              </w:rPr>
              <w:t>of</w:t>
            </w:r>
            <w:proofErr w:type="gramEnd"/>
            <w:r w:rsidRPr="005D5FAF">
              <w:rPr>
                <w:b/>
                <w:bCs/>
                <w:sz w:val="18"/>
                <w:szCs w:val="18"/>
              </w:rPr>
              <w:t xml:space="preserve"> hours)</w:t>
            </w:r>
          </w:p>
        </w:tc>
        <w:tc>
          <w:tcPr>
            <w:tcW w:w="601" w:type="pct"/>
            <w:shd w:val="clear" w:color="auto" w:fill="auto"/>
            <w:noWrap/>
            <w:hideMark/>
          </w:tcPr>
          <w:p w14:paraId="14DDBF9F" w14:textId="77777777" w:rsidR="00F96346" w:rsidRPr="005D5FAF" w:rsidRDefault="00F96346" w:rsidP="00F96346">
            <w:pPr>
              <w:jc w:val="center"/>
              <w:rPr>
                <w:sz w:val="18"/>
                <w:szCs w:val="18"/>
              </w:rPr>
            </w:pPr>
            <w:r w:rsidRPr="005D5FAF">
              <w:rPr>
                <w:sz w:val="18"/>
                <w:szCs w:val="18"/>
              </w:rPr>
              <w:t>435</w:t>
            </w:r>
          </w:p>
        </w:tc>
        <w:tc>
          <w:tcPr>
            <w:tcW w:w="379" w:type="pct"/>
            <w:shd w:val="clear" w:color="auto" w:fill="auto"/>
            <w:noWrap/>
            <w:hideMark/>
          </w:tcPr>
          <w:p w14:paraId="1A0CE24C" w14:textId="77777777" w:rsidR="00F96346" w:rsidRPr="005D5FAF" w:rsidRDefault="00F96346" w:rsidP="00F96346">
            <w:pPr>
              <w:jc w:val="center"/>
              <w:rPr>
                <w:sz w:val="18"/>
                <w:szCs w:val="18"/>
              </w:rPr>
            </w:pPr>
            <w:r w:rsidRPr="005D5FAF">
              <w:rPr>
                <w:sz w:val="18"/>
                <w:szCs w:val="18"/>
              </w:rPr>
              <w:t>259</w:t>
            </w:r>
          </w:p>
        </w:tc>
        <w:tc>
          <w:tcPr>
            <w:tcW w:w="347" w:type="pct"/>
            <w:shd w:val="clear" w:color="auto" w:fill="auto"/>
            <w:noWrap/>
            <w:hideMark/>
          </w:tcPr>
          <w:p w14:paraId="7B52458A" w14:textId="77777777" w:rsidR="00F96346" w:rsidRPr="005D5FAF" w:rsidRDefault="00F96346" w:rsidP="00F96346">
            <w:pPr>
              <w:jc w:val="center"/>
              <w:rPr>
                <w:sz w:val="18"/>
                <w:szCs w:val="18"/>
              </w:rPr>
            </w:pPr>
            <w:r w:rsidRPr="005D5FAF">
              <w:rPr>
                <w:sz w:val="18"/>
                <w:szCs w:val="18"/>
              </w:rPr>
              <w:t>241</w:t>
            </w:r>
          </w:p>
        </w:tc>
        <w:tc>
          <w:tcPr>
            <w:tcW w:w="354" w:type="pct"/>
            <w:shd w:val="clear" w:color="auto" w:fill="auto"/>
            <w:noWrap/>
            <w:hideMark/>
          </w:tcPr>
          <w:p w14:paraId="1E42A75C" w14:textId="77777777" w:rsidR="00F96346" w:rsidRPr="005D5FAF" w:rsidRDefault="00F96346" w:rsidP="00F96346">
            <w:pPr>
              <w:jc w:val="center"/>
              <w:rPr>
                <w:sz w:val="18"/>
                <w:szCs w:val="18"/>
              </w:rPr>
            </w:pPr>
            <w:r w:rsidRPr="005D5FAF">
              <w:rPr>
                <w:sz w:val="18"/>
                <w:szCs w:val="18"/>
              </w:rPr>
              <w:t>221</w:t>
            </w:r>
          </w:p>
        </w:tc>
        <w:tc>
          <w:tcPr>
            <w:tcW w:w="354" w:type="pct"/>
            <w:shd w:val="clear" w:color="auto" w:fill="auto"/>
            <w:noWrap/>
            <w:hideMark/>
          </w:tcPr>
          <w:p w14:paraId="7E1B415F" w14:textId="77777777" w:rsidR="00F96346" w:rsidRPr="005D5FAF" w:rsidRDefault="00F96346" w:rsidP="00F96346">
            <w:pPr>
              <w:jc w:val="center"/>
              <w:rPr>
                <w:sz w:val="18"/>
                <w:szCs w:val="18"/>
              </w:rPr>
            </w:pPr>
            <w:r w:rsidRPr="005D5FAF">
              <w:rPr>
                <w:sz w:val="18"/>
                <w:szCs w:val="18"/>
              </w:rPr>
              <w:t>311.5</w:t>
            </w:r>
          </w:p>
        </w:tc>
        <w:tc>
          <w:tcPr>
            <w:tcW w:w="351" w:type="pct"/>
            <w:shd w:val="clear" w:color="auto" w:fill="auto"/>
            <w:noWrap/>
            <w:hideMark/>
          </w:tcPr>
          <w:p w14:paraId="76A7C841" w14:textId="77777777" w:rsidR="00F96346" w:rsidRPr="005D5FAF" w:rsidRDefault="00F96346" w:rsidP="00F96346">
            <w:pPr>
              <w:jc w:val="center"/>
              <w:rPr>
                <w:sz w:val="18"/>
                <w:szCs w:val="18"/>
              </w:rPr>
            </w:pPr>
            <w:r w:rsidRPr="005D5FAF">
              <w:rPr>
                <w:sz w:val="18"/>
                <w:szCs w:val="18"/>
              </w:rPr>
              <w:t>179</w:t>
            </w:r>
          </w:p>
        </w:tc>
        <w:tc>
          <w:tcPr>
            <w:tcW w:w="309" w:type="pct"/>
            <w:shd w:val="clear" w:color="auto" w:fill="auto"/>
            <w:noWrap/>
            <w:hideMark/>
          </w:tcPr>
          <w:p w14:paraId="1DBA5170" w14:textId="77777777" w:rsidR="00F96346" w:rsidRPr="005D5FAF" w:rsidRDefault="00F96346" w:rsidP="00F96346">
            <w:pPr>
              <w:jc w:val="center"/>
              <w:rPr>
                <w:sz w:val="18"/>
                <w:szCs w:val="18"/>
              </w:rPr>
            </w:pPr>
            <w:r w:rsidRPr="005D5FAF">
              <w:rPr>
                <w:sz w:val="18"/>
                <w:szCs w:val="18"/>
              </w:rPr>
              <w:t>540</w:t>
            </w:r>
          </w:p>
        </w:tc>
        <w:tc>
          <w:tcPr>
            <w:tcW w:w="410" w:type="pct"/>
            <w:shd w:val="clear" w:color="auto" w:fill="auto"/>
            <w:noWrap/>
            <w:hideMark/>
          </w:tcPr>
          <w:p w14:paraId="0FD2F7DA" w14:textId="77777777" w:rsidR="00F96346" w:rsidRPr="005D5FAF" w:rsidRDefault="00F96346" w:rsidP="00F96346">
            <w:pPr>
              <w:jc w:val="center"/>
              <w:rPr>
                <w:sz w:val="18"/>
                <w:szCs w:val="18"/>
              </w:rPr>
            </w:pPr>
            <w:r w:rsidRPr="005D5FAF">
              <w:rPr>
                <w:sz w:val="18"/>
                <w:szCs w:val="18"/>
              </w:rPr>
              <w:t>55</w:t>
            </w:r>
          </w:p>
        </w:tc>
      </w:tr>
      <w:tr w:rsidR="00F54A3F" w:rsidRPr="00F96346" w14:paraId="43E8E679" w14:textId="77777777" w:rsidTr="00F54A3F">
        <w:trPr>
          <w:trHeight w:val="205"/>
        </w:trPr>
        <w:tc>
          <w:tcPr>
            <w:tcW w:w="1896" w:type="pct"/>
            <w:shd w:val="clear" w:color="auto" w:fill="auto"/>
            <w:noWrap/>
            <w:hideMark/>
          </w:tcPr>
          <w:p w14:paraId="2ED0B36C" w14:textId="77777777" w:rsidR="00F96346" w:rsidRPr="005D5FAF" w:rsidRDefault="00F96346" w:rsidP="00F96346">
            <w:pPr>
              <w:jc w:val="both"/>
              <w:rPr>
                <w:b/>
                <w:bCs/>
                <w:sz w:val="18"/>
                <w:szCs w:val="18"/>
              </w:rPr>
            </w:pPr>
            <w:r w:rsidRPr="005D5FAF">
              <w:rPr>
                <w:b/>
                <w:bCs/>
                <w:sz w:val="18"/>
                <w:szCs w:val="18"/>
              </w:rPr>
              <w:t>8.Trading across borders</w:t>
            </w:r>
          </w:p>
        </w:tc>
        <w:tc>
          <w:tcPr>
            <w:tcW w:w="601" w:type="pct"/>
            <w:shd w:val="clear" w:color="auto" w:fill="auto"/>
            <w:noWrap/>
            <w:hideMark/>
          </w:tcPr>
          <w:p w14:paraId="1780012A" w14:textId="77777777" w:rsidR="00F96346" w:rsidRPr="005D5FAF" w:rsidRDefault="00F96346" w:rsidP="00F96346">
            <w:pPr>
              <w:jc w:val="center"/>
              <w:rPr>
                <w:sz w:val="18"/>
                <w:szCs w:val="18"/>
              </w:rPr>
            </w:pPr>
          </w:p>
        </w:tc>
        <w:tc>
          <w:tcPr>
            <w:tcW w:w="379" w:type="pct"/>
            <w:shd w:val="clear" w:color="auto" w:fill="auto"/>
            <w:noWrap/>
            <w:hideMark/>
          </w:tcPr>
          <w:p w14:paraId="24B97450" w14:textId="77777777" w:rsidR="00F96346" w:rsidRPr="005D5FAF" w:rsidRDefault="00F96346" w:rsidP="00F96346">
            <w:pPr>
              <w:jc w:val="center"/>
              <w:rPr>
                <w:sz w:val="18"/>
                <w:szCs w:val="18"/>
              </w:rPr>
            </w:pPr>
          </w:p>
        </w:tc>
        <w:tc>
          <w:tcPr>
            <w:tcW w:w="347" w:type="pct"/>
            <w:shd w:val="clear" w:color="auto" w:fill="auto"/>
            <w:noWrap/>
            <w:hideMark/>
          </w:tcPr>
          <w:p w14:paraId="79AFE28C" w14:textId="77777777" w:rsidR="00F96346" w:rsidRPr="005D5FAF" w:rsidRDefault="00F96346" w:rsidP="00F96346">
            <w:pPr>
              <w:jc w:val="center"/>
              <w:rPr>
                <w:sz w:val="18"/>
                <w:szCs w:val="18"/>
              </w:rPr>
            </w:pPr>
          </w:p>
        </w:tc>
        <w:tc>
          <w:tcPr>
            <w:tcW w:w="354" w:type="pct"/>
            <w:shd w:val="clear" w:color="auto" w:fill="auto"/>
            <w:noWrap/>
            <w:hideMark/>
          </w:tcPr>
          <w:p w14:paraId="6B930B9E" w14:textId="77777777" w:rsidR="00F96346" w:rsidRPr="005D5FAF" w:rsidRDefault="00F96346" w:rsidP="00F96346">
            <w:pPr>
              <w:jc w:val="center"/>
              <w:rPr>
                <w:sz w:val="18"/>
                <w:szCs w:val="18"/>
              </w:rPr>
            </w:pPr>
          </w:p>
        </w:tc>
        <w:tc>
          <w:tcPr>
            <w:tcW w:w="354" w:type="pct"/>
            <w:shd w:val="clear" w:color="auto" w:fill="auto"/>
            <w:noWrap/>
            <w:hideMark/>
          </w:tcPr>
          <w:p w14:paraId="0331A8DC" w14:textId="77777777" w:rsidR="00F96346" w:rsidRPr="005D5FAF" w:rsidRDefault="00F96346" w:rsidP="00F96346">
            <w:pPr>
              <w:jc w:val="center"/>
              <w:rPr>
                <w:sz w:val="18"/>
                <w:szCs w:val="18"/>
              </w:rPr>
            </w:pPr>
          </w:p>
        </w:tc>
        <w:tc>
          <w:tcPr>
            <w:tcW w:w="351" w:type="pct"/>
            <w:shd w:val="clear" w:color="auto" w:fill="auto"/>
            <w:noWrap/>
            <w:hideMark/>
          </w:tcPr>
          <w:p w14:paraId="2327A829" w14:textId="77777777" w:rsidR="00F96346" w:rsidRPr="005D5FAF" w:rsidRDefault="00F96346" w:rsidP="00F96346">
            <w:pPr>
              <w:jc w:val="center"/>
              <w:rPr>
                <w:sz w:val="18"/>
                <w:szCs w:val="18"/>
              </w:rPr>
            </w:pPr>
          </w:p>
        </w:tc>
        <w:tc>
          <w:tcPr>
            <w:tcW w:w="309" w:type="pct"/>
            <w:shd w:val="clear" w:color="auto" w:fill="auto"/>
            <w:noWrap/>
            <w:hideMark/>
          </w:tcPr>
          <w:p w14:paraId="436AF521" w14:textId="77777777" w:rsidR="00F96346" w:rsidRPr="005D5FAF" w:rsidRDefault="00F96346" w:rsidP="00F96346">
            <w:pPr>
              <w:jc w:val="center"/>
              <w:rPr>
                <w:sz w:val="18"/>
                <w:szCs w:val="18"/>
              </w:rPr>
            </w:pPr>
          </w:p>
        </w:tc>
        <w:tc>
          <w:tcPr>
            <w:tcW w:w="410" w:type="pct"/>
            <w:shd w:val="clear" w:color="auto" w:fill="auto"/>
            <w:noWrap/>
            <w:hideMark/>
          </w:tcPr>
          <w:p w14:paraId="794AC15C" w14:textId="77777777" w:rsidR="00F96346" w:rsidRPr="005D5FAF" w:rsidRDefault="00F96346" w:rsidP="00F96346">
            <w:pPr>
              <w:jc w:val="center"/>
              <w:rPr>
                <w:sz w:val="18"/>
                <w:szCs w:val="18"/>
              </w:rPr>
            </w:pPr>
          </w:p>
        </w:tc>
      </w:tr>
      <w:tr w:rsidR="00F54A3F" w:rsidRPr="00F96346" w14:paraId="699D9D14" w14:textId="77777777" w:rsidTr="00F54A3F">
        <w:trPr>
          <w:trHeight w:val="300"/>
        </w:trPr>
        <w:tc>
          <w:tcPr>
            <w:tcW w:w="1896" w:type="pct"/>
            <w:shd w:val="clear" w:color="auto" w:fill="auto"/>
            <w:noWrap/>
            <w:vAlign w:val="bottom"/>
            <w:hideMark/>
          </w:tcPr>
          <w:p w14:paraId="58DE9A21" w14:textId="77777777" w:rsidR="00F96346" w:rsidRPr="005D5FAF" w:rsidRDefault="00F96346" w:rsidP="00F96346">
            <w:pPr>
              <w:rPr>
                <w:b/>
                <w:bCs/>
                <w:sz w:val="18"/>
                <w:szCs w:val="18"/>
              </w:rPr>
            </w:pPr>
            <w:r w:rsidRPr="005D5FAF">
              <w:rPr>
                <w:b/>
                <w:bCs/>
                <w:sz w:val="18"/>
                <w:szCs w:val="18"/>
              </w:rPr>
              <w:t>--Time to export: Border compliance (hours)</w:t>
            </w:r>
          </w:p>
        </w:tc>
        <w:tc>
          <w:tcPr>
            <w:tcW w:w="601" w:type="pct"/>
            <w:shd w:val="clear" w:color="auto" w:fill="auto"/>
            <w:noWrap/>
            <w:vAlign w:val="bottom"/>
            <w:hideMark/>
          </w:tcPr>
          <w:p w14:paraId="6ECBCC96" w14:textId="77777777" w:rsidR="00F96346" w:rsidRPr="005D5FAF" w:rsidRDefault="00F96346" w:rsidP="00F96346">
            <w:pPr>
              <w:jc w:val="center"/>
              <w:rPr>
                <w:sz w:val="18"/>
                <w:szCs w:val="18"/>
              </w:rPr>
            </w:pPr>
            <w:r w:rsidRPr="005D5FAF">
              <w:rPr>
                <w:sz w:val="18"/>
                <w:szCs w:val="18"/>
              </w:rPr>
              <w:t>100</w:t>
            </w:r>
          </w:p>
        </w:tc>
        <w:tc>
          <w:tcPr>
            <w:tcW w:w="379" w:type="pct"/>
            <w:shd w:val="clear" w:color="auto" w:fill="auto"/>
            <w:noWrap/>
            <w:vAlign w:val="bottom"/>
            <w:hideMark/>
          </w:tcPr>
          <w:p w14:paraId="1B748636" w14:textId="77777777" w:rsidR="00F96346" w:rsidRPr="005D5FAF" w:rsidRDefault="00F96346" w:rsidP="00F96346">
            <w:pPr>
              <w:jc w:val="center"/>
              <w:rPr>
                <w:sz w:val="18"/>
                <w:szCs w:val="18"/>
              </w:rPr>
            </w:pPr>
            <w:r w:rsidRPr="005D5FAF">
              <w:rPr>
                <w:sz w:val="18"/>
                <w:szCs w:val="18"/>
              </w:rPr>
              <w:t>26</w:t>
            </w:r>
          </w:p>
        </w:tc>
        <w:tc>
          <w:tcPr>
            <w:tcW w:w="347" w:type="pct"/>
            <w:shd w:val="clear" w:color="auto" w:fill="auto"/>
            <w:noWrap/>
            <w:vAlign w:val="bottom"/>
            <w:hideMark/>
          </w:tcPr>
          <w:p w14:paraId="604D98DC" w14:textId="77777777" w:rsidR="00F96346" w:rsidRPr="005D5FAF" w:rsidRDefault="00F96346" w:rsidP="00F96346">
            <w:pPr>
              <w:jc w:val="center"/>
              <w:rPr>
                <w:sz w:val="18"/>
                <w:szCs w:val="18"/>
              </w:rPr>
            </w:pPr>
            <w:r w:rsidRPr="005D5FAF">
              <w:rPr>
                <w:sz w:val="18"/>
                <w:szCs w:val="18"/>
              </w:rPr>
              <w:t>106</w:t>
            </w:r>
          </w:p>
        </w:tc>
        <w:tc>
          <w:tcPr>
            <w:tcW w:w="354" w:type="pct"/>
            <w:shd w:val="clear" w:color="auto" w:fill="auto"/>
            <w:noWrap/>
            <w:vAlign w:val="bottom"/>
            <w:hideMark/>
          </w:tcPr>
          <w:p w14:paraId="1BEE288F" w14:textId="77777777" w:rsidR="00F96346" w:rsidRPr="005D5FAF" w:rsidRDefault="00F96346" w:rsidP="00F96346">
            <w:pPr>
              <w:jc w:val="center"/>
              <w:rPr>
                <w:sz w:val="18"/>
                <w:szCs w:val="18"/>
              </w:rPr>
            </w:pPr>
            <w:r w:rsidRPr="005D5FAF">
              <w:rPr>
                <w:sz w:val="18"/>
                <w:szCs w:val="18"/>
              </w:rPr>
              <w:t>53</w:t>
            </w:r>
          </w:p>
        </w:tc>
        <w:tc>
          <w:tcPr>
            <w:tcW w:w="354" w:type="pct"/>
            <w:shd w:val="clear" w:color="auto" w:fill="auto"/>
            <w:noWrap/>
            <w:vAlign w:val="bottom"/>
            <w:hideMark/>
          </w:tcPr>
          <w:p w14:paraId="1A96BA5D" w14:textId="77777777" w:rsidR="00F96346" w:rsidRPr="005D5FAF" w:rsidRDefault="00F96346" w:rsidP="00F96346">
            <w:pPr>
              <w:jc w:val="center"/>
              <w:rPr>
                <w:sz w:val="18"/>
                <w:szCs w:val="18"/>
              </w:rPr>
            </w:pPr>
            <w:r w:rsidRPr="005D5FAF">
              <w:rPr>
                <w:sz w:val="18"/>
                <w:szCs w:val="18"/>
              </w:rPr>
              <w:t>75</w:t>
            </w:r>
          </w:p>
        </w:tc>
        <w:tc>
          <w:tcPr>
            <w:tcW w:w="351" w:type="pct"/>
            <w:shd w:val="clear" w:color="auto" w:fill="auto"/>
            <w:noWrap/>
            <w:vAlign w:val="bottom"/>
            <w:hideMark/>
          </w:tcPr>
          <w:p w14:paraId="23782F0B" w14:textId="77777777" w:rsidR="00F96346" w:rsidRPr="005D5FAF" w:rsidRDefault="00F96346" w:rsidP="00F96346">
            <w:pPr>
              <w:jc w:val="center"/>
              <w:rPr>
                <w:sz w:val="18"/>
                <w:szCs w:val="18"/>
              </w:rPr>
            </w:pPr>
            <w:r w:rsidRPr="005D5FAF">
              <w:rPr>
                <w:sz w:val="18"/>
                <w:szCs w:val="18"/>
              </w:rPr>
              <w:t>43</w:t>
            </w:r>
          </w:p>
        </w:tc>
        <w:tc>
          <w:tcPr>
            <w:tcW w:w="309" w:type="pct"/>
            <w:shd w:val="clear" w:color="auto" w:fill="auto"/>
            <w:noWrap/>
            <w:vAlign w:val="bottom"/>
            <w:hideMark/>
          </w:tcPr>
          <w:p w14:paraId="54B187BF" w14:textId="77777777" w:rsidR="00F96346" w:rsidRPr="005D5FAF" w:rsidRDefault="00F96346" w:rsidP="00F96346">
            <w:pPr>
              <w:jc w:val="center"/>
              <w:rPr>
                <w:sz w:val="18"/>
                <w:szCs w:val="18"/>
              </w:rPr>
            </w:pPr>
            <w:r w:rsidRPr="005D5FAF">
              <w:rPr>
                <w:sz w:val="18"/>
                <w:szCs w:val="18"/>
              </w:rPr>
              <w:t>58</w:t>
            </w:r>
          </w:p>
        </w:tc>
        <w:tc>
          <w:tcPr>
            <w:tcW w:w="410" w:type="pct"/>
            <w:shd w:val="clear" w:color="auto" w:fill="auto"/>
            <w:noWrap/>
            <w:vAlign w:val="bottom"/>
            <w:hideMark/>
          </w:tcPr>
          <w:p w14:paraId="39B1808E" w14:textId="77777777" w:rsidR="00F96346" w:rsidRPr="005D5FAF" w:rsidRDefault="00F96346" w:rsidP="00F96346">
            <w:pPr>
              <w:jc w:val="center"/>
              <w:rPr>
                <w:sz w:val="18"/>
                <w:szCs w:val="18"/>
              </w:rPr>
            </w:pPr>
            <w:r w:rsidRPr="005D5FAF">
              <w:rPr>
                <w:sz w:val="18"/>
                <w:szCs w:val="18"/>
              </w:rPr>
              <w:t>0</w:t>
            </w:r>
          </w:p>
        </w:tc>
      </w:tr>
      <w:tr w:rsidR="00F54A3F" w:rsidRPr="00F96346" w14:paraId="79011017" w14:textId="77777777" w:rsidTr="00F54A3F">
        <w:trPr>
          <w:trHeight w:val="270"/>
        </w:trPr>
        <w:tc>
          <w:tcPr>
            <w:tcW w:w="1896" w:type="pct"/>
            <w:shd w:val="clear" w:color="auto" w:fill="auto"/>
            <w:noWrap/>
            <w:vAlign w:val="bottom"/>
            <w:hideMark/>
          </w:tcPr>
          <w:p w14:paraId="5E9FEBC5" w14:textId="77777777" w:rsidR="00F96346" w:rsidRPr="005D5FAF" w:rsidRDefault="00F96346" w:rsidP="00F96346">
            <w:pPr>
              <w:rPr>
                <w:b/>
                <w:bCs/>
                <w:sz w:val="18"/>
                <w:szCs w:val="18"/>
              </w:rPr>
            </w:pPr>
            <w:r w:rsidRPr="005D5FAF">
              <w:rPr>
                <w:b/>
                <w:bCs/>
                <w:sz w:val="18"/>
                <w:szCs w:val="18"/>
              </w:rPr>
              <w:t>--Cost to export: Border compliance (USD)</w:t>
            </w:r>
          </w:p>
        </w:tc>
        <w:tc>
          <w:tcPr>
            <w:tcW w:w="601" w:type="pct"/>
            <w:shd w:val="clear" w:color="auto" w:fill="auto"/>
            <w:noWrap/>
            <w:vAlign w:val="bottom"/>
            <w:hideMark/>
          </w:tcPr>
          <w:p w14:paraId="3824C6CC" w14:textId="77777777" w:rsidR="00F96346" w:rsidRPr="005D5FAF" w:rsidRDefault="00F96346" w:rsidP="00F96346">
            <w:pPr>
              <w:jc w:val="center"/>
              <w:rPr>
                <w:sz w:val="18"/>
                <w:szCs w:val="18"/>
              </w:rPr>
            </w:pPr>
            <w:r w:rsidRPr="005D5FAF">
              <w:rPr>
                <w:sz w:val="18"/>
                <w:szCs w:val="18"/>
              </w:rPr>
              <w:t>408</w:t>
            </w:r>
          </w:p>
        </w:tc>
        <w:tc>
          <w:tcPr>
            <w:tcW w:w="379" w:type="pct"/>
            <w:shd w:val="clear" w:color="auto" w:fill="auto"/>
            <w:noWrap/>
            <w:vAlign w:val="bottom"/>
            <w:hideMark/>
          </w:tcPr>
          <w:p w14:paraId="75EB5EF7" w14:textId="77777777" w:rsidR="00F96346" w:rsidRPr="005D5FAF" w:rsidRDefault="00F96346" w:rsidP="00F96346">
            <w:pPr>
              <w:jc w:val="center"/>
              <w:rPr>
                <w:sz w:val="18"/>
                <w:szCs w:val="18"/>
              </w:rPr>
            </w:pPr>
            <w:r w:rsidRPr="005D5FAF">
              <w:rPr>
                <w:sz w:val="18"/>
                <w:szCs w:val="18"/>
              </w:rPr>
              <w:t>522</w:t>
            </w:r>
          </w:p>
        </w:tc>
        <w:tc>
          <w:tcPr>
            <w:tcW w:w="347" w:type="pct"/>
            <w:shd w:val="clear" w:color="auto" w:fill="auto"/>
            <w:noWrap/>
            <w:vAlign w:val="bottom"/>
            <w:hideMark/>
          </w:tcPr>
          <w:p w14:paraId="61A72848" w14:textId="77777777" w:rsidR="00F96346" w:rsidRPr="005D5FAF" w:rsidRDefault="00F96346" w:rsidP="00F96346">
            <w:pPr>
              <w:jc w:val="center"/>
              <w:rPr>
                <w:sz w:val="18"/>
                <w:szCs w:val="18"/>
              </w:rPr>
            </w:pPr>
            <w:r w:rsidRPr="005D5FAF">
              <w:rPr>
                <w:sz w:val="18"/>
                <w:szCs w:val="18"/>
              </w:rPr>
              <w:t>413</w:t>
            </w:r>
          </w:p>
        </w:tc>
        <w:tc>
          <w:tcPr>
            <w:tcW w:w="354" w:type="pct"/>
            <w:shd w:val="clear" w:color="auto" w:fill="auto"/>
            <w:noWrap/>
            <w:vAlign w:val="bottom"/>
            <w:hideMark/>
          </w:tcPr>
          <w:p w14:paraId="64C14A6A" w14:textId="77777777" w:rsidR="00F96346" w:rsidRPr="005D5FAF" w:rsidRDefault="00F96346" w:rsidP="00F96346">
            <w:pPr>
              <w:jc w:val="center"/>
              <w:rPr>
                <w:sz w:val="18"/>
                <w:szCs w:val="18"/>
              </w:rPr>
            </w:pPr>
            <w:r w:rsidRPr="005D5FAF">
              <w:rPr>
                <w:sz w:val="18"/>
                <w:szCs w:val="18"/>
              </w:rPr>
              <w:t>254</w:t>
            </w:r>
          </w:p>
        </w:tc>
        <w:tc>
          <w:tcPr>
            <w:tcW w:w="354" w:type="pct"/>
            <w:shd w:val="clear" w:color="auto" w:fill="auto"/>
            <w:noWrap/>
            <w:vAlign w:val="bottom"/>
            <w:hideMark/>
          </w:tcPr>
          <w:p w14:paraId="6650B2CD" w14:textId="77777777" w:rsidR="00F96346" w:rsidRPr="005D5FAF" w:rsidRDefault="00F96346" w:rsidP="00F96346">
            <w:pPr>
              <w:jc w:val="center"/>
              <w:rPr>
                <w:sz w:val="18"/>
                <w:szCs w:val="18"/>
              </w:rPr>
            </w:pPr>
            <w:r w:rsidRPr="005D5FAF">
              <w:rPr>
                <w:sz w:val="18"/>
                <w:szCs w:val="18"/>
              </w:rPr>
              <w:t>426</w:t>
            </w:r>
          </w:p>
        </w:tc>
        <w:tc>
          <w:tcPr>
            <w:tcW w:w="351" w:type="pct"/>
            <w:shd w:val="clear" w:color="auto" w:fill="auto"/>
            <w:noWrap/>
            <w:vAlign w:val="bottom"/>
            <w:hideMark/>
          </w:tcPr>
          <w:p w14:paraId="40E84AB3" w14:textId="77777777" w:rsidR="00F96346" w:rsidRPr="005D5FAF" w:rsidRDefault="00F96346" w:rsidP="00F96346">
            <w:pPr>
              <w:jc w:val="center"/>
              <w:rPr>
                <w:sz w:val="18"/>
                <w:szCs w:val="18"/>
              </w:rPr>
            </w:pPr>
            <w:r w:rsidRPr="005D5FAF">
              <w:rPr>
                <w:sz w:val="18"/>
                <w:szCs w:val="18"/>
              </w:rPr>
              <w:t>366</w:t>
            </w:r>
          </w:p>
        </w:tc>
        <w:tc>
          <w:tcPr>
            <w:tcW w:w="309" w:type="pct"/>
            <w:shd w:val="clear" w:color="auto" w:fill="auto"/>
            <w:noWrap/>
            <w:vAlign w:val="bottom"/>
            <w:hideMark/>
          </w:tcPr>
          <w:p w14:paraId="2A8681E8" w14:textId="77777777" w:rsidR="00F96346" w:rsidRPr="005D5FAF" w:rsidRDefault="00F96346" w:rsidP="00F96346">
            <w:pPr>
              <w:jc w:val="center"/>
              <w:rPr>
                <w:sz w:val="18"/>
                <w:szCs w:val="18"/>
              </w:rPr>
            </w:pPr>
            <w:r w:rsidRPr="005D5FAF">
              <w:rPr>
                <w:sz w:val="18"/>
                <w:szCs w:val="18"/>
              </w:rPr>
              <w:t>309</w:t>
            </w:r>
          </w:p>
        </w:tc>
        <w:tc>
          <w:tcPr>
            <w:tcW w:w="410" w:type="pct"/>
            <w:shd w:val="clear" w:color="auto" w:fill="auto"/>
            <w:noWrap/>
            <w:vAlign w:val="bottom"/>
            <w:hideMark/>
          </w:tcPr>
          <w:p w14:paraId="053262B3" w14:textId="77777777" w:rsidR="00F96346" w:rsidRPr="005D5FAF" w:rsidRDefault="00F96346" w:rsidP="00F96346">
            <w:pPr>
              <w:jc w:val="center"/>
              <w:rPr>
                <w:sz w:val="18"/>
                <w:szCs w:val="18"/>
              </w:rPr>
            </w:pPr>
            <w:r w:rsidRPr="005D5FAF">
              <w:rPr>
                <w:sz w:val="18"/>
                <w:szCs w:val="18"/>
              </w:rPr>
              <w:t>0</w:t>
            </w:r>
          </w:p>
        </w:tc>
      </w:tr>
      <w:tr w:rsidR="00F54A3F" w:rsidRPr="00F96346" w14:paraId="22FBD434" w14:textId="77777777" w:rsidTr="00F54A3F">
        <w:trPr>
          <w:trHeight w:val="300"/>
        </w:trPr>
        <w:tc>
          <w:tcPr>
            <w:tcW w:w="1896" w:type="pct"/>
            <w:shd w:val="clear" w:color="auto" w:fill="auto"/>
            <w:noWrap/>
            <w:vAlign w:val="bottom"/>
            <w:hideMark/>
          </w:tcPr>
          <w:p w14:paraId="38D342DC" w14:textId="77777777" w:rsidR="00F96346" w:rsidRPr="005D5FAF" w:rsidRDefault="00F96346" w:rsidP="00F96346">
            <w:pPr>
              <w:rPr>
                <w:b/>
                <w:bCs/>
                <w:sz w:val="18"/>
                <w:szCs w:val="18"/>
              </w:rPr>
            </w:pPr>
            <w:r w:rsidRPr="005D5FAF">
              <w:rPr>
                <w:b/>
                <w:bCs/>
                <w:sz w:val="18"/>
                <w:szCs w:val="18"/>
              </w:rPr>
              <w:t>--Time to export: Documentary compliance (hours)</w:t>
            </w:r>
          </w:p>
        </w:tc>
        <w:tc>
          <w:tcPr>
            <w:tcW w:w="601" w:type="pct"/>
            <w:shd w:val="clear" w:color="auto" w:fill="auto"/>
            <w:noWrap/>
            <w:vAlign w:val="bottom"/>
            <w:hideMark/>
          </w:tcPr>
          <w:p w14:paraId="1BB8B92E" w14:textId="77777777" w:rsidR="00F96346" w:rsidRPr="005D5FAF" w:rsidRDefault="00F96346" w:rsidP="00F96346">
            <w:pPr>
              <w:jc w:val="center"/>
              <w:rPr>
                <w:sz w:val="18"/>
                <w:szCs w:val="18"/>
              </w:rPr>
            </w:pPr>
            <w:r w:rsidRPr="005D5FAF">
              <w:rPr>
                <w:sz w:val="18"/>
                <w:szCs w:val="18"/>
              </w:rPr>
              <w:t>147</w:t>
            </w:r>
          </w:p>
        </w:tc>
        <w:tc>
          <w:tcPr>
            <w:tcW w:w="379" w:type="pct"/>
            <w:shd w:val="clear" w:color="auto" w:fill="auto"/>
            <w:noWrap/>
            <w:vAlign w:val="bottom"/>
            <w:hideMark/>
          </w:tcPr>
          <w:p w14:paraId="18A4E996" w14:textId="77777777" w:rsidR="00F96346" w:rsidRPr="005D5FAF" w:rsidRDefault="00F96346" w:rsidP="00F96346">
            <w:pPr>
              <w:jc w:val="center"/>
              <w:rPr>
                <w:sz w:val="18"/>
                <w:szCs w:val="18"/>
              </w:rPr>
            </w:pPr>
            <w:r w:rsidRPr="005D5FAF">
              <w:rPr>
                <w:sz w:val="18"/>
                <w:szCs w:val="18"/>
              </w:rPr>
              <w:t>21</w:t>
            </w:r>
          </w:p>
        </w:tc>
        <w:tc>
          <w:tcPr>
            <w:tcW w:w="347" w:type="pct"/>
            <w:shd w:val="clear" w:color="auto" w:fill="auto"/>
            <w:noWrap/>
            <w:vAlign w:val="bottom"/>
            <w:hideMark/>
          </w:tcPr>
          <w:p w14:paraId="09A1EB19" w14:textId="77777777" w:rsidR="00F96346" w:rsidRPr="005D5FAF" w:rsidRDefault="00F96346" w:rsidP="00F96346">
            <w:pPr>
              <w:jc w:val="center"/>
              <w:rPr>
                <w:sz w:val="18"/>
                <w:szCs w:val="18"/>
              </w:rPr>
            </w:pPr>
            <w:r w:rsidRPr="005D5FAF">
              <w:rPr>
                <w:sz w:val="18"/>
                <w:szCs w:val="18"/>
              </w:rPr>
              <w:t>38</w:t>
            </w:r>
          </w:p>
        </w:tc>
        <w:tc>
          <w:tcPr>
            <w:tcW w:w="354" w:type="pct"/>
            <w:shd w:val="clear" w:color="auto" w:fill="auto"/>
            <w:noWrap/>
            <w:vAlign w:val="bottom"/>
            <w:hideMark/>
          </w:tcPr>
          <w:p w14:paraId="23C4DC20" w14:textId="77777777" w:rsidR="00F96346" w:rsidRPr="005D5FAF" w:rsidRDefault="00F96346" w:rsidP="00F96346">
            <w:pPr>
              <w:jc w:val="center"/>
              <w:rPr>
                <w:sz w:val="18"/>
                <w:szCs w:val="18"/>
              </w:rPr>
            </w:pPr>
            <w:r w:rsidRPr="005D5FAF">
              <w:rPr>
                <w:sz w:val="18"/>
                <w:szCs w:val="18"/>
              </w:rPr>
              <w:t>61</w:t>
            </w:r>
          </w:p>
        </w:tc>
        <w:tc>
          <w:tcPr>
            <w:tcW w:w="354" w:type="pct"/>
            <w:shd w:val="clear" w:color="auto" w:fill="auto"/>
            <w:noWrap/>
            <w:vAlign w:val="bottom"/>
            <w:hideMark/>
          </w:tcPr>
          <w:p w14:paraId="523D7A63" w14:textId="77777777" w:rsidR="00F96346" w:rsidRPr="005D5FAF" w:rsidRDefault="00F96346" w:rsidP="00F96346">
            <w:pPr>
              <w:jc w:val="center"/>
              <w:rPr>
                <w:sz w:val="18"/>
                <w:szCs w:val="18"/>
              </w:rPr>
            </w:pPr>
            <w:r w:rsidRPr="005D5FAF">
              <w:rPr>
                <w:sz w:val="18"/>
                <w:szCs w:val="18"/>
              </w:rPr>
              <w:t>59</w:t>
            </w:r>
          </w:p>
        </w:tc>
        <w:tc>
          <w:tcPr>
            <w:tcW w:w="351" w:type="pct"/>
            <w:shd w:val="clear" w:color="auto" w:fill="auto"/>
            <w:noWrap/>
            <w:vAlign w:val="bottom"/>
            <w:hideMark/>
          </w:tcPr>
          <w:p w14:paraId="1B8CFBBD" w14:textId="77777777" w:rsidR="00F96346" w:rsidRPr="005D5FAF" w:rsidRDefault="00F96346" w:rsidP="00F96346">
            <w:pPr>
              <w:jc w:val="center"/>
              <w:rPr>
                <w:sz w:val="18"/>
                <w:szCs w:val="18"/>
              </w:rPr>
            </w:pPr>
            <w:r w:rsidRPr="005D5FAF">
              <w:rPr>
                <w:sz w:val="18"/>
                <w:szCs w:val="18"/>
              </w:rPr>
              <w:t>76</w:t>
            </w:r>
          </w:p>
        </w:tc>
        <w:tc>
          <w:tcPr>
            <w:tcW w:w="309" w:type="pct"/>
            <w:shd w:val="clear" w:color="auto" w:fill="auto"/>
            <w:noWrap/>
            <w:vAlign w:val="bottom"/>
            <w:hideMark/>
          </w:tcPr>
          <w:p w14:paraId="0AA237FD" w14:textId="77777777" w:rsidR="00F96346" w:rsidRPr="005D5FAF" w:rsidRDefault="00F96346" w:rsidP="00F96346">
            <w:pPr>
              <w:jc w:val="center"/>
              <w:rPr>
                <w:sz w:val="18"/>
                <w:szCs w:val="18"/>
              </w:rPr>
            </w:pPr>
            <w:r w:rsidRPr="005D5FAF">
              <w:rPr>
                <w:sz w:val="18"/>
                <w:szCs w:val="18"/>
              </w:rPr>
              <w:t>50</w:t>
            </w:r>
          </w:p>
        </w:tc>
        <w:tc>
          <w:tcPr>
            <w:tcW w:w="410" w:type="pct"/>
            <w:shd w:val="clear" w:color="auto" w:fill="auto"/>
            <w:noWrap/>
            <w:vAlign w:val="bottom"/>
            <w:hideMark/>
          </w:tcPr>
          <w:p w14:paraId="0C4A8C7A" w14:textId="77777777" w:rsidR="00F96346" w:rsidRPr="005D5FAF" w:rsidRDefault="00F96346" w:rsidP="00F96346">
            <w:pPr>
              <w:jc w:val="center"/>
              <w:rPr>
                <w:sz w:val="18"/>
                <w:szCs w:val="18"/>
              </w:rPr>
            </w:pPr>
            <w:r w:rsidRPr="005D5FAF">
              <w:rPr>
                <w:sz w:val="18"/>
                <w:szCs w:val="18"/>
              </w:rPr>
              <w:t>1</w:t>
            </w:r>
          </w:p>
        </w:tc>
      </w:tr>
      <w:tr w:rsidR="00F54A3F" w:rsidRPr="00F96346" w14:paraId="5F47A115" w14:textId="77777777" w:rsidTr="00F54A3F">
        <w:trPr>
          <w:trHeight w:val="207"/>
        </w:trPr>
        <w:tc>
          <w:tcPr>
            <w:tcW w:w="1896" w:type="pct"/>
            <w:shd w:val="clear" w:color="auto" w:fill="auto"/>
            <w:noWrap/>
            <w:vAlign w:val="bottom"/>
            <w:hideMark/>
          </w:tcPr>
          <w:p w14:paraId="320884FD" w14:textId="77777777" w:rsidR="00F96346" w:rsidRPr="005D5FAF" w:rsidRDefault="00F96346" w:rsidP="00F96346">
            <w:pPr>
              <w:rPr>
                <w:b/>
                <w:bCs/>
                <w:sz w:val="18"/>
                <w:szCs w:val="18"/>
              </w:rPr>
            </w:pPr>
            <w:r w:rsidRPr="005D5FAF">
              <w:rPr>
                <w:b/>
                <w:bCs/>
                <w:sz w:val="18"/>
                <w:szCs w:val="18"/>
              </w:rPr>
              <w:t>--Cost to export: Documentary compliance (USD)</w:t>
            </w:r>
          </w:p>
        </w:tc>
        <w:tc>
          <w:tcPr>
            <w:tcW w:w="601" w:type="pct"/>
            <w:shd w:val="clear" w:color="auto" w:fill="auto"/>
            <w:noWrap/>
            <w:vAlign w:val="bottom"/>
            <w:hideMark/>
          </w:tcPr>
          <w:p w14:paraId="0BE2BD4C" w14:textId="77777777" w:rsidR="00F96346" w:rsidRPr="005D5FAF" w:rsidRDefault="00F96346" w:rsidP="00F96346">
            <w:pPr>
              <w:jc w:val="center"/>
              <w:rPr>
                <w:sz w:val="18"/>
                <w:szCs w:val="18"/>
              </w:rPr>
            </w:pPr>
            <w:r w:rsidRPr="005D5FAF">
              <w:rPr>
                <w:sz w:val="18"/>
                <w:szCs w:val="18"/>
              </w:rPr>
              <w:t>225</w:t>
            </w:r>
          </w:p>
        </w:tc>
        <w:tc>
          <w:tcPr>
            <w:tcW w:w="379" w:type="pct"/>
            <w:shd w:val="clear" w:color="auto" w:fill="auto"/>
            <w:noWrap/>
            <w:vAlign w:val="bottom"/>
            <w:hideMark/>
          </w:tcPr>
          <w:p w14:paraId="1484C8DB" w14:textId="77777777" w:rsidR="00F96346" w:rsidRPr="005D5FAF" w:rsidRDefault="00F96346" w:rsidP="00F96346">
            <w:pPr>
              <w:jc w:val="center"/>
              <w:rPr>
                <w:sz w:val="18"/>
                <w:szCs w:val="18"/>
              </w:rPr>
            </w:pPr>
            <w:r w:rsidRPr="005D5FAF">
              <w:rPr>
                <w:sz w:val="18"/>
                <w:szCs w:val="18"/>
              </w:rPr>
              <w:t>85</w:t>
            </w:r>
          </w:p>
        </w:tc>
        <w:tc>
          <w:tcPr>
            <w:tcW w:w="347" w:type="pct"/>
            <w:shd w:val="clear" w:color="auto" w:fill="auto"/>
            <w:noWrap/>
            <w:vAlign w:val="bottom"/>
            <w:hideMark/>
          </w:tcPr>
          <w:p w14:paraId="451A2E88" w14:textId="77777777" w:rsidR="00F96346" w:rsidRPr="005D5FAF" w:rsidRDefault="00F96346" w:rsidP="00F96346">
            <w:pPr>
              <w:jc w:val="center"/>
              <w:rPr>
                <w:sz w:val="18"/>
                <w:szCs w:val="18"/>
              </w:rPr>
            </w:pPr>
            <w:r w:rsidRPr="005D5FAF">
              <w:rPr>
                <w:sz w:val="18"/>
                <w:szCs w:val="18"/>
              </w:rPr>
              <w:t>92</w:t>
            </w:r>
          </w:p>
        </w:tc>
        <w:tc>
          <w:tcPr>
            <w:tcW w:w="354" w:type="pct"/>
            <w:shd w:val="clear" w:color="auto" w:fill="auto"/>
            <w:noWrap/>
            <w:vAlign w:val="bottom"/>
            <w:hideMark/>
          </w:tcPr>
          <w:p w14:paraId="1878015C" w14:textId="77777777" w:rsidR="00F96346" w:rsidRPr="005D5FAF" w:rsidRDefault="00F96346" w:rsidP="00F96346">
            <w:pPr>
              <w:jc w:val="center"/>
              <w:rPr>
                <w:sz w:val="18"/>
                <w:szCs w:val="18"/>
              </w:rPr>
            </w:pPr>
            <w:r w:rsidRPr="005D5FAF">
              <w:rPr>
                <w:sz w:val="18"/>
                <w:szCs w:val="18"/>
              </w:rPr>
              <w:t>139</w:t>
            </w:r>
          </w:p>
        </w:tc>
        <w:tc>
          <w:tcPr>
            <w:tcW w:w="354" w:type="pct"/>
            <w:shd w:val="clear" w:color="auto" w:fill="auto"/>
            <w:noWrap/>
            <w:vAlign w:val="bottom"/>
            <w:hideMark/>
          </w:tcPr>
          <w:p w14:paraId="4ED8D3C1" w14:textId="77777777" w:rsidR="00F96346" w:rsidRPr="005D5FAF" w:rsidRDefault="00F96346" w:rsidP="00F96346">
            <w:pPr>
              <w:jc w:val="center"/>
              <w:rPr>
                <w:sz w:val="18"/>
                <w:szCs w:val="18"/>
              </w:rPr>
            </w:pPr>
            <w:r w:rsidRPr="005D5FAF">
              <w:rPr>
                <w:sz w:val="18"/>
                <w:szCs w:val="18"/>
              </w:rPr>
              <w:t>307</w:t>
            </w:r>
          </w:p>
        </w:tc>
        <w:tc>
          <w:tcPr>
            <w:tcW w:w="351" w:type="pct"/>
            <w:shd w:val="clear" w:color="auto" w:fill="auto"/>
            <w:noWrap/>
            <w:vAlign w:val="bottom"/>
            <w:hideMark/>
          </w:tcPr>
          <w:p w14:paraId="6F4068D4" w14:textId="77777777" w:rsidR="00F96346" w:rsidRPr="005D5FAF" w:rsidRDefault="00F96346" w:rsidP="00F96346">
            <w:pPr>
              <w:jc w:val="center"/>
              <w:rPr>
                <w:sz w:val="18"/>
                <w:szCs w:val="18"/>
              </w:rPr>
            </w:pPr>
            <w:r w:rsidRPr="005D5FAF">
              <w:rPr>
                <w:sz w:val="18"/>
                <w:szCs w:val="18"/>
              </w:rPr>
              <w:t>58</w:t>
            </w:r>
          </w:p>
        </w:tc>
        <w:tc>
          <w:tcPr>
            <w:tcW w:w="309" w:type="pct"/>
            <w:shd w:val="clear" w:color="auto" w:fill="auto"/>
            <w:noWrap/>
            <w:vAlign w:val="bottom"/>
            <w:hideMark/>
          </w:tcPr>
          <w:p w14:paraId="1502856E" w14:textId="77777777" w:rsidR="00F96346" w:rsidRPr="005D5FAF" w:rsidRDefault="00F96346" w:rsidP="00F96346">
            <w:pPr>
              <w:jc w:val="center"/>
              <w:rPr>
                <w:sz w:val="18"/>
                <w:szCs w:val="18"/>
              </w:rPr>
            </w:pPr>
            <w:r w:rsidRPr="005D5FAF">
              <w:rPr>
                <w:sz w:val="18"/>
                <w:szCs w:val="18"/>
              </w:rPr>
              <w:t>139</w:t>
            </w:r>
          </w:p>
        </w:tc>
        <w:tc>
          <w:tcPr>
            <w:tcW w:w="410" w:type="pct"/>
            <w:shd w:val="clear" w:color="auto" w:fill="auto"/>
            <w:noWrap/>
            <w:vAlign w:val="bottom"/>
            <w:hideMark/>
          </w:tcPr>
          <w:p w14:paraId="1CC57C8B" w14:textId="77777777" w:rsidR="00F96346" w:rsidRPr="005D5FAF" w:rsidRDefault="00F96346" w:rsidP="00F96346">
            <w:pPr>
              <w:jc w:val="center"/>
              <w:rPr>
                <w:sz w:val="18"/>
                <w:szCs w:val="18"/>
              </w:rPr>
            </w:pPr>
            <w:r w:rsidRPr="005D5FAF">
              <w:rPr>
                <w:sz w:val="18"/>
                <w:szCs w:val="18"/>
              </w:rPr>
              <w:t>0</w:t>
            </w:r>
          </w:p>
        </w:tc>
      </w:tr>
      <w:tr w:rsidR="00F54A3F" w:rsidRPr="00F96346" w14:paraId="44833A06" w14:textId="77777777" w:rsidTr="00F54A3F">
        <w:trPr>
          <w:trHeight w:val="300"/>
        </w:trPr>
        <w:tc>
          <w:tcPr>
            <w:tcW w:w="1896" w:type="pct"/>
            <w:shd w:val="clear" w:color="auto" w:fill="auto"/>
            <w:noWrap/>
            <w:vAlign w:val="bottom"/>
            <w:hideMark/>
          </w:tcPr>
          <w:p w14:paraId="59FB927F" w14:textId="77777777" w:rsidR="00F96346" w:rsidRPr="005D5FAF" w:rsidRDefault="00F96346" w:rsidP="00F96346">
            <w:pPr>
              <w:rPr>
                <w:b/>
                <w:bCs/>
                <w:sz w:val="18"/>
                <w:szCs w:val="18"/>
              </w:rPr>
            </w:pPr>
            <w:r w:rsidRPr="005D5FAF">
              <w:rPr>
                <w:b/>
                <w:bCs/>
                <w:sz w:val="18"/>
                <w:szCs w:val="18"/>
              </w:rPr>
              <w:t>--Time to import: Border compliance (hours)</w:t>
            </w:r>
          </w:p>
        </w:tc>
        <w:tc>
          <w:tcPr>
            <w:tcW w:w="601" w:type="pct"/>
            <w:shd w:val="clear" w:color="auto" w:fill="auto"/>
            <w:noWrap/>
            <w:vAlign w:val="bottom"/>
            <w:hideMark/>
          </w:tcPr>
          <w:p w14:paraId="232FF33F" w14:textId="77777777" w:rsidR="00F96346" w:rsidRPr="005D5FAF" w:rsidRDefault="00F96346" w:rsidP="00F96346">
            <w:pPr>
              <w:jc w:val="center"/>
              <w:rPr>
                <w:sz w:val="18"/>
                <w:szCs w:val="18"/>
              </w:rPr>
            </w:pPr>
            <w:r w:rsidRPr="005D5FAF">
              <w:rPr>
                <w:sz w:val="18"/>
                <w:szCs w:val="18"/>
              </w:rPr>
              <w:t>183</w:t>
            </w:r>
          </w:p>
        </w:tc>
        <w:tc>
          <w:tcPr>
            <w:tcW w:w="379" w:type="pct"/>
            <w:shd w:val="clear" w:color="auto" w:fill="auto"/>
            <w:noWrap/>
            <w:vAlign w:val="bottom"/>
            <w:hideMark/>
          </w:tcPr>
          <w:p w14:paraId="01937AF4" w14:textId="77777777" w:rsidR="00F96346" w:rsidRPr="005D5FAF" w:rsidRDefault="00F96346" w:rsidP="00F96346">
            <w:pPr>
              <w:jc w:val="center"/>
              <w:rPr>
                <w:sz w:val="18"/>
                <w:szCs w:val="18"/>
              </w:rPr>
            </w:pPr>
            <w:r w:rsidRPr="005D5FAF">
              <w:rPr>
                <w:sz w:val="18"/>
                <w:szCs w:val="18"/>
              </w:rPr>
              <w:t>92</w:t>
            </w:r>
          </w:p>
        </w:tc>
        <w:tc>
          <w:tcPr>
            <w:tcW w:w="347" w:type="pct"/>
            <w:shd w:val="clear" w:color="auto" w:fill="auto"/>
            <w:noWrap/>
            <w:vAlign w:val="bottom"/>
            <w:hideMark/>
          </w:tcPr>
          <w:p w14:paraId="11E0858F" w14:textId="77777777" w:rsidR="00F96346" w:rsidRPr="005D5FAF" w:rsidRDefault="00F96346" w:rsidP="00F96346">
            <w:pPr>
              <w:jc w:val="center"/>
              <w:rPr>
                <w:sz w:val="18"/>
                <w:szCs w:val="18"/>
              </w:rPr>
            </w:pPr>
            <w:r w:rsidRPr="005D5FAF">
              <w:rPr>
                <w:sz w:val="18"/>
                <w:szCs w:val="18"/>
              </w:rPr>
              <w:t>283</w:t>
            </w:r>
          </w:p>
        </w:tc>
        <w:tc>
          <w:tcPr>
            <w:tcW w:w="354" w:type="pct"/>
            <w:shd w:val="clear" w:color="auto" w:fill="auto"/>
            <w:noWrap/>
            <w:vAlign w:val="bottom"/>
            <w:hideMark/>
          </w:tcPr>
          <w:p w14:paraId="6D708B26" w14:textId="77777777" w:rsidR="00F96346" w:rsidRPr="005D5FAF" w:rsidRDefault="00F96346" w:rsidP="00F96346">
            <w:pPr>
              <w:jc w:val="center"/>
              <w:rPr>
                <w:sz w:val="18"/>
                <w:szCs w:val="18"/>
              </w:rPr>
            </w:pPr>
            <w:r w:rsidRPr="005D5FAF">
              <w:rPr>
                <w:sz w:val="18"/>
                <w:szCs w:val="18"/>
              </w:rPr>
              <w:t>99</w:t>
            </w:r>
          </w:p>
        </w:tc>
        <w:tc>
          <w:tcPr>
            <w:tcW w:w="354" w:type="pct"/>
            <w:shd w:val="clear" w:color="auto" w:fill="auto"/>
            <w:noWrap/>
            <w:vAlign w:val="bottom"/>
            <w:hideMark/>
          </w:tcPr>
          <w:p w14:paraId="11973219" w14:textId="77777777" w:rsidR="00F96346" w:rsidRPr="005D5FAF" w:rsidRDefault="00F96346" w:rsidP="00F96346">
            <w:pPr>
              <w:jc w:val="center"/>
              <w:rPr>
                <w:sz w:val="18"/>
                <w:szCs w:val="18"/>
              </w:rPr>
            </w:pPr>
            <w:r w:rsidRPr="005D5FAF">
              <w:rPr>
                <w:sz w:val="18"/>
                <w:szCs w:val="18"/>
              </w:rPr>
              <w:t>129</w:t>
            </w:r>
          </w:p>
        </w:tc>
        <w:tc>
          <w:tcPr>
            <w:tcW w:w="351" w:type="pct"/>
            <w:shd w:val="clear" w:color="auto" w:fill="auto"/>
            <w:noWrap/>
            <w:vAlign w:val="bottom"/>
            <w:hideMark/>
          </w:tcPr>
          <w:p w14:paraId="7069998F" w14:textId="77777777" w:rsidR="00F96346" w:rsidRPr="005D5FAF" w:rsidRDefault="00F96346" w:rsidP="00F96346">
            <w:pPr>
              <w:jc w:val="center"/>
              <w:rPr>
                <w:sz w:val="18"/>
                <w:szCs w:val="18"/>
              </w:rPr>
            </w:pPr>
            <w:r w:rsidRPr="005D5FAF">
              <w:rPr>
                <w:sz w:val="18"/>
                <w:szCs w:val="18"/>
              </w:rPr>
              <w:t>72</w:t>
            </w:r>
          </w:p>
        </w:tc>
        <w:tc>
          <w:tcPr>
            <w:tcW w:w="309" w:type="pct"/>
            <w:shd w:val="clear" w:color="auto" w:fill="auto"/>
            <w:noWrap/>
            <w:vAlign w:val="bottom"/>
            <w:hideMark/>
          </w:tcPr>
          <w:p w14:paraId="1E34F0CC" w14:textId="77777777" w:rsidR="00F96346" w:rsidRPr="005D5FAF" w:rsidRDefault="00F96346" w:rsidP="00F96346">
            <w:pPr>
              <w:jc w:val="center"/>
              <w:rPr>
                <w:sz w:val="18"/>
                <w:szCs w:val="18"/>
              </w:rPr>
            </w:pPr>
            <w:r w:rsidRPr="005D5FAF">
              <w:rPr>
                <w:sz w:val="18"/>
                <w:szCs w:val="18"/>
              </w:rPr>
              <w:t>62</w:t>
            </w:r>
          </w:p>
        </w:tc>
        <w:tc>
          <w:tcPr>
            <w:tcW w:w="410" w:type="pct"/>
            <w:shd w:val="clear" w:color="auto" w:fill="auto"/>
            <w:noWrap/>
            <w:vAlign w:val="bottom"/>
            <w:hideMark/>
          </w:tcPr>
          <w:p w14:paraId="700680AC" w14:textId="77777777" w:rsidR="00F96346" w:rsidRPr="005D5FAF" w:rsidRDefault="00F96346" w:rsidP="00F96346">
            <w:pPr>
              <w:jc w:val="center"/>
              <w:rPr>
                <w:sz w:val="18"/>
                <w:szCs w:val="18"/>
              </w:rPr>
            </w:pPr>
            <w:r w:rsidRPr="005D5FAF">
              <w:rPr>
                <w:sz w:val="18"/>
                <w:szCs w:val="18"/>
              </w:rPr>
              <w:t>0</w:t>
            </w:r>
          </w:p>
        </w:tc>
      </w:tr>
      <w:tr w:rsidR="00F54A3F" w:rsidRPr="00F96346" w14:paraId="1B808CD9" w14:textId="77777777" w:rsidTr="00F54A3F">
        <w:trPr>
          <w:trHeight w:val="153"/>
        </w:trPr>
        <w:tc>
          <w:tcPr>
            <w:tcW w:w="1896" w:type="pct"/>
            <w:shd w:val="clear" w:color="auto" w:fill="auto"/>
            <w:noWrap/>
            <w:vAlign w:val="bottom"/>
            <w:hideMark/>
          </w:tcPr>
          <w:p w14:paraId="7955D59D" w14:textId="77777777" w:rsidR="00F96346" w:rsidRPr="005D5FAF" w:rsidRDefault="00F96346" w:rsidP="00F96346">
            <w:pPr>
              <w:rPr>
                <w:b/>
                <w:bCs/>
                <w:sz w:val="18"/>
                <w:szCs w:val="18"/>
              </w:rPr>
            </w:pPr>
            <w:r w:rsidRPr="005D5FAF">
              <w:rPr>
                <w:b/>
                <w:bCs/>
                <w:sz w:val="18"/>
                <w:szCs w:val="18"/>
              </w:rPr>
              <w:t>--Cost to import: Border compliance (USD)</w:t>
            </w:r>
          </w:p>
        </w:tc>
        <w:tc>
          <w:tcPr>
            <w:tcW w:w="601" w:type="pct"/>
            <w:shd w:val="clear" w:color="auto" w:fill="auto"/>
            <w:noWrap/>
            <w:vAlign w:val="bottom"/>
            <w:hideMark/>
          </w:tcPr>
          <w:p w14:paraId="6CF0D547" w14:textId="77777777" w:rsidR="00F96346" w:rsidRPr="005D5FAF" w:rsidRDefault="00F96346" w:rsidP="00F96346">
            <w:pPr>
              <w:jc w:val="center"/>
              <w:rPr>
                <w:sz w:val="18"/>
                <w:szCs w:val="18"/>
              </w:rPr>
            </w:pPr>
            <w:r w:rsidRPr="005D5FAF">
              <w:rPr>
                <w:sz w:val="18"/>
                <w:szCs w:val="18"/>
              </w:rPr>
              <w:t>1294</w:t>
            </w:r>
          </w:p>
        </w:tc>
        <w:tc>
          <w:tcPr>
            <w:tcW w:w="379" w:type="pct"/>
            <w:shd w:val="clear" w:color="auto" w:fill="auto"/>
            <w:noWrap/>
            <w:vAlign w:val="bottom"/>
            <w:hideMark/>
          </w:tcPr>
          <w:p w14:paraId="6E32FEB3" w14:textId="77777777" w:rsidR="00F96346" w:rsidRPr="005D5FAF" w:rsidRDefault="00F96346" w:rsidP="00F96346">
            <w:pPr>
              <w:jc w:val="center"/>
              <w:rPr>
                <w:sz w:val="18"/>
                <w:szCs w:val="18"/>
              </w:rPr>
            </w:pPr>
            <w:r w:rsidRPr="005D5FAF">
              <w:rPr>
                <w:sz w:val="18"/>
                <w:szCs w:val="18"/>
              </w:rPr>
              <w:t>777</w:t>
            </w:r>
          </w:p>
        </w:tc>
        <w:tc>
          <w:tcPr>
            <w:tcW w:w="347" w:type="pct"/>
            <w:shd w:val="clear" w:color="auto" w:fill="auto"/>
            <w:noWrap/>
            <w:vAlign w:val="bottom"/>
            <w:hideMark/>
          </w:tcPr>
          <w:p w14:paraId="3562073F" w14:textId="77777777" w:rsidR="00F96346" w:rsidRPr="005D5FAF" w:rsidRDefault="00F96346" w:rsidP="00F96346">
            <w:pPr>
              <w:jc w:val="center"/>
              <w:rPr>
                <w:sz w:val="18"/>
                <w:szCs w:val="18"/>
              </w:rPr>
            </w:pPr>
            <w:r w:rsidRPr="005D5FAF">
              <w:rPr>
                <w:sz w:val="18"/>
                <w:szCs w:val="18"/>
              </w:rPr>
              <w:t>574</w:t>
            </w:r>
          </w:p>
        </w:tc>
        <w:tc>
          <w:tcPr>
            <w:tcW w:w="354" w:type="pct"/>
            <w:shd w:val="clear" w:color="auto" w:fill="auto"/>
            <w:noWrap/>
            <w:vAlign w:val="bottom"/>
            <w:hideMark/>
          </w:tcPr>
          <w:p w14:paraId="0CBCDD39" w14:textId="77777777" w:rsidR="00F96346" w:rsidRPr="005D5FAF" w:rsidRDefault="00F96346" w:rsidP="00F96346">
            <w:pPr>
              <w:jc w:val="center"/>
              <w:rPr>
                <w:sz w:val="18"/>
                <w:szCs w:val="18"/>
              </w:rPr>
            </w:pPr>
            <w:r w:rsidRPr="005D5FAF">
              <w:rPr>
                <w:sz w:val="18"/>
                <w:szCs w:val="18"/>
              </w:rPr>
              <w:t>383</w:t>
            </w:r>
          </w:p>
        </w:tc>
        <w:tc>
          <w:tcPr>
            <w:tcW w:w="354" w:type="pct"/>
            <w:shd w:val="clear" w:color="auto" w:fill="auto"/>
            <w:noWrap/>
            <w:vAlign w:val="bottom"/>
            <w:hideMark/>
          </w:tcPr>
          <w:p w14:paraId="447F854F" w14:textId="77777777" w:rsidR="00F96346" w:rsidRPr="005D5FAF" w:rsidRDefault="00F96346" w:rsidP="00F96346">
            <w:pPr>
              <w:jc w:val="center"/>
              <w:rPr>
                <w:sz w:val="18"/>
                <w:szCs w:val="18"/>
              </w:rPr>
            </w:pPr>
            <w:r w:rsidRPr="005D5FAF">
              <w:rPr>
                <w:sz w:val="18"/>
                <w:szCs w:val="18"/>
              </w:rPr>
              <w:t>957</w:t>
            </w:r>
          </w:p>
        </w:tc>
        <w:tc>
          <w:tcPr>
            <w:tcW w:w="351" w:type="pct"/>
            <w:shd w:val="clear" w:color="auto" w:fill="auto"/>
            <w:noWrap/>
            <w:vAlign w:val="bottom"/>
            <w:hideMark/>
          </w:tcPr>
          <w:p w14:paraId="6B2A0AFA" w14:textId="77777777" w:rsidR="00F96346" w:rsidRPr="005D5FAF" w:rsidRDefault="00F96346" w:rsidP="00F96346">
            <w:pPr>
              <w:jc w:val="center"/>
              <w:rPr>
                <w:sz w:val="18"/>
                <w:szCs w:val="18"/>
              </w:rPr>
            </w:pPr>
            <w:r w:rsidRPr="005D5FAF">
              <w:rPr>
                <w:sz w:val="18"/>
                <w:szCs w:val="18"/>
              </w:rPr>
              <w:t>300</w:t>
            </w:r>
          </w:p>
        </w:tc>
        <w:tc>
          <w:tcPr>
            <w:tcW w:w="309" w:type="pct"/>
            <w:shd w:val="clear" w:color="auto" w:fill="auto"/>
            <w:noWrap/>
            <w:vAlign w:val="bottom"/>
            <w:hideMark/>
          </w:tcPr>
          <w:p w14:paraId="46F40C82" w14:textId="77777777" w:rsidR="00F96346" w:rsidRPr="005D5FAF" w:rsidRDefault="00F96346" w:rsidP="00F96346">
            <w:pPr>
              <w:jc w:val="center"/>
              <w:rPr>
                <w:sz w:val="18"/>
                <w:szCs w:val="18"/>
              </w:rPr>
            </w:pPr>
            <w:r w:rsidRPr="005D5FAF">
              <w:rPr>
                <w:sz w:val="18"/>
                <w:szCs w:val="18"/>
              </w:rPr>
              <w:t>392</w:t>
            </w:r>
          </w:p>
        </w:tc>
        <w:tc>
          <w:tcPr>
            <w:tcW w:w="410" w:type="pct"/>
            <w:shd w:val="clear" w:color="auto" w:fill="auto"/>
            <w:noWrap/>
            <w:vAlign w:val="bottom"/>
            <w:hideMark/>
          </w:tcPr>
          <w:p w14:paraId="1B90C274" w14:textId="77777777" w:rsidR="00F96346" w:rsidRPr="005D5FAF" w:rsidRDefault="00F96346" w:rsidP="00F96346">
            <w:pPr>
              <w:jc w:val="center"/>
              <w:rPr>
                <w:sz w:val="18"/>
                <w:szCs w:val="18"/>
              </w:rPr>
            </w:pPr>
            <w:r w:rsidRPr="005D5FAF">
              <w:rPr>
                <w:sz w:val="18"/>
                <w:szCs w:val="18"/>
              </w:rPr>
              <w:t>0</w:t>
            </w:r>
          </w:p>
        </w:tc>
      </w:tr>
      <w:tr w:rsidR="00F54A3F" w:rsidRPr="00F96346" w14:paraId="5FEEA500" w14:textId="77777777" w:rsidTr="00F54A3F">
        <w:trPr>
          <w:trHeight w:val="207"/>
        </w:trPr>
        <w:tc>
          <w:tcPr>
            <w:tcW w:w="1896" w:type="pct"/>
            <w:shd w:val="clear" w:color="auto" w:fill="auto"/>
            <w:noWrap/>
            <w:vAlign w:val="bottom"/>
            <w:hideMark/>
          </w:tcPr>
          <w:p w14:paraId="2DA816DB" w14:textId="77777777" w:rsidR="00F96346" w:rsidRPr="005D5FAF" w:rsidRDefault="00F96346" w:rsidP="00F96346">
            <w:pPr>
              <w:rPr>
                <w:b/>
                <w:bCs/>
                <w:sz w:val="18"/>
                <w:szCs w:val="18"/>
              </w:rPr>
            </w:pPr>
            <w:r w:rsidRPr="005D5FAF">
              <w:rPr>
                <w:b/>
                <w:bCs/>
                <w:sz w:val="18"/>
                <w:szCs w:val="18"/>
              </w:rPr>
              <w:t>--Time to import: Documentary compliance (hours)</w:t>
            </w:r>
          </w:p>
        </w:tc>
        <w:tc>
          <w:tcPr>
            <w:tcW w:w="601" w:type="pct"/>
            <w:shd w:val="clear" w:color="auto" w:fill="auto"/>
            <w:noWrap/>
            <w:vAlign w:val="bottom"/>
            <w:hideMark/>
          </w:tcPr>
          <w:p w14:paraId="2481A7FA" w14:textId="77777777" w:rsidR="00F96346" w:rsidRPr="005D5FAF" w:rsidRDefault="00F96346" w:rsidP="00F96346">
            <w:pPr>
              <w:jc w:val="center"/>
              <w:rPr>
                <w:sz w:val="18"/>
                <w:szCs w:val="18"/>
              </w:rPr>
            </w:pPr>
            <w:r w:rsidRPr="005D5FAF">
              <w:rPr>
                <w:sz w:val="18"/>
                <w:szCs w:val="18"/>
              </w:rPr>
              <w:t>144</w:t>
            </w:r>
          </w:p>
        </w:tc>
        <w:tc>
          <w:tcPr>
            <w:tcW w:w="379" w:type="pct"/>
            <w:shd w:val="clear" w:color="auto" w:fill="auto"/>
            <w:noWrap/>
            <w:vAlign w:val="bottom"/>
            <w:hideMark/>
          </w:tcPr>
          <w:p w14:paraId="1D15E230" w14:textId="77777777" w:rsidR="00F96346" w:rsidRPr="005D5FAF" w:rsidRDefault="00F96346" w:rsidP="00F96346">
            <w:pPr>
              <w:jc w:val="center"/>
              <w:rPr>
                <w:sz w:val="18"/>
                <w:szCs w:val="18"/>
              </w:rPr>
            </w:pPr>
            <w:r w:rsidRPr="005D5FAF">
              <w:rPr>
                <w:sz w:val="18"/>
                <w:szCs w:val="18"/>
              </w:rPr>
              <w:t>66</w:t>
            </w:r>
          </w:p>
        </w:tc>
        <w:tc>
          <w:tcPr>
            <w:tcW w:w="347" w:type="pct"/>
            <w:shd w:val="clear" w:color="auto" w:fill="auto"/>
            <w:noWrap/>
            <w:vAlign w:val="bottom"/>
            <w:hideMark/>
          </w:tcPr>
          <w:p w14:paraId="6B930009" w14:textId="77777777" w:rsidR="00F96346" w:rsidRPr="005D5FAF" w:rsidRDefault="00F96346" w:rsidP="00F96346">
            <w:pPr>
              <w:jc w:val="center"/>
              <w:rPr>
                <w:sz w:val="18"/>
                <w:szCs w:val="18"/>
              </w:rPr>
            </w:pPr>
            <w:r w:rsidRPr="005D5FAF">
              <w:rPr>
                <w:sz w:val="18"/>
                <w:szCs w:val="18"/>
              </w:rPr>
              <w:t>61</w:t>
            </w:r>
          </w:p>
        </w:tc>
        <w:tc>
          <w:tcPr>
            <w:tcW w:w="354" w:type="pct"/>
            <w:shd w:val="clear" w:color="auto" w:fill="auto"/>
            <w:noWrap/>
            <w:vAlign w:val="bottom"/>
            <w:hideMark/>
          </w:tcPr>
          <w:p w14:paraId="017546BE" w14:textId="77777777" w:rsidR="00F96346" w:rsidRPr="005D5FAF" w:rsidRDefault="00F96346" w:rsidP="00F96346">
            <w:pPr>
              <w:jc w:val="center"/>
              <w:rPr>
                <w:sz w:val="18"/>
                <w:szCs w:val="18"/>
              </w:rPr>
            </w:pPr>
            <w:r w:rsidRPr="005D5FAF">
              <w:rPr>
                <w:sz w:val="18"/>
                <w:szCs w:val="18"/>
              </w:rPr>
              <w:t>133</w:t>
            </w:r>
          </w:p>
        </w:tc>
        <w:tc>
          <w:tcPr>
            <w:tcW w:w="354" w:type="pct"/>
            <w:shd w:val="clear" w:color="auto" w:fill="auto"/>
            <w:noWrap/>
            <w:vAlign w:val="bottom"/>
            <w:hideMark/>
          </w:tcPr>
          <w:p w14:paraId="0B27A90A" w14:textId="77777777" w:rsidR="00F96346" w:rsidRPr="005D5FAF" w:rsidRDefault="00F96346" w:rsidP="00F96346">
            <w:pPr>
              <w:jc w:val="center"/>
              <w:rPr>
                <w:sz w:val="18"/>
                <w:szCs w:val="18"/>
              </w:rPr>
            </w:pPr>
            <w:r w:rsidRPr="005D5FAF">
              <w:rPr>
                <w:sz w:val="18"/>
                <w:szCs w:val="18"/>
              </w:rPr>
              <w:t>147</w:t>
            </w:r>
          </w:p>
        </w:tc>
        <w:tc>
          <w:tcPr>
            <w:tcW w:w="351" w:type="pct"/>
            <w:shd w:val="clear" w:color="auto" w:fill="auto"/>
            <w:noWrap/>
            <w:vAlign w:val="bottom"/>
            <w:hideMark/>
          </w:tcPr>
          <w:p w14:paraId="0B8C9916" w14:textId="77777777" w:rsidR="00F96346" w:rsidRPr="005D5FAF" w:rsidRDefault="00F96346" w:rsidP="00F96346">
            <w:pPr>
              <w:jc w:val="center"/>
              <w:rPr>
                <w:sz w:val="18"/>
                <w:szCs w:val="18"/>
              </w:rPr>
            </w:pPr>
            <w:r w:rsidRPr="005D5FAF">
              <w:rPr>
                <w:sz w:val="18"/>
                <w:szCs w:val="18"/>
              </w:rPr>
              <w:t>58</w:t>
            </w:r>
          </w:p>
        </w:tc>
        <w:tc>
          <w:tcPr>
            <w:tcW w:w="309" w:type="pct"/>
            <w:shd w:val="clear" w:color="auto" w:fill="auto"/>
            <w:noWrap/>
            <w:vAlign w:val="bottom"/>
            <w:hideMark/>
          </w:tcPr>
          <w:p w14:paraId="2BD9A5AA" w14:textId="77777777" w:rsidR="00F96346" w:rsidRPr="005D5FAF" w:rsidRDefault="00F96346" w:rsidP="00F96346">
            <w:pPr>
              <w:jc w:val="center"/>
              <w:rPr>
                <w:sz w:val="18"/>
                <w:szCs w:val="18"/>
              </w:rPr>
            </w:pPr>
            <w:r w:rsidRPr="005D5FAF">
              <w:rPr>
                <w:sz w:val="18"/>
                <w:szCs w:val="18"/>
              </w:rPr>
              <w:t>76</w:t>
            </w:r>
          </w:p>
        </w:tc>
        <w:tc>
          <w:tcPr>
            <w:tcW w:w="410" w:type="pct"/>
            <w:shd w:val="clear" w:color="auto" w:fill="auto"/>
            <w:noWrap/>
            <w:vAlign w:val="bottom"/>
            <w:hideMark/>
          </w:tcPr>
          <w:p w14:paraId="57B54396" w14:textId="77777777" w:rsidR="00F96346" w:rsidRPr="005D5FAF" w:rsidRDefault="00F96346" w:rsidP="00F96346">
            <w:pPr>
              <w:jc w:val="center"/>
              <w:rPr>
                <w:sz w:val="18"/>
                <w:szCs w:val="18"/>
              </w:rPr>
            </w:pPr>
            <w:r w:rsidRPr="005D5FAF">
              <w:rPr>
                <w:sz w:val="18"/>
                <w:szCs w:val="18"/>
              </w:rPr>
              <w:t>1</w:t>
            </w:r>
          </w:p>
        </w:tc>
      </w:tr>
      <w:tr w:rsidR="00F54A3F" w:rsidRPr="00F96346" w14:paraId="1745C53B" w14:textId="77777777" w:rsidTr="00F54A3F">
        <w:trPr>
          <w:trHeight w:val="180"/>
        </w:trPr>
        <w:tc>
          <w:tcPr>
            <w:tcW w:w="1896" w:type="pct"/>
            <w:shd w:val="clear" w:color="auto" w:fill="auto"/>
            <w:noWrap/>
            <w:vAlign w:val="bottom"/>
            <w:hideMark/>
          </w:tcPr>
          <w:p w14:paraId="613CC884" w14:textId="77777777" w:rsidR="00F96346" w:rsidRPr="005D5FAF" w:rsidRDefault="00F96346" w:rsidP="00F96346">
            <w:pPr>
              <w:rPr>
                <w:b/>
                <w:bCs/>
                <w:sz w:val="18"/>
                <w:szCs w:val="18"/>
              </w:rPr>
            </w:pPr>
            <w:r w:rsidRPr="005D5FAF">
              <w:rPr>
                <w:b/>
                <w:bCs/>
                <w:sz w:val="18"/>
                <w:szCs w:val="18"/>
              </w:rPr>
              <w:t>--Cost to import: Documentary compliance (USD)</w:t>
            </w:r>
          </w:p>
        </w:tc>
        <w:tc>
          <w:tcPr>
            <w:tcW w:w="601" w:type="pct"/>
            <w:shd w:val="clear" w:color="auto" w:fill="auto"/>
            <w:noWrap/>
            <w:vAlign w:val="bottom"/>
            <w:hideMark/>
          </w:tcPr>
          <w:p w14:paraId="73E54FC9" w14:textId="77777777" w:rsidR="00F96346" w:rsidRPr="005D5FAF" w:rsidRDefault="00F96346" w:rsidP="00F96346">
            <w:pPr>
              <w:jc w:val="center"/>
              <w:rPr>
                <w:sz w:val="18"/>
                <w:szCs w:val="18"/>
              </w:rPr>
            </w:pPr>
            <w:r w:rsidRPr="005D5FAF">
              <w:rPr>
                <w:sz w:val="18"/>
                <w:szCs w:val="18"/>
              </w:rPr>
              <w:t>370</w:t>
            </w:r>
          </w:p>
        </w:tc>
        <w:tc>
          <w:tcPr>
            <w:tcW w:w="379" w:type="pct"/>
            <w:shd w:val="clear" w:color="auto" w:fill="auto"/>
            <w:noWrap/>
            <w:vAlign w:val="bottom"/>
            <w:hideMark/>
          </w:tcPr>
          <w:p w14:paraId="3F32B812" w14:textId="77777777" w:rsidR="00F96346" w:rsidRPr="005D5FAF" w:rsidRDefault="00F96346" w:rsidP="00F96346">
            <w:pPr>
              <w:jc w:val="center"/>
              <w:rPr>
                <w:sz w:val="18"/>
                <w:szCs w:val="18"/>
              </w:rPr>
            </w:pPr>
            <w:r w:rsidRPr="005D5FAF">
              <w:rPr>
                <w:sz w:val="18"/>
                <w:szCs w:val="18"/>
              </w:rPr>
              <w:t>171</w:t>
            </w:r>
          </w:p>
        </w:tc>
        <w:tc>
          <w:tcPr>
            <w:tcW w:w="347" w:type="pct"/>
            <w:shd w:val="clear" w:color="auto" w:fill="auto"/>
            <w:noWrap/>
            <w:vAlign w:val="bottom"/>
            <w:hideMark/>
          </w:tcPr>
          <w:p w14:paraId="17CC73AB" w14:textId="77777777" w:rsidR="00F96346" w:rsidRPr="005D5FAF" w:rsidRDefault="00F96346" w:rsidP="00F96346">
            <w:pPr>
              <w:jc w:val="center"/>
              <w:rPr>
                <w:sz w:val="18"/>
                <w:szCs w:val="18"/>
              </w:rPr>
            </w:pPr>
            <w:r w:rsidRPr="005D5FAF">
              <w:rPr>
                <w:sz w:val="18"/>
                <w:szCs w:val="18"/>
              </w:rPr>
              <w:t>135</w:t>
            </w:r>
          </w:p>
        </w:tc>
        <w:tc>
          <w:tcPr>
            <w:tcW w:w="354" w:type="pct"/>
            <w:shd w:val="clear" w:color="auto" w:fill="auto"/>
            <w:noWrap/>
            <w:vAlign w:val="bottom"/>
            <w:hideMark/>
          </w:tcPr>
          <w:p w14:paraId="197E1488" w14:textId="77777777" w:rsidR="00F96346" w:rsidRPr="005D5FAF" w:rsidRDefault="00F96346" w:rsidP="00F96346">
            <w:pPr>
              <w:jc w:val="center"/>
              <w:rPr>
                <w:sz w:val="18"/>
                <w:szCs w:val="18"/>
              </w:rPr>
            </w:pPr>
            <w:r w:rsidRPr="005D5FAF">
              <w:rPr>
                <w:sz w:val="18"/>
                <w:szCs w:val="18"/>
              </w:rPr>
              <w:t>164</w:t>
            </w:r>
          </w:p>
        </w:tc>
        <w:tc>
          <w:tcPr>
            <w:tcW w:w="354" w:type="pct"/>
            <w:shd w:val="clear" w:color="auto" w:fill="auto"/>
            <w:noWrap/>
            <w:vAlign w:val="bottom"/>
            <w:hideMark/>
          </w:tcPr>
          <w:p w14:paraId="14E65BBB" w14:textId="77777777" w:rsidR="00F96346" w:rsidRPr="005D5FAF" w:rsidRDefault="00F96346" w:rsidP="00F96346">
            <w:pPr>
              <w:jc w:val="center"/>
              <w:rPr>
                <w:sz w:val="18"/>
                <w:szCs w:val="18"/>
              </w:rPr>
            </w:pPr>
            <w:r w:rsidRPr="005D5FAF">
              <w:rPr>
                <w:sz w:val="18"/>
                <w:szCs w:val="18"/>
              </w:rPr>
              <w:t>786</w:t>
            </w:r>
          </w:p>
        </w:tc>
        <w:tc>
          <w:tcPr>
            <w:tcW w:w="351" w:type="pct"/>
            <w:shd w:val="clear" w:color="auto" w:fill="auto"/>
            <w:noWrap/>
            <w:vAlign w:val="bottom"/>
            <w:hideMark/>
          </w:tcPr>
          <w:p w14:paraId="6459E2DB" w14:textId="77777777" w:rsidR="00F96346" w:rsidRPr="005D5FAF" w:rsidRDefault="00F96346" w:rsidP="00F96346">
            <w:pPr>
              <w:jc w:val="center"/>
              <w:rPr>
                <w:sz w:val="18"/>
                <w:szCs w:val="18"/>
              </w:rPr>
            </w:pPr>
            <w:r w:rsidRPr="005D5FAF">
              <w:rPr>
                <w:sz w:val="18"/>
                <w:szCs w:val="18"/>
              </w:rPr>
              <w:t>283</w:t>
            </w:r>
          </w:p>
        </w:tc>
        <w:tc>
          <w:tcPr>
            <w:tcW w:w="309" w:type="pct"/>
            <w:shd w:val="clear" w:color="auto" w:fill="auto"/>
            <w:noWrap/>
            <w:vAlign w:val="bottom"/>
            <w:hideMark/>
          </w:tcPr>
          <w:p w14:paraId="6760E82A" w14:textId="77777777" w:rsidR="00F96346" w:rsidRPr="005D5FAF" w:rsidRDefault="00F96346" w:rsidP="00F96346">
            <w:pPr>
              <w:jc w:val="center"/>
              <w:rPr>
                <w:sz w:val="18"/>
                <w:szCs w:val="18"/>
              </w:rPr>
            </w:pPr>
            <w:r w:rsidRPr="005D5FAF">
              <w:rPr>
                <w:sz w:val="18"/>
                <w:szCs w:val="18"/>
              </w:rPr>
              <w:t>183</w:t>
            </w:r>
          </w:p>
        </w:tc>
        <w:tc>
          <w:tcPr>
            <w:tcW w:w="410" w:type="pct"/>
            <w:shd w:val="clear" w:color="auto" w:fill="auto"/>
            <w:noWrap/>
            <w:vAlign w:val="bottom"/>
            <w:hideMark/>
          </w:tcPr>
          <w:p w14:paraId="0BB76FB9" w14:textId="77777777" w:rsidR="00F96346" w:rsidRPr="005D5FAF" w:rsidRDefault="00F96346" w:rsidP="00F96346">
            <w:pPr>
              <w:jc w:val="center"/>
              <w:rPr>
                <w:sz w:val="18"/>
                <w:szCs w:val="18"/>
              </w:rPr>
            </w:pPr>
            <w:r w:rsidRPr="005D5FAF">
              <w:rPr>
                <w:sz w:val="18"/>
                <w:szCs w:val="18"/>
              </w:rPr>
              <w:t>0</w:t>
            </w:r>
          </w:p>
        </w:tc>
      </w:tr>
      <w:tr w:rsidR="00F54A3F" w:rsidRPr="00F96346" w14:paraId="235803FA" w14:textId="77777777" w:rsidTr="00F54A3F">
        <w:trPr>
          <w:trHeight w:val="232"/>
        </w:trPr>
        <w:tc>
          <w:tcPr>
            <w:tcW w:w="1896" w:type="pct"/>
            <w:shd w:val="clear" w:color="auto" w:fill="auto"/>
            <w:noWrap/>
            <w:hideMark/>
          </w:tcPr>
          <w:p w14:paraId="6AAC24AC" w14:textId="77777777" w:rsidR="00F96346" w:rsidRPr="005D5FAF" w:rsidRDefault="00F96346" w:rsidP="00F96346">
            <w:pPr>
              <w:jc w:val="both"/>
              <w:rPr>
                <w:b/>
                <w:bCs/>
                <w:sz w:val="18"/>
                <w:szCs w:val="18"/>
              </w:rPr>
            </w:pPr>
            <w:r w:rsidRPr="005D5FAF">
              <w:rPr>
                <w:b/>
                <w:bCs/>
                <w:sz w:val="18"/>
                <w:szCs w:val="18"/>
              </w:rPr>
              <w:t>9. Enforcing contracts</w:t>
            </w:r>
          </w:p>
        </w:tc>
        <w:tc>
          <w:tcPr>
            <w:tcW w:w="601" w:type="pct"/>
            <w:shd w:val="clear" w:color="auto" w:fill="auto"/>
            <w:noWrap/>
            <w:hideMark/>
          </w:tcPr>
          <w:p w14:paraId="6907DC2F" w14:textId="77777777" w:rsidR="00F96346" w:rsidRPr="005D5FAF" w:rsidRDefault="00F96346" w:rsidP="00F96346">
            <w:pPr>
              <w:jc w:val="center"/>
              <w:rPr>
                <w:sz w:val="18"/>
                <w:szCs w:val="18"/>
              </w:rPr>
            </w:pPr>
          </w:p>
        </w:tc>
        <w:tc>
          <w:tcPr>
            <w:tcW w:w="379" w:type="pct"/>
            <w:shd w:val="clear" w:color="auto" w:fill="auto"/>
            <w:noWrap/>
            <w:hideMark/>
          </w:tcPr>
          <w:p w14:paraId="6D96E105" w14:textId="77777777" w:rsidR="00F96346" w:rsidRPr="005D5FAF" w:rsidRDefault="00F96346" w:rsidP="00F96346">
            <w:pPr>
              <w:jc w:val="center"/>
              <w:rPr>
                <w:sz w:val="18"/>
                <w:szCs w:val="18"/>
              </w:rPr>
            </w:pPr>
          </w:p>
        </w:tc>
        <w:tc>
          <w:tcPr>
            <w:tcW w:w="347" w:type="pct"/>
            <w:shd w:val="clear" w:color="auto" w:fill="auto"/>
            <w:noWrap/>
            <w:hideMark/>
          </w:tcPr>
          <w:p w14:paraId="504376E0" w14:textId="77777777" w:rsidR="00F96346" w:rsidRPr="005D5FAF" w:rsidRDefault="00F96346" w:rsidP="00F96346">
            <w:pPr>
              <w:jc w:val="center"/>
              <w:rPr>
                <w:sz w:val="18"/>
                <w:szCs w:val="18"/>
              </w:rPr>
            </w:pPr>
          </w:p>
        </w:tc>
        <w:tc>
          <w:tcPr>
            <w:tcW w:w="354" w:type="pct"/>
            <w:shd w:val="clear" w:color="auto" w:fill="auto"/>
            <w:noWrap/>
            <w:hideMark/>
          </w:tcPr>
          <w:p w14:paraId="4734452B" w14:textId="77777777" w:rsidR="00F96346" w:rsidRPr="005D5FAF" w:rsidRDefault="00F96346" w:rsidP="00F96346">
            <w:pPr>
              <w:jc w:val="center"/>
              <w:rPr>
                <w:sz w:val="18"/>
                <w:szCs w:val="18"/>
              </w:rPr>
            </w:pPr>
          </w:p>
        </w:tc>
        <w:tc>
          <w:tcPr>
            <w:tcW w:w="354" w:type="pct"/>
            <w:shd w:val="clear" w:color="auto" w:fill="auto"/>
            <w:noWrap/>
            <w:hideMark/>
          </w:tcPr>
          <w:p w14:paraId="3B4E5BA3" w14:textId="77777777" w:rsidR="00F96346" w:rsidRPr="005D5FAF" w:rsidRDefault="00F96346" w:rsidP="00F96346">
            <w:pPr>
              <w:jc w:val="center"/>
              <w:rPr>
                <w:sz w:val="18"/>
                <w:szCs w:val="18"/>
              </w:rPr>
            </w:pPr>
          </w:p>
        </w:tc>
        <w:tc>
          <w:tcPr>
            <w:tcW w:w="351" w:type="pct"/>
            <w:shd w:val="clear" w:color="auto" w:fill="auto"/>
            <w:noWrap/>
            <w:hideMark/>
          </w:tcPr>
          <w:p w14:paraId="481E4DF6" w14:textId="77777777" w:rsidR="00F96346" w:rsidRPr="005D5FAF" w:rsidRDefault="00F96346" w:rsidP="00F96346">
            <w:pPr>
              <w:jc w:val="center"/>
              <w:rPr>
                <w:sz w:val="18"/>
                <w:szCs w:val="18"/>
              </w:rPr>
            </w:pPr>
          </w:p>
        </w:tc>
        <w:tc>
          <w:tcPr>
            <w:tcW w:w="309" w:type="pct"/>
            <w:shd w:val="clear" w:color="auto" w:fill="auto"/>
            <w:noWrap/>
            <w:hideMark/>
          </w:tcPr>
          <w:p w14:paraId="4DA1B6B9" w14:textId="77777777" w:rsidR="00F96346" w:rsidRPr="005D5FAF" w:rsidRDefault="00F96346" w:rsidP="00F96346">
            <w:pPr>
              <w:jc w:val="center"/>
              <w:rPr>
                <w:sz w:val="18"/>
                <w:szCs w:val="18"/>
              </w:rPr>
            </w:pPr>
          </w:p>
        </w:tc>
        <w:tc>
          <w:tcPr>
            <w:tcW w:w="410" w:type="pct"/>
            <w:shd w:val="clear" w:color="auto" w:fill="auto"/>
            <w:noWrap/>
            <w:hideMark/>
          </w:tcPr>
          <w:p w14:paraId="4FEBC7AC" w14:textId="77777777" w:rsidR="00F96346" w:rsidRPr="005D5FAF" w:rsidRDefault="00F96346" w:rsidP="00F96346">
            <w:pPr>
              <w:jc w:val="center"/>
              <w:rPr>
                <w:sz w:val="18"/>
                <w:szCs w:val="18"/>
              </w:rPr>
            </w:pPr>
          </w:p>
        </w:tc>
      </w:tr>
      <w:tr w:rsidR="00F54A3F" w:rsidRPr="00F96346" w14:paraId="593A6B78" w14:textId="77777777" w:rsidTr="00F54A3F">
        <w:trPr>
          <w:trHeight w:val="243"/>
        </w:trPr>
        <w:tc>
          <w:tcPr>
            <w:tcW w:w="1896" w:type="pct"/>
            <w:shd w:val="clear" w:color="auto" w:fill="auto"/>
            <w:noWrap/>
            <w:hideMark/>
          </w:tcPr>
          <w:p w14:paraId="029D5648" w14:textId="77777777" w:rsidR="00F96346" w:rsidRPr="005D5FAF" w:rsidRDefault="00F96346" w:rsidP="00F96346">
            <w:pPr>
              <w:jc w:val="both"/>
              <w:rPr>
                <w:b/>
                <w:bCs/>
                <w:sz w:val="18"/>
                <w:szCs w:val="18"/>
              </w:rPr>
            </w:pPr>
            <w:r w:rsidRPr="005D5FAF">
              <w:rPr>
                <w:b/>
                <w:bCs/>
                <w:sz w:val="18"/>
                <w:szCs w:val="18"/>
              </w:rPr>
              <w:t>--Time (days)</w:t>
            </w:r>
          </w:p>
        </w:tc>
        <w:tc>
          <w:tcPr>
            <w:tcW w:w="601" w:type="pct"/>
            <w:shd w:val="clear" w:color="auto" w:fill="auto"/>
            <w:noWrap/>
            <w:hideMark/>
          </w:tcPr>
          <w:p w14:paraId="6903AE11" w14:textId="77777777" w:rsidR="00F96346" w:rsidRPr="005D5FAF" w:rsidRDefault="00F96346" w:rsidP="00F96346">
            <w:pPr>
              <w:jc w:val="center"/>
              <w:rPr>
                <w:sz w:val="18"/>
                <w:szCs w:val="18"/>
              </w:rPr>
            </w:pPr>
            <w:r w:rsidRPr="005D5FAF">
              <w:rPr>
                <w:sz w:val="18"/>
                <w:szCs w:val="18"/>
              </w:rPr>
              <w:t>1442</w:t>
            </w:r>
          </w:p>
        </w:tc>
        <w:tc>
          <w:tcPr>
            <w:tcW w:w="379" w:type="pct"/>
            <w:shd w:val="clear" w:color="auto" w:fill="auto"/>
            <w:noWrap/>
            <w:hideMark/>
          </w:tcPr>
          <w:p w14:paraId="4D39BEEF" w14:textId="77777777" w:rsidR="00F96346" w:rsidRPr="005D5FAF" w:rsidRDefault="00F96346" w:rsidP="00F96346">
            <w:pPr>
              <w:jc w:val="center"/>
              <w:rPr>
                <w:sz w:val="18"/>
                <w:szCs w:val="18"/>
              </w:rPr>
            </w:pPr>
            <w:r w:rsidRPr="005D5FAF">
              <w:rPr>
                <w:sz w:val="18"/>
                <w:szCs w:val="18"/>
              </w:rPr>
              <w:t>453</w:t>
            </w:r>
          </w:p>
        </w:tc>
        <w:tc>
          <w:tcPr>
            <w:tcW w:w="347" w:type="pct"/>
            <w:shd w:val="clear" w:color="auto" w:fill="auto"/>
            <w:noWrap/>
            <w:hideMark/>
          </w:tcPr>
          <w:p w14:paraId="3B5EB1DD" w14:textId="77777777" w:rsidR="00F96346" w:rsidRPr="005D5FAF" w:rsidRDefault="00F96346" w:rsidP="00F96346">
            <w:pPr>
              <w:jc w:val="center"/>
              <w:rPr>
                <w:sz w:val="18"/>
                <w:szCs w:val="18"/>
              </w:rPr>
            </w:pPr>
            <w:r w:rsidRPr="005D5FAF">
              <w:rPr>
                <w:sz w:val="18"/>
                <w:szCs w:val="18"/>
              </w:rPr>
              <w:t>1420</w:t>
            </w:r>
          </w:p>
        </w:tc>
        <w:tc>
          <w:tcPr>
            <w:tcW w:w="354" w:type="pct"/>
            <w:shd w:val="clear" w:color="auto" w:fill="auto"/>
            <w:noWrap/>
            <w:hideMark/>
          </w:tcPr>
          <w:p w14:paraId="3ADA395C" w14:textId="77777777" w:rsidR="00F96346" w:rsidRPr="005D5FAF" w:rsidRDefault="00F96346" w:rsidP="00F96346">
            <w:pPr>
              <w:jc w:val="center"/>
              <w:rPr>
                <w:sz w:val="18"/>
                <w:szCs w:val="18"/>
              </w:rPr>
            </w:pPr>
            <w:r w:rsidRPr="005D5FAF">
              <w:rPr>
                <w:sz w:val="18"/>
                <w:szCs w:val="18"/>
              </w:rPr>
              <w:t>471</w:t>
            </w:r>
          </w:p>
        </w:tc>
        <w:tc>
          <w:tcPr>
            <w:tcW w:w="354" w:type="pct"/>
            <w:shd w:val="clear" w:color="auto" w:fill="auto"/>
            <w:noWrap/>
            <w:hideMark/>
          </w:tcPr>
          <w:p w14:paraId="60D76299" w14:textId="77777777" w:rsidR="00F96346" w:rsidRPr="005D5FAF" w:rsidRDefault="00F96346" w:rsidP="00F96346">
            <w:pPr>
              <w:jc w:val="center"/>
              <w:rPr>
                <w:sz w:val="18"/>
                <w:szCs w:val="18"/>
              </w:rPr>
            </w:pPr>
            <w:r w:rsidRPr="005D5FAF">
              <w:rPr>
                <w:sz w:val="18"/>
                <w:szCs w:val="18"/>
              </w:rPr>
              <w:t>1071</w:t>
            </w:r>
          </w:p>
        </w:tc>
        <w:tc>
          <w:tcPr>
            <w:tcW w:w="351" w:type="pct"/>
            <w:shd w:val="clear" w:color="auto" w:fill="auto"/>
            <w:noWrap/>
            <w:hideMark/>
          </w:tcPr>
          <w:p w14:paraId="41EE822A" w14:textId="77777777" w:rsidR="00F96346" w:rsidRPr="005D5FAF" w:rsidRDefault="00F96346" w:rsidP="00F96346">
            <w:pPr>
              <w:jc w:val="center"/>
              <w:rPr>
                <w:sz w:val="18"/>
                <w:szCs w:val="18"/>
              </w:rPr>
            </w:pPr>
            <w:r w:rsidRPr="005D5FAF">
              <w:rPr>
                <w:sz w:val="18"/>
                <w:szCs w:val="18"/>
              </w:rPr>
              <w:t>1318</w:t>
            </w:r>
          </w:p>
        </w:tc>
        <w:tc>
          <w:tcPr>
            <w:tcW w:w="309" w:type="pct"/>
            <w:shd w:val="clear" w:color="auto" w:fill="auto"/>
            <w:noWrap/>
            <w:hideMark/>
          </w:tcPr>
          <w:p w14:paraId="76046563" w14:textId="77777777" w:rsidR="00F96346" w:rsidRPr="005D5FAF" w:rsidRDefault="00F96346" w:rsidP="00F96346">
            <w:pPr>
              <w:jc w:val="center"/>
              <w:rPr>
                <w:sz w:val="18"/>
                <w:szCs w:val="18"/>
              </w:rPr>
            </w:pPr>
            <w:r w:rsidRPr="005D5FAF">
              <w:rPr>
                <w:sz w:val="18"/>
                <w:szCs w:val="18"/>
              </w:rPr>
              <w:t>400</w:t>
            </w:r>
          </w:p>
        </w:tc>
        <w:tc>
          <w:tcPr>
            <w:tcW w:w="410" w:type="pct"/>
            <w:shd w:val="clear" w:color="auto" w:fill="auto"/>
            <w:noWrap/>
            <w:hideMark/>
          </w:tcPr>
          <w:p w14:paraId="21B288E5" w14:textId="77777777" w:rsidR="00F96346" w:rsidRPr="005D5FAF" w:rsidRDefault="00F96346" w:rsidP="00F96346">
            <w:pPr>
              <w:jc w:val="center"/>
              <w:rPr>
                <w:sz w:val="18"/>
                <w:szCs w:val="18"/>
              </w:rPr>
            </w:pPr>
            <w:r w:rsidRPr="005D5FAF">
              <w:rPr>
                <w:sz w:val="18"/>
                <w:szCs w:val="18"/>
              </w:rPr>
              <w:t>164</w:t>
            </w:r>
          </w:p>
        </w:tc>
      </w:tr>
      <w:tr w:rsidR="00F54A3F" w:rsidRPr="00F96346" w14:paraId="3A129DE0" w14:textId="77777777" w:rsidTr="00F54A3F">
        <w:trPr>
          <w:trHeight w:val="180"/>
        </w:trPr>
        <w:tc>
          <w:tcPr>
            <w:tcW w:w="1896" w:type="pct"/>
            <w:shd w:val="clear" w:color="auto" w:fill="auto"/>
            <w:noWrap/>
            <w:hideMark/>
          </w:tcPr>
          <w:p w14:paraId="3139AFDD" w14:textId="77777777" w:rsidR="00F96346" w:rsidRPr="005D5FAF" w:rsidRDefault="00F96346" w:rsidP="00F96346">
            <w:pPr>
              <w:jc w:val="both"/>
              <w:rPr>
                <w:b/>
                <w:bCs/>
                <w:sz w:val="18"/>
                <w:szCs w:val="18"/>
              </w:rPr>
            </w:pPr>
            <w:r w:rsidRPr="005D5FAF">
              <w:rPr>
                <w:b/>
                <w:bCs/>
                <w:sz w:val="18"/>
                <w:szCs w:val="18"/>
              </w:rPr>
              <w:t>--Cost (% of claim)</w:t>
            </w:r>
          </w:p>
        </w:tc>
        <w:tc>
          <w:tcPr>
            <w:tcW w:w="601" w:type="pct"/>
            <w:shd w:val="clear" w:color="auto" w:fill="auto"/>
            <w:noWrap/>
            <w:hideMark/>
          </w:tcPr>
          <w:p w14:paraId="0D1C7FE3" w14:textId="77777777" w:rsidR="00F96346" w:rsidRPr="005D5FAF" w:rsidRDefault="00F96346" w:rsidP="00F96346">
            <w:pPr>
              <w:jc w:val="center"/>
              <w:rPr>
                <w:sz w:val="18"/>
                <w:szCs w:val="18"/>
              </w:rPr>
            </w:pPr>
            <w:r w:rsidRPr="005D5FAF">
              <w:rPr>
                <w:sz w:val="18"/>
                <w:szCs w:val="18"/>
              </w:rPr>
              <w:t>66.8</w:t>
            </w:r>
          </w:p>
        </w:tc>
        <w:tc>
          <w:tcPr>
            <w:tcW w:w="379" w:type="pct"/>
            <w:shd w:val="clear" w:color="auto" w:fill="auto"/>
            <w:noWrap/>
            <w:hideMark/>
          </w:tcPr>
          <w:p w14:paraId="1962EFB3" w14:textId="77777777" w:rsidR="00F96346" w:rsidRPr="005D5FAF" w:rsidRDefault="00F96346" w:rsidP="00F96346">
            <w:pPr>
              <w:jc w:val="center"/>
              <w:rPr>
                <w:sz w:val="18"/>
                <w:szCs w:val="18"/>
              </w:rPr>
            </w:pPr>
            <w:r w:rsidRPr="005D5FAF">
              <w:rPr>
                <w:sz w:val="18"/>
                <w:szCs w:val="18"/>
              </w:rPr>
              <w:t>16.2</w:t>
            </w:r>
          </w:p>
        </w:tc>
        <w:tc>
          <w:tcPr>
            <w:tcW w:w="347" w:type="pct"/>
            <w:shd w:val="clear" w:color="auto" w:fill="auto"/>
            <w:noWrap/>
            <w:hideMark/>
          </w:tcPr>
          <w:p w14:paraId="03925D67" w14:textId="77777777" w:rsidR="00F96346" w:rsidRPr="005D5FAF" w:rsidRDefault="00F96346" w:rsidP="00F96346">
            <w:pPr>
              <w:jc w:val="center"/>
              <w:rPr>
                <w:sz w:val="18"/>
                <w:szCs w:val="18"/>
              </w:rPr>
            </w:pPr>
            <w:r w:rsidRPr="005D5FAF">
              <w:rPr>
                <w:sz w:val="18"/>
                <w:szCs w:val="18"/>
              </w:rPr>
              <w:t>39.6</w:t>
            </w:r>
          </w:p>
        </w:tc>
        <w:tc>
          <w:tcPr>
            <w:tcW w:w="354" w:type="pct"/>
            <w:shd w:val="clear" w:color="auto" w:fill="auto"/>
            <w:noWrap/>
            <w:hideMark/>
          </w:tcPr>
          <w:p w14:paraId="2115F4D0" w14:textId="77777777" w:rsidR="00F96346" w:rsidRPr="005D5FAF" w:rsidRDefault="00F96346" w:rsidP="00F96346">
            <w:pPr>
              <w:jc w:val="center"/>
              <w:rPr>
                <w:sz w:val="18"/>
                <w:szCs w:val="18"/>
              </w:rPr>
            </w:pPr>
            <w:r w:rsidRPr="005D5FAF">
              <w:rPr>
                <w:sz w:val="18"/>
                <w:szCs w:val="18"/>
              </w:rPr>
              <w:t>115.7</w:t>
            </w:r>
          </w:p>
        </w:tc>
        <w:tc>
          <w:tcPr>
            <w:tcW w:w="354" w:type="pct"/>
            <w:shd w:val="clear" w:color="auto" w:fill="auto"/>
            <w:noWrap/>
            <w:hideMark/>
          </w:tcPr>
          <w:p w14:paraId="625D9279" w14:textId="77777777" w:rsidR="00F96346" w:rsidRPr="005D5FAF" w:rsidRDefault="00F96346" w:rsidP="00F96346">
            <w:pPr>
              <w:jc w:val="center"/>
              <w:rPr>
                <w:sz w:val="18"/>
                <w:szCs w:val="18"/>
              </w:rPr>
            </w:pPr>
            <w:r w:rsidRPr="005D5FAF">
              <w:rPr>
                <w:sz w:val="18"/>
                <w:szCs w:val="18"/>
              </w:rPr>
              <w:t>20.5</w:t>
            </w:r>
          </w:p>
        </w:tc>
        <w:tc>
          <w:tcPr>
            <w:tcW w:w="351" w:type="pct"/>
            <w:shd w:val="clear" w:color="auto" w:fill="auto"/>
            <w:noWrap/>
            <w:hideMark/>
          </w:tcPr>
          <w:p w14:paraId="3AC90DAA" w14:textId="77777777" w:rsidR="00F96346" w:rsidRPr="005D5FAF" w:rsidRDefault="00F96346" w:rsidP="00F96346">
            <w:pPr>
              <w:jc w:val="center"/>
              <w:rPr>
                <w:sz w:val="18"/>
                <w:szCs w:val="18"/>
              </w:rPr>
            </w:pPr>
            <w:r w:rsidRPr="005D5FAF">
              <w:rPr>
                <w:sz w:val="18"/>
                <w:szCs w:val="18"/>
              </w:rPr>
              <w:t>22.8</w:t>
            </w:r>
          </w:p>
        </w:tc>
        <w:tc>
          <w:tcPr>
            <w:tcW w:w="309" w:type="pct"/>
            <w:shd w:val="clear" w:color="auto" w:fill="auto"/>
            <w:noWrap/>
            <w:hideMark/>
          </w:tcPr>
          <w:p w14:paraId="4E1E0734" w14:textId="77777777" w:rsidR="00F96346" w:rsidRPr="005D5FAF" w:rsidRDefault="00F96346" w:rsidP="00F96346">
            <w:pPr>
              <w:jc w:val="center"/>
              <w:rPr>
                <w:sz w:val="18"/>
                <w:szCs w:val="18"/>
              </w:rPr>
            </w:pPr>
            <w:r w:rsidRPr="005D5FAF">
              <w:rPr>
                <w:sz w:val="18"/>
                <w:szCs w:val="18"/>
              </w:rPr>
              <w:t>29</w:t>
            </w:r>
          </w:p>
        </w:tc>
        <w:tc>
          <w:tcPr>
            <w:tcW w:w="410" w:type="pct"/>
            <w:shd w:val="clear" w:color="auto" w:fill="auto"/>
            <w:noWrap/>
            <w:hideMark/>
          </w:tcPr>
          <w:p w14:paraId="71072490" w14:textId="77777777" w:rsidR="00F96346" w:rsidRPr="005D5FAF" w:rsidRDefault="00F96346" w:rsidP="00F96346">
            <w:pPr>
              <w:jc w:val="center"/>
              <w:rPr>
                <w:sz w:val="18"/>
                <w:szCs w:val="18"/>
              </w:rPr>
            </w:pPr>
            <w:r w:rsidRPr="005D5FAF">
              <w:rPr>
                <w:sz w:val="18"/>
                <w:szCs w:val="18"/>
              </w:rPr>
              <w:t>9</w:t>
            </w:r>
          </w:p>
        </w:tc>
      </w:tr>
      <w:tr w:rsidR="00F54A3F" w:rsidRPr="00F96346" w14:paraId="34002295" w14:textId="77777777" w:rsidTr="00F54A3F">
        <w:trPr>
          <w:trHeight w:val="223"/>
        </w:trPr>
        <w:tc>
          <w:tcPr>
            <w:tcW w:w="1896" w:type="pct"/>
            <w:shd w:val="clear" w:color="auto" w:fill="auto"/>
            <w:noWrap/>
            <w:hideMark/>
          </w:tcPr>
          <w:p w14:paraId="773F7410" w14:textId="77777777" w:rsidR="00F96346" w:rsidRPr="005D5FAF" w:rsidRDefault="00F96346" w:rsidP="00F96346">
            <w:pPr>
              <w:jc w:val="both"/>
              <w:rPr>
                <w:b/>
                <w:bCs/>
                <w:sz w:val="18"/>
                <w:szCs w:val="18"/>
              </w:rPr>
            </w:pPr>
            <w:r w:rsidRPr="005D5FAF">
              <w:rPr>
                <w:b/>
                <w:bCs/>
                <w:sz w:val="18"/>
                <w:szCs w:val="18"/>
              </w:rPr>
              <w:t>10. Resolving insolvency</w:t>
            </w:r>
          </w:p>
        </w:tc>
        <w:tc>
          <w:tcPr>
            <w:tcW w:w="601" w:type="pct"/>
            <w:shd w:val="clear" w:color="auto" w:fill="auto"/>
            <w:noWrap/>
            <w:hideMark/>
          </w:tcPr>
          <w:p w14:paraId="585473E9" w14:textId="77777777" w:rsidR="00F96346" w:rsidRPr="005D5FAF" w:rsidRDefault="00F96346" w:rsidP="00F96346">
            <w:pPr>
              <w:jc w:val="center"/>
              <w:rPr>
                <w:sz w:val="18"/>
                <w:szCs w:val="18"/>
              </w:rPr>
            </w:pPr>
          </w:p>
        </w:tc>
        <w:tc>
          <w:tcPr>
            <w:tcW w:w="379" w:type="pct"/>
            <w:shd w:val="clear" w:color="auto" w:fill="auto"/>
            <w:noWrap/>
            <w:hideMark/>
          </w:tcPr>
          <w:p w14:paraId="3AEF9347" w14:textId="77777777" w:rsidR="00F96346" w:rsidRPr="005D5FAF" w:rsidRDefault="00F96346" w:rsidP="00F96346">
            <w:pPr>
              <w:jc w:val="center"/>
              <w:rPr>
                <w:sz w:val="18"/>
                <w:szCs w:val="18"/>
              </w:rPr>
            </w:pPr>
          </w:p>
        </w:tc>
        <w:tc>
          <w:tcPr>
            <w:tcW w:w="347" w:type="pct"/>
            <w:shd w:val="clear" w:color="auto" w:fill="auto"/>
            <w:noWrap/>
            <w:hideMark/>
          </w:tcPr>
          <w:p w14:paraId="13F1D846" w14:textId="77777777" w:rsidR="00F96346" w:rsidRPr="005D5FAF" w:rsidRDefault="00F96346" w:rsidP="00F96346">
            <w:pPr>
              <w:rPr>
                <w:sz w:val="18"/>
                <w:szCs w:val="18"/>
              </w:rPr>
            </w:pPr>
          </w:p>
        </w:tc>
        <w:tc>
          <w:tcPr>
            <w:tcW w:w="354" w:type="pct"/>
            <w:shd w:val="clear" w:color="auto" w:fill="auto"/>
            <w:noWrap/>
            <w:hideMark/>
          </w:tcPr>
          <w:p w14:paraId="4002A1DD" w14:textId="77777777" w:rsidR="00F96346" w:rsidRPr="005D5FAF" w:rsidRDefault="00F96346" w:rsidP="00F96346">
            <w:pPr>
              <w:jc w:val="center"/>
              <w:rPr>
                <w:sz w:val="18"/>
                <w:szCs w:val="18"/>
              </w:rPr>
            </w:pPr>
          </w:p>
        </w:tc>
        <w:tc>
          <w:tcPr>
            <w:tcW w:w="354" w:type="pct"/>
            <w:shd w:val="clear" w:color="auto" w:fill="auto"/>
            <w:noWrap/>
            <w:hideMark/>
          </w:tcPr>
          <w:p w14:paraId="40086A1C" w14:textId="77777777" w:rsidR="00F96346" w:rsidRPr="005D5FAF" w:rsidRDefault="00F96346" w:rsidP="00F96346">
            <w:pPr>
              <w:jc w:val="center"/>
              <w:rPr>
                <w:sz w:val="18"/>
                <w:szCs w:val="18"/>
              </w:rPr>
            </w:pPr>
          </w:p>
        </w:tc>
        <w:tc>
          <w:tcPr>
            <w:tcW w:w="351" w:type="pct"/>
            <w:shd w:val="clear" w:color="auto" w:fill="auto"/>
            <w:noWrap/>
            <w:hideMark/>
          </w:tcPr>
          <w:p w14:paraId="1DDB914F" w14:textId="77777777" w:rsidR="00F96346" w:rsidRPr="005D5FAF" w:rsidRDefault="00F96346" w:rsidP="00F96346">
            <w:pPr>
              <w:jc w:val="center"/>
              <w:rPr>
                <w:sz w:val="18"/>
                <w:szCs w:val="18"/>
              </w:rPr>
            </w:pPr>
          </w:p>
        </w:tc>
        <w:tc>
          <w:tcPr>
            <w:tcW w:w="309" w:type="pct"/>
            <w:shd w:val="clear" w:color="auto" w:fill="auto"/>
            <w:noWrap/>
            <w:hideMark/>
          </w:tcPr>
          <w:p w14:paraId="0B625513" w14:textId="77777777" w:rsidR="00F96346" w:rsidRPr="005D5FAF" w:rsidRDefault="00F96346" w:rsidP="00F96346">
            <w:pPr>
              <w:jc w:val="center"/>
              <w:rPr>
                <w:sz w:val="18"/>
                <w:szCs w:val="18"/>
              </w:rPr>
            </w:pPr>
          </w:p>
        </w:tc>
        <w:tc>
          <w:tcPr>
            <w:tcW w:w="410" w:type="pct"/>
            <w:shd w:val="clear" w:color="auto" w:fill="auto"/>
            <w:noWrap/>
            <w:hideMark/>
          </w:tcPr>
          <w:p w14:paraId="5666776B" w14:textId="77777777" w:rsidR="00F96346" w:rsidRPr="005D5FAF" w:rsidRDefault="00F96346" w:rsidP="00F96346">
            <w:pPr>
              <w:jc w:val="center"/>
              <w:rPr>
                <w:sz w:val="18"/>
                <w:szCs w:val="18"/>
              </w:rPr>
            </w:pPr>
          </w:p>
        </w:tc>
      </w:tr>
      <w:tr w:rsidR="00F54A3F" w:rsidRPr="00F96346" w14:paraId="569E69D2" w14:textId="77777777" w:rsidTr="00F54A3F">
        <w:trPr>
          <w:trHeight w:val="225"/>
        </w:trPr>
        <w:tc>
          <w:tcPr>
            <w:tcW w:w="1896" w:type="pct"/>
            <w:shd w:val="clear" w:color="auto" w:fill="auto"/>
            <w:noWrap/>
            <w:hideMark/>
          </w:tcPr>
          <w:p w14:paraId="043B7863" w14:textId="77777777" w:rsidR="00F96346" w:rsidRPr="005D5FAF" w:rsidRDefault="00F96346" w:rsidP="00F96346">
            <w:pPr>
              <w:jc w:val="both"/>
              <w:rPr>
                <w:b/>
                <w:bCs/>
                <w:sz w:val="18"/>
                <w:szCs w:val="18"/>
              </w:rPr>
            </w:pPr>
            <w:r w:rsidRPr="005D5FAF">
              <w:rPr>
                <w:b/>
                <w:bCs/>
                <w:sz w:val="18"/>
                <w:szCs w:val="18"/>
              </w:rPr>
              <w:t>--Time (years)</w:t>
            </w:r>
          </w:p>
        </w:tc>
        <w:tc>
          <w:tcPr>
            <w:tcW w:w="601" w:type="pct"/>
            <w:shd w:val="clear" w:color="auto" w:fill="auto"/>
            <w:noWrap/>
            <w:hideMark/>
          </w:tcPr>
          <w:p w14:paraId="788621AA" w14:textId="77777777" w:rsidR="00F96346" w:rsidRPr="005D5FAF" w:rsidRDefault="00F96346" w:rsidP="00F96346">
            <w:pPr>
              <w:jc w:val="center"/>
              <w:rPr>
                <w:sz w:val="18"/>
                <w:szCs w:val="18"/>
              </w:rPr>
            </w:pPr>
            <w:r w:rsidRPr="005D5FAF">
              <w:rPr>
                <w:sz w:val="18"/>
                <w:szCs w:val="18"/>
              </w:rPr>
              <w:t>4</w:t>
            </w:r>
          </w:p>
        </w:tc>
        <w:tc>
          <w:tcPr>
            <w:tcW w:w="379" w:type="pct"/>
            <w:shd w:val="clear" w:color="auto" w:fill="auto"/>
            <w:noWrap/>
            <w:hideMark/>
          </w:tcPr>
          <w:p w14:paraId="4CC65D56" w14:textId="77777777" w:rsidR="00F96346" w:rsidRPr="005D5FAF" w:rsidRDefault="00F96346" w:rsidP="00F96346">
            <w:pPr>
              <w:jc w:val="center"/>
              <w:rPr>
                <w:sz w:val="18"/>
                <w:szCs w:val="18"/>
              </w:rPr>
            </w:pPr>
            <w:r w:rsidRPr="005D5FAF">
              <w:rPr>
                <w:sz w:val="18"/>
                <w:szCs w:val="18"/>
              </w:rPr>
              <w:t>1.7</w:t>
            </w:r>
          </w:p>
        </w:tc>
        <w:tc>
          <w:tcPr>
            <w:tcW w:w="347" w:type="pct"/>
            <w:shd w:val="clear" w:color="auto" w:fill="auto"/>
            <w:noWrap/>
            <w:hideMark/>
          </w:tcPr>
          <w:p w14:paraId="70F77957" w14:textId="77777777" w:rsidR="00F96346" w:rsidRPr="005D5FAF" w:rsidRDefault="00F96346" w:rsidP="00F96346">
            <w:pPr>
              <w:jc w:val="center"/>
              <w:rPr>
                <w:sz w:val="18"/>
                <w:szCs w:val="18"/>
              </w:rPr>
            </w:pPr>
            <w:r w:rsidRPr="005D5FAF">
              <w:rPr>
                <w:sz w:val="18"/>
                <w:szCs w:val="18"/>
              </w:rPr>
              <w:t>4.3</w:t>
            </w:r>
          </w:p>
        </w:tc>
        <w:tc>
          <w:tcPr>
            <w:tcW w:w="354" w:type="pct"/>
            <w:shd w:val="clear" w:color="auto" w:fill="auto"/>
            <w:noWrap/>
            <w:hideMark/>
          </w:tcPr>
          <w:p w14:paraId="60F6FB49" w14:textId="77777777" w:rsidR="00F96346" w:rsidRPr="005D5FAF" w:rsidRDefault="00F96346" w:rsidP="00F96346">
            <w:pPr>
              <w:jc w:val="center"/>
              <w:rPr>
                <w:sz w:val="18"/>
                <w:szCs w:val="18"/>
              </w:rPr>
            </w:pPr>
            <w:r w:rsidRPr="005D5FAF">
              <w:rPr>
                <w:sz w:val="18"/>
                <w:szCs w:val="18"/>
              </w:rPr>
              <w:t>1.9</w:t>
            </w:r>
          </w:p>
        </w:tc>
        <w:tc>
          <w:tcPr>
            <w:tcW w:w="354" w:type="pct"/>
            <w:shd w:val="clear" w:color="auto" w:fill="auto"/>
            <w:noWrap/>
            <w:hideMark/>
          </w:tcPr>
          <w:p w14:paraId="7E1302F2" w14:textId="77777777" w:rsidR="00F96346" w:rsidRPr="005D5FAF" w:rsidRDefault="00F96346" w:rsidP="00F96346">
            <w:pPr>
              <w:jc w:val="center"/>
              <w:rPr>
                <w:sz w:val="18"/>
                <w:szCs w:val="18"/>
              </w:rPr>
            </w:pPr>
            <w:r w:rsidRPr="005D5FAF">
              <w:rPr>
                <w:sz w:val="18"/>
                <w:szCs w:val="18"/>
              </w:rPr>
              <w:t>2.6</w:t>
            </w:r>
          </w:p>
        </w:tc>
        <w:tc>
          <w:tcPr>
            <w:tcW w:w="351" w:type="pct"/>
            <w:shd w:val="clear" w:color="auto" w:fill="auto"/>
            <w:noWrap/>
            <w:hideMark/>
          </w:tcPr>
          <w:p w14:paraId="3A64FF8A" w14:textId="77777777" w:rsidR="00F96346" w:rsidRPr="005D5FAF" w:rsidRDefault="00F96346" w:rsidP="00F96346">
            <w:pPr>
              <w:jc w:val="center"/>
              <w:rPr>
                <w:sz w:val="18"/>
                <w:szCs w:val="18"/>
              </w:rPr>
            </w:pPr>
            <w:r w:rsidRPr="005D5FAF">
              <w:rPr>
                <w:sz w:val="18"/>
                <w:szCs w:val="18"/>
              </w:rPr>
              <w:t>1.7</w:t>
            </w:r>
          </w:p>
        </w:tc>
        <w:tc>
          <w:tcPr>
            <w:tcW w:w="309" w:type="pct"/>
            <w:shd w:val="clear" w:color="auto" w:fill="auto"/>
            <w:noWrap/>
            <w:hideMark/>
          </w:tcPr>
          <w:p w14:paraId="4FAC3443" w14:textId="77777777" w:rsidR="00F96346" w:rsidRPr="005D5FAF" w:rsidRDefault="00F96346" w:rsidP="00F96346">
            <w:pPr>
              <w:jc w:val="center"/>
              <w:rPr>
                <w:sz w:val="18"/>
                <w:szCs w:val="18"/>
              </w:rPr>
            </w:pPr>
            <w:r w:rsidRPr="005D5FAF">
              <w:rPr>
                <w:sz w:val="18"/>
                <w:szCs w:val="18"/>
              </w:rPr>
              <w:t>5</w:t>
            </w:r>
          </w:p>
        </w:tc>
        <w:tc>
          <w:tcPr>
            <w:tcW w:w="410" w:type="pct"/>
            <w:shd w:val="clear" w:color="auto" w:fill="auto"/>
            <w:noWrap/>
            <w:hideMark/>
          </w:tcPr>
          <w:p w14:paraId="1C5DD418" w14:textId="77777777" w:rsidR="00F96346" w:rsidRPr="005D5FAF" w:rsidRDefault="00F96346" w:rsidP="00F96346">
            <w:pPr>
              <w:jc w:val="center"/>
              <w:rPr>
                <w:sz w:val="18"/>
                <w:szCs w:val="18"/>
              </w:rPr>
            </w:pPr>
            <w:r w:rsidRPr="005D5FAF">
              <w:rPr>
                <w:sz w:val="18"/>
                <w:szCs w:val="18"/>
              </w:rPr>
              <w:t>0.4</w:t>
            </w:r>
          </w:p>
        </w:tc>
      </w:tr>
      <w:tr w:rsidR="00F54A3F" w:rsidRPr="00F96346" w14:paraId="63FA8D71" w14:textId="77777777" w:rsidTr="00F54A3F">
        <w:trPr>
          <w:trHeight w:val="180"/>
        </w:trPr>
        <w:tc>
          <w:tcPr>
            <w:tcW w:w="1896" w:type="pct"/>
            <w:shd w:val="clear" w:color="auto" w:fill="auto"/>
            <w:noWrap/>
            <w:hideMark/>
          </w:tcPr>
          <w:p w14:paraId="164E739C" w14:textId="77777777" w:rsidR="00F96346" w:rsidRPr="005D5FAF" w:rsidRDefault="00F96346" w:rsidP="00F96346">
            <w:pPr>
              <w:jc w:val="both"/>
              <w:rPr>
                <w:b/>
                <w:bCs/>
                <w:sz w:val="18"/>
                <w:szCs w:val="18"/>
              </w:rPr>
            </w:pPr>
            <w:r w:rsidRPr="005D5FAF">
              <w:rPr>
                <w:b/>
                <w:bCs/>
                <w:sz w:val="18"/>
                <w:szCs w:val="18"/>
              </w:rPr>
              <w:t>--Cost (% of estate)</w:t>
            </w:r>
          </w:p>
        </w:tc>
        <w:tc>
          <w:tcPr>
            <w:tcW w:w="601" w:type="pct"/>
            <w:shd w:val="clear" w:color="auto" w:fill="auto"/>
            <w:noWrap/>
            <w:hideMark/>
          </w:tcPr>
          <w:p w14:paraId="5AB5E4BD" w14:textId="77777777" w:rsidR="00F96346" w:rsidRPr="005D5FAF" w:rsidRDefault="00F96346" w:rsidP="00F96346">
            <w:pPr>
              <w:jc w:val="center"/>
              <w:rPr>
                <w:sz w:val="18"/>
                <w:szCs w:val="18"/>
              </w:rPr>
            </w:pPr>
            <w:r w:rsidRPr="005D5FAF">
              <w:rPr>
                <w:sz w:val="18"/>
                <w:szCs w:val="18"/>
              </w:rPr>
              <w:t>8</w:t>
            </w:r>
          </w:p>
        </w:tc>
        <w:tc>
          <w:tcPr>
            <w:tcW w:w="379" w:type="pct"/>
            <w:shd w:val="clear" w:color="auto" w:fill="auto"/>
            <w:noWrap/>
            <w:hideMark/>
          </w:tcPr>
          <w:p w14:paraId="0F1501ED" w14:textId="77777777" w:rsidR="00F96346" w:rsidRPr="005D5FAF" w:rsidRDefault="00F96346" w:rsidP="00F96346">
            <w:pPr>
              <w:jc w:val="center"/>
              <w:rPr>
                <w:sz w:val="18"/>
                <w:szCs w:val="18"/>
              </w:rPr>
            </w:pPr>
            <w:r w:rsidRPr="005D5FAF">
              <w:rPr>
                <w:sz w:val="18"/>
                <w:szCs w:val="18"/>
              </w:rPr>
              <w:t>22</w:t>
            </w:r>
          </w:p>
        </w:tc>
        <w:tc>
          <w:tcPr>
            <w:tcW w:w="347" w:type="pct"/>
            <w:shd w:val="clear" w:color="auto" w:fill="auto"/>
            <w:noWrap/>
            <w:hideMark/>
          </w:tcPr>
          <w:p w14:paraId="33F79DB7" w14:textId="77777777" w:rsidR="00F96346" w:rsidRPr="005D5FAF" w:rsidRDefault="00F96346" w:rsidP="00F96346">
            <w:pPr>
              <w:jc w:val="center"/>
              <w:rPr>
                <w:sz w:val="18"/>
                <w:szCs w:val="18"/>
              </w:rPr>
            </w:pPr>
            <w:r w:rsidRPr="005D5FAF">
              <w:rPr>
                <w:sz w:val="18"/>
                <w:szCs w:val="18"/>
              </w:rPr>
              <w:t>9</w:t>
            </w:r>
          </w:p>
        </w:tc>
        <w:tc>
          <w:tcPr>
            <w:tcW w:w="354" w:type="pct"/>
            <w:shd w:val="clear" w:color="auto" w:fill="auto"/>
            <w:noWrap/>
            <w:hideMark/>
          </w:tcPr>
          <w:p w14:paraId="3D6A4D4C" w14:textId="77777777" w:rsidR="00F96346" w:rsidRPr="005D5FAF" w:rsidRDefault="00F96346" w:rsidP="00F96346">
            <w:pPr>
              <w:jc w:val="center"/>
              <w:rPr>
                <w:sz w:val="18"/>
                <w:szCs w:val="18"/>
              </w:rPr>
            </w:pPr>
            <w:r w:rsidRPr="005D5FAF">
              <w:rPr>
                <w:sz w:val="18"/>
                <w:szCs w:val="18"/>
              </w:rPr>
              <w:t>21.6</w:t>
            </w:r>
          </w:p>
        </w:tc>
        <w:tc>
          <w:tcPr>
            <w:tcW w:w="354" w:type="pct"/>
            <w:shd w:val="clear" w:color="auto" w:fill="auto"/>
            <w:noWrap/>
            <w:hideMark/>
          </w:tcPr>
          <w:p w14:paraId="322431F4" w14:textId="77777777" w:rsidR="00F96346" w:rsidRPr="005D5FAF" w:rsidRDefault="00F96346" w:rsidP="00F96346">
            <w:pPr>
              <w:jc w:val="center"/>
              <w:rPr>
                <w:sz w:val="18"/>
                <w:szCs w:val="18"/>
              </w:rPr>
            </w:pPr>
            <w:r w:rsidRPr="005D5FAF">
              <w:rPr>
                <w:sz w:val="18"/>
                <w:szCs w:val="18"/>
              </w:rPr>
              <w:t>4</w:t>
            </w:r>
          </w:p>
        </w:tc>
        <w:tc>
          <w:tcPr>
            <w:tcW w:w="351" w:type="pct"/>
            <w:shd w:val="clear" w:color="auto" w:fill="auto"/>
            <w:noWrap/>
            <w:hideMark/>
          </w:tcPr>
          <w:p w14:paraId="319D3336" w14:textId="77777777" w:rsidR="00F96346" w:rsidRPr="005D5FAF" w:rsidRDefault="00F96346" w:rsidP="00F96346">
            <w:pPr>
              <w:jc w:val="center"/>
              <w:rPr>
                <w:sz w:val="18"/>
                <w:szCs w:val="18"/>
              </w:rPr>
            </w:pPr>
            <w:r w:rsidRPr="005D5FAF">
              <w:rPr>
                <w:sz w:val="18"/>
                <w:szCs w:val="18"/>
              </w:rPr>
              <w:t>10</w:t>
            </w:r>
          </w:p>
        </w:tc>
        <w:tc>
          <w:tcPr>
            <w:tcW w:w="309" w:type="pct"/>
            <w:shd w:val="clear" w:color="auto" w:fill="auto"/>
            <w:noWrap/>
            <w:hideMark/>
          </w:tcPr>
          <w:p w14:paraId="76C262B9" w14:textId="77777777" w:rsidR="00F96346" w:rsidRPr="005D5FAF" w:rsidRDefault="00F96346" w:rsidP="00F96346">
            <w:pPr>
              <w:jc w:val="center"/>
              <w:rPr>
                <w:sz w:val="18"/>
                <w:szCs w:val="18"/>
              </w:rPr>
            </w:pPr>
            <w:r w:rsidRPr="005D5FAF">
              <w:rPr>
                <w:sz w:val="18"/>
                <w:szCs w:val="18"/>
              </w:rPr>
              <w:t>14.5</w:t>
            </w:r>
          </w:p>
        </w:tc>
        <w:tc>
          <w:tcPr>
            <w:tcW w:w="410" w:type="pct"/>
            <w:shd w:val="clear" w:color="auto" w:fill="auto"/>
            <w:noWrap/>
            <w:hideMark/>
          </w:tcPr>
          <w:p w14:paraId="1A5257AF" w14:textId="77777777" w:rsidR="00F96346" w:rsidRPr="005D5FAF" w:rsidRDefault="00F96346" w:rsidP="00F96346">
            <w:pPr>
              <w:jc w:val="center"/>
              <w:rPr>
                <w:sz w:val="18"/>
                <w:szCs w:val="18"/>
              </w:rPr>
            </w:pPr>
            <w:r w:rsidRPr="005D5FAF">
              <w:rPr>
                <w:sz w:val="18"/>
                <w:szCs w:val="18"/>
              </w:rPr>
              <w:t>1</w:t>
            </w:r>
          </w:p>
        </w:tc>
      </w:tr>
      <w:tr w:rsidR="00F54A3F" w:rsidRPr="00F96346" w14:paraId="46B277C3" w14:textId="77777777" w:rsidTr="00F54A3F">
        <w:trPr>
          <w:trHeight w:val="270"/>
        </w:trPr>
        <w:tc>
          <w:tcPr>
            <w:tcW w:w="1896" w:type="pct"/>
            <w:shd w:val="clear" w:color="auto" w:fill="auto"/>
            <w:noWrap/>
            <w:hideMark/>
          </w:tcPr>
          <w:p w14:paraId="1E112316" w14:textId="77777777" w:rsidR="00F96346" w:rsidRPr="005D5FAF" w:rsidRDefault="00F96346" w:rsidP="00F96346">
            <w:pPr>
              <w:jc w:val="both"/>
              <w:rPr>
                <w:b/>
                <w:bCs/>
                <w:sz w:val="18"/>
                <w:szCs w:val="18"/>
              </w:rPr>
            </w:pPr>
            <w:r w:rsidRPr="005D5FAF">
              <w:rPr>
                <w:b/>
                <w:bCs/>
                <w:sz w:val="18"/>
                <w:szCs w:val="18"/>
              </w:rPr>
              <w:t>--Recovery rate ((%)</w:t>
            </w:r>
          </w:p>
        </w:tc>
        <w:tc>
          <w:tcPr>
            <w:tcW w:w="601" w:type="pct"/>
            <w:shd w:val="clear" w:color="auto" w:fill="auto"/>
            <w:noWrap/>
            <w:hideMark/>
          </w:tcPr>
          <w:p w14:paraId="127BC036" w14:textId="77777777" w:rsidR="00F96346" w:rsidRPr="005D5FAF" w:rsidRDefault="00F96346" w:rsidP="00F96346">
            <w:pPr>
              <w:jc w:val="center"/>
              <w:rPr>
                <w:sz w:val="18"/>
                <w:szCs w:val="18"/>
              </w:rPr>
            </w:pPr>
            <w:r w:rsidRPr="005D5FAF">
              <w:rPr>
                <w:sz w:val="18"/>
                <w:szCs w:val="18"/>
              </w:rPr>
              <w:t>27</w:t>
            </w:r>
          </w:p>
        </w:tc>
        <w:tc>
          <w:tcPr>
            <w:tcW w:w="379" w:type="pct"/>
            <w:shd w:val="clear" w:color="auto" w:fill="auto"/>
            <w:noWrap/>
            <w:hideMark/>
          </w:tcPr>
          <w:p w14:paraId="30899A74" w14:textId="77777777" w:rsidR="00F96346" w:rsidRPr="005D5FAF" w:rsidRDefault="00F96346" w:rsidP="00F96346">
            <w:pPr>
              <w:jc w:val="center"/>
              <w:rPr>
                <w:sz w:val="18"/>
                <w:szCs w:val="18"/>
              </w:rPr>
            </w:pPr>
            <w:r w:rsidRPr="005D5FAF">
              <w:rPr>
                <w:sz w:val="18"/>
                <w:szCs w:val="18"/>
              </w:rPr>
              <w:t>36.9</w:t>
            </w:r>
          </w:p>
        </w:tc>
        <w:tc>
          <w:tcPr>
            <w:tcW w:w="347" w:type="pct"/>
            <w:shd w:val="clear" w:color="auto" w:fill="auto"/>
            <w:noWrap/>
            <w:hideMark/>
          </w:tcPr>
          <w:p w14:paraId="29F72EE1" w14:textId="77777777" w:rsidR="00F96346" w:rsidRPr="005D5FAF" w:rsidRDefault="00F96346" w:rsidP="00F96346">
            <w:pPr>
              <w:jc w:val="center"/>
              <w:rPr>
                <w:sz w:val="18"/>
                <w:szCs w:val="18"/>
              </w:rPr>
            </w:pPr>
            <w:r w:rsidRPr="005D5FAF">
              <w:rPr>
                <w:sz w:val="18"/>
                <w:szCs w:val="18"/>
              </w:rPr>
              <w:t>26</w:t>
            </w:r>
          </w:p>
        </w:tc>
        <w:tc>
          <w:tcPr>
            <w:tcW w:w="354" w:type="pct"/>
            <w:shd w:val="clear" w:color="auto" w:fill="auto"/>
            <w:noWrap/>
            <w:hideMark/>
          </w:tcPr>
          <w:p w14:paraId="0ACE464F" w14:textId="77777777" w:rsidR="00F96346" w:rsidRPr="005D5FAF" w:rsidRDefault="00F96346" w:rsidP="00F96346">
            <w:pPr>
              <w:jc w:val="center"/>
              <w:rPr>
                <w:sz w:val="18"/>
                <w:szCs w:val="18"/>
              </w:rPr>
            </w:pPr>
            <w:r w:rsidRPr="005D5FAF">
              <w:rPr>
                <w:sz w:val="18"/>
                <w:szCs w:val="18"/>
              </w:rPr>
              <w:t>31.2</w:t>
            </w:r>
          </w:p>
        </w:tc>
        <w:tc>
          <w:tcPr>
            <w:tcW w:w="354" w:type="pct"/>
            <w:shd w:val="clear" w:color="auto" w:fill="auto"/>
            <w:noWrap/>
            <w:hideMark/>
          </w:tcPr>
          <w:p w14:paraId="266BECA3" w14:textId="77777777" w:rsidR="00F96346" w:rsidRPr="005D5FAF" w:rsidRDefault="00F96346" w:rsidP="00F96346">
            <w:pPr>
              <w:jc w:val="center"/>
              <w:rPr>
                <w:sz w:val="18"/>
                <w:szCs w:val="18"/>
              </w:rPr>
            </w:pPr>
            <w:r w:rsidRPr="005D5FAF">
              <w:rPr>
                <w:sz w:val="18"/>
                <w:szCs w:val="18"/>
              </w:rPr>
              <w:t>43</w:t>
            </w:r>
          </w:p>
        </w:tc>
        <w:tc>
          <w:tcPr>
            <w:tcW w:w="351" w:type="pct"/>
            <w:shd w:val="clear" w:color="auto" w:fill="auto"/>
            <w:noWrap/>
            <w:hideMark/>
          </w:tcPr>
          <w:p w14:paraId="1561FBF0" w14:textId="77777777" w:rsidR="00F96346" w:rsidRPr="005D5FAF" w:rsidRDefault="00F96346" w:rsidP="00F96346">
            <w:pPr>
              <w:jc w:val="center"/>
              <w:rPr>
                <w:sz w:val="18"/>
                <w:szCs w:val="18"/>
              </w:rPr>
            </w:pPr>
            <w:r w:rsidRPr="005D5FAF">
              <w:rPr>
                <w:sz w:val="18"/>
                <w:szCs w:val="18"/>
              </w:rPr>
              <w:t>46.2</w:t>
            </w:r>
          </w:p>
        </w:tc>
        <w:tc>
          <w:tcPr>
            <w:tcW w:w="309" w:type="pct"/>
            <w:shd w:val="clear" w:color="auto" w:fill="auto"/>
            <w:noWrap/>
            <w:hideMark/>
          </w:tcPr>
          <w:p w14:paraId="6B0AEE0B" w14:textId="77777777" w:rsidR="00F96346" w:rsidRPr="005D5FAF" w:rsidRDefault="00F96346" w:rsidP="00F96346">
            <w:pPr>
              <w:jc w:val="center"/>
              <w:rPr>
                <w:sz w:val="18"/>
                <w:szCs w:val="18"/>
              </w:rPr>
            </w:pPr>
            <w:r w:rsidRPr="005D5FAF">
              <w:rPr>
                <w:sz w:val="18"/>
                <w:szCs w:val="18"/>
              </w:rPr>
              <w:t>21.6</w:t>
            </w:r>
          </w:p>
        </w:tc>
        <w:tc>
          <w:tcPr>
            <w:tcW w:w="410" w:type="pct"/>
            <w:shd w:val="clear" w:color="auto" w:fill="auto"/>
            <w:noWrap/>
            <w:hideMark/>
          </w:tcPr>
          <w:p w14:paraId="1D5AFD41" w14:textId="77777777" w:rsidR="00F96346" w:rsidRPr="005D5FAF" w:rsidRDefault="00F96346" w:rsidP="00F96346">
            <w:pPr>
              <w:jc w:val="center"/>
              <w:rPr>
                <w:sz w:val="18"/>
                <w:szCs w:val="18"/>
              </w:rPr>
            </w:pPr>
            <w:r w:rsidRPr="005D5FAF">
              <w:rPr>
                <w:sz w:val="18"/>
                <w:szCs w:val="18"/>
              </w:rPr>
              <w:t>92.9</w:t>
            </w:r>
          </w:p>
        </w:tc>
      </w:tr>
      <w:tr w:rsidR="00F54A3F" w:rsidRPr="00F96346" w14:paraId="053F5CC8" w14:textId="77777777" w:rsidTr="00F54A3F">
        <w:trPr>
          <w:trHeight w:val="243"/>
        </w:trPr>
        <w:tc>
          <w:tcPr>
            <w:tcW w:w="1896" w:type="pct"/>
            <w:shd w:val="clear" w:color="auto" w:fill="auto"/>
            <w:noWrap/>
            <w:hideMark/>
          </w:tcPr>
          <w:p w14:paraId="47A942D0" w14:textId="77777777" w:rsidR="00F96346" w:rsidRPr="005D5FAF" w:rsidRDefault="00F96346" w:rsidP="00F96346">
            <w:pPr>
              <w:jc w:val="both"/>
              <w:rPr>
                <w:b/>
                <w:bCs/>
                <w:sz w:val="18"/>
                <w:szCs w:val="18"/>
              </w:rPr>
            </w:pPr>
            <w:r w:rsidRPr="005D5FAF">
              <w:rPr>
                <w:b/>
                <w:bCs/>
                <w:sz w:val="18"/>
                <w:szCs w:val="18"/>
              </w:rPr>
              <w:t>--Strength of insolvency framework index (0-16)</w:t>
            </w:r>
          </w:p>
        </w:tc>
        <w:tc>
          <w:tcPr>
            <w:tcW w:w="601" w:type="pct"/>
            <w:shd w:val="clear" w:color="auto" w:fill="auto"/>
            <w:noWrap/>
            <w:hideMark/>
          </w:tcPr>
          <w:p w14:paraId="437510A3" w14:textId="77777777" w:rsidR="00F96346" w:rsidRPr="005D5FAF" w:rsidRDefault="00F96346" w:rsidP="00F96346">
            <w:pPr>
              <w:jc w:val="center"/>
              <w:rPr>
                <w:sz w:val="18"/>
                <w:szCs w:val="18"/>
              </w:rPr>
            </w:pPr>
            <w:r w:rsidRPr="005D5FAF">
              <w:rPr>
                <w:sz w:val="18"/>
                <w:szCs w:val="18"/>
              </w:rPr>
              <w:t>4</w:t>
            </w:r>
          </w:p>
        </w:tc>
        <w:tc>
          <w:tcPr>
            <w:tcW w:w="379" w:type="pct"/>
            <w:shd w:val="clear" w:color="auto" w:fill="auto"/>
            <w:noWrap/>
            <w:hideMark/>
          </w:tcPr>
          <w:p w14:paraId="7D0C0657" w14:textId="77777777" w:rsidR="00F96346" w:rsidRPr="005D5FAF" w:rsidRDefault="00F96346" w:rsidP="00F96346">
            <w:pPr>
              <w:jc w:val="center"/>
              <w:rPr>
                <w:sz w:val="18"/>
                <w:szCs w:val="18"/>
              </w:rPr>
            </w:pPr>
            <w:r w:rsidRPr="005D5FAF">
              <w:rPr>
                <w:sz w:val="18"/>
                <w:szCs w:val="18"/>
              </w:rPr>
              <w:t>11.5</w:t>
            </w:r>
          </w:p>
        </w:tc>
        <w:tc>
          <w:tcPr>
            <w:tcW w:w="347" w:type="pct"/>
            <w:shd w:val="clear" w:color="auto" w:fill="auto"/>
            <w:noWrap/>
            <w:hideMark/>
          </w:tcPr>
          <w:p w14:paraId="515C4299" w14:textId="77777777" w:rsidR="00F96346" w:rsidRPr="005D5FAF" w:rsidRDefault="00F96346" w:rsidP="00F96346">
            <w:pPr>
              <w:jc w:val="center"/>
              <w:rPr>
                <w:sz w:val="18"/>
                <w:szCs w:val="18"/>
              </w:rPr>
            </w:pPr>
            <w:r w:rsidRPr="005D5FAF">
              <w:rPr>
                <w:sz w:val="18"/>
                <w:szCs w:val="18"/>
              </w:rPr>
              <w:t>6</w:t>
            </w:r>
          </w:p>
        </w:tc>
        <w:tc>
          <w:tcPr>
            <w:tcW w:w="354" w:type="pct"/>
            <w:shd w:val="clear" w:color="auto" w:fill="auto"/>
            <w:noWrap/>
            <w:hideMark/>
          </w:tcPr>
          <w:p w14:paraId="5B73BF52" w14:textId="77777777" w:rsidR="00F96346" w:rsidRPr="005D5FAF" w:rsidRDefault="00F96346" w:rsidP="00F96346">
            <w:pPr>
              <w:jc w:val="center"/>
              <w:rPr>
                <w:sz w:val="18"/>
                <w:szCs w:val="18"/>
              </w:rPr>
            </w:pPr>
            <w:r w:rsidRPr="005D5FAF">
              <w:rPr>
                <w:sz w:val="18"/>
                <w:szCs w:val="18"/>
              </w:rPr>
              <w:t>9.5</w:t>
            </w:r>
          </w:p>
        </w:tc>
        <w:tc>
          <w:tcPr>
            <w:tcW w:w="354" w:type="pct"/>
            <w:shd w:val="clear" w:color="auto" w:fill="auto"/>
            <w:noWrap/>
            <w:hideMark/>
          </w:tcPr>
          <w:p w14:paraId="027FA188" w14:textId="77777777" w:rsidR="00F96346" w:rsidRPr="005D5FAF" w:rsidRDefault="00F96346" w:rsidP="00F96346">
            <w:pPr>
              <w:jc w:val="center"/>
              <w:rPr>
                <w:sz w:val="18"/>
                <w:szCs w:val="18"/>
              </w:rPr>
            </w:pPr>
            <w:r w:rsidRPr="005D5FAF">
              <w:rPr>
                <w:sz w:val="18"/>
                <w:szCs w:val="18"/>
              </w:rPr>
              <w:t>7</w:t>
            </w:r>
          </w:p>
        </w:tc>
        <w:tc>
          <w:tcPr>
            <w:tcW w:w="351" w:type="pct"/>
            <w:shd w:val="clear" w:color="auto" w:fill="auto"/>
            <w:noWrap/>
            <w:hideMark/>
          </w:tcPr>
          <w:p w14:paraId="756491BB" w14:textId="77777777" w:rsidR="00F96346" w:rsidRPr="005D5FAF" w:rsidRDefault="00F96346" w:rsidP="00F96346">
            <w:pPr>
              <w:jc w:val="center"/>
              <w:rPr>
                <w:sz w:val="18"/>
                <w:szCs w:val="18"/>
              </w:rPr>
            </w:pPr>
            <w:r w:rsidRPr="005D5FAF">
              <w:rPr>
                <w:sz w:val="18"/>
                <w:szCs w:val="18"/>
              </w:rPr>
              <w:t>7</w:t>
            </w:r>
          </w:p>
        </w:tc>
        <w:tc>
          <w:tcPr>
            <w:tcW w:w="309" w:type="pct"/>
            <w:shd w:val="clear" w:color="auto" w:fill="auto"/>
            <w:noWrap/>
            <w:hideMark/>
          </w:tcPr>
          <w:p w14:paraId="2E379D09" w14:textId="77777777" w:rsidR="00F96346" w:rsidRPr="005D5FAF" w:rsidRDefault="00F96346" w:rsidP="00F96346">
            <w:pPr>
              <w:jc w:val="center"/>
              <w:rPr>
                <w:sz w:val="18"/>
                <w:szCs w:val="18"/>
              </w:rPr>
            </w:pPr>
            <w:r w:rsidRPr="005D5FAF">
              <w:rPr>
                <w:sz w:val="18"/>
                <w:szCs w:val="18"/>
              </w:rPr>
              <w:t>7.5</w:t>
            </w:r>
          </w:p>
        </w:tc>
        <w:tc>
          <w:tcPr>
            <w:tcW w:w="410" w:type="pct"/>
            <w:shd w:val="clear" w:color="auto" w:fill="auto"/>
            <w:noWrap/>
            <w:hideMark/>
          </w:tcPr>
          <w:p w14:paraId="2690349E" w14:textId="77777777" w:rsidR="00F96346" w:rsidRPr="005D5FAF" w:rsidRDefault="00F96346" w:rsidP="00F96346">
            <w:pPr>
              <w:jc w:val="center"/>
              <w:rPr>
                <w:sz w:val="18"/>
                <w:szCs w:val="18"/>
              </w:rPr>
            </w:pPr>
            <w:r w:rsidRPr="005D5FAF">
              <w:rPr>
                <w:sz w:val="18"/>
                <w:szCs w:val="18"/>
              </w:rPr>
              <w:t>15</w:t>
            </w:r>
          </w:p>
        </w:tc>
      </w:tr>
    </w:tbl>
    <w:p w14:paraId="6AD70DCA" w14:textId="77777777" w:rsidR="00F96346" w:rsidRPr="00193F5B" w:rsidRDefault="00F96346" w:rsidP="00F96346">
      <w:pPr>
        <w:pStyle w:val="ListParagraph"/>
        <w:spacing w:before="120" w:after="240"/>
        <w:ind w:left="0"/>
        <w:contextualSpacing w:val="0"/>
        <w:jc w:val="both"/>
        <w:rPr>
          <w:b/>
          <w:bCs/>
          <w:i/>
          <w:iCs/>
          <w:sz w:val="20"/>
          <w:szCs w:val="20"/>
        </w:rPr>
      </w:pPr>
      <w:r w:rsidRPr="00193F5B">
        <w:rPr>
          <w:b/>
          <w:bCs/>
          <w:i/>
          <w:iCs/>
          <w:sz w:val="20"/>
          <w:szCs w:val="20"/>
        </w:rPr>
        <w:t>Source: Doing Business 2017, International Finance Corporation</w:t>
      </w:r>
    </w:p>
    <w:p w14:paraId="0A946ECF" w14:textId="77777777" w:rsidR="00F96346" w:rsidRPr="00193F5B" w:rsidRDefault="00F96346" w:rsidP="00F96346">
      <w:pPr>
        <w:pStyle w:val="ListParagraph"/>
        <w:spacing w:after="240" w:line="276" w:lineRule="auto"/>
        <w:ind w:left="0"/>
        <w:contextualSpacing w:val="0"/>
        <w:jc w:val="both"/>
      </w:pPr>
      <w:r w:rsidRPr="00193F5B">
        <w:t xml:space="preserve">As noted, the high transaction costs of compliance with the regulatory regime in the </w:t>
      </w:r>
      <w:r w:rsidRPr="00326988">
        <w:rPr>
          <w:i/>
        </w:rPr>
        <w:t>four areas concerning contract enforcement, getting electricity, registering property and trading across borders</w:t>
      </w:r>
      <w:r w:rsidRPr="00193F5B">
        <w:t xml:space="preserve"> are major contributors to the high cost of doing business ranking and the low inflow of FDI in Bangladesh. In some sense, these four issues are a binding constraint to FDI because while local investors would likely have a way to get through with their local knowledge and connections, the foreign investors will be heavily disadvantaged.</w:t>
      </w:r>
    </w:p>
    <w:p w14:paraId="7303B1BD" w14:textId="77777777" w:rsidR="00C034FD" w:rsidRDefault="00F96346" w:rsidP="00492DC9">
      <w:pPr>
        <w:pStyle w:val="ListParagraph"/>
        <w:spacing w:after="240" w:line="276" w:lineRule="auto"/>
        <w:ind w:left="0"/>
        <w:contextualSpacing w:val="0"/>
      </w:pPr>
      <w:r w:rsidRPr="00193F5B">
        <w:t xml:space="preserve">For example, on average it takes 1442 days to enforce a contract and the financial cost of enforcement is as high as 67% of the claim. As compared with this, it takes only 400 days in Vietnam and 453 days in China to enforce a contract; the financial cost is 29% and 16% respectively.  The performance gap between Bangladesh and the best performer is commensurately much larger: 164 days to resolve a conflict involving only 9% of the cost of claim.  The difficulty of getting access to electricity is equally telling.  </w:t>
      </w:r>
    </w:p>
    <w:p w14:paraId="7B6BC1B4" w14:textId="122F4448" w:rsidR="00F96346" w:rsidRDefault="00F96346" w:rsidP="00492DC9">
      <w:pPr>
        <w:pStyle w:val="ListParagraph"/>
        <w:spacing w:after="240" w:line="276" w:lineRule="auto"/>
        <w:ind w:left="0"/>
        <w:contextualSpacing w:val="0"/>
      </w:pPr>
      <w:r w:rsidRPr="00193F5B">
        <w:t>It takes 429 days to get access to electricity in Bangladesh as compared with 58 days in Indonesia, 100 days in Sri Lanka, 46 days in India and Vietnam.  Additionally the relative cost of getting electricity</w:t>
      </w:r>
      <w:r w:rsidR="00452D50">
        <w:t>,</w:t>
      </w:r>
      <w:r w:rsidRPr="00193F5B">
        <w:t xml:space="preserve"> </w:t>
      </w:r>
      <w:proofErr w:type="gramStart"/>
      <w:r w:rsidRPr="00193F5B">
        <w:t>measured</w:t>
      </w:r>
      <w:proofErr w:type="gramEnd"/>
      <w:r w:rsidRPr="00193F5B">
        <w:t xml:space="preserve"> as percentage of per capita GDP</w:t>
      </w:r>
      <w:r w:rsidR="00452D50">
        <w:t>,</w:t>
      </w:r>
      <w:r w:rsidRPr="00193F5B">
        <w:t xml:space="preserve"> is much higher in Bangladesh relative to comparators.  The performance gap with best practice is huge. Regarding, property registration, Bangladesh takes 244 days while it is only 20 days in China, 27 days in Indonesia and 47 days in India.  The transaction costs of resolving insolvency and trading across nations are similarly high in relation to the comparators. </w:t>
      </w:r>
      <w:r w:rsidR="00C034FD">
        <w:t>C</w:t>
      </w:r>
      <w:r w:rsidRPr="00193F5B">
        <w:t>oncerning trading across borders, the time it takes complete international trade transactions and the financial cost of complying with the documentary and border clearance requirements are exorbitantly high relative to comparators and especially in relation to the best performer.  This is a particularly worrisome result for export diversification.</w:t>
      </w:r>
    </w:p>
    <w:p w14:paraId="2962035E" w14:textId="2836B498" w:rsidR="009A5445" w:rsidRPr="00193F5B" w:rsidRDefault="00C034FD" w:rsidP="00492DC9">
      <w:pPr>
        <w:pStyle w:val="ListParagraph"/>
        <w:spacing w:after="240" w:line="276" w:lineRule="auto"/>
        <w:ind w:left="0"/>
        <w:contextualSpacing w:val="0"/>
      </w:pPr>
      <w:r>
        <w:t>Finally g</w:t>
      </w:r>
      <w:r w:rsidR="009A5445">
        <w:t>etting credit is another index where Bangladesh features very poorly.  Banglade</w:t>
      </w:r>
      <w:r w:rsidR="00FD30F6">
        <w:t xml:space="preserve">sh ranked 157 in this category </w:t>
      </w:r>
      <w:r w:rsidR="009A5445">
        <w:t>(Figure 16)</w:t>
      </w:r>
      <w:r w:rsidR="00FD30F6">
        <w:t xml:space="preserve">.  </w:t>
      </w:r>
      <w:r w:rsidR="00FD30F6" w:rsidRPr="00FD20EE">
        <w:t xml:space="preserve">Bangladesh’s poor performance is a result </w:t>
      </w:r>
      <w:r w:rsidR="00FD20EE" w:rsidRPr="00FD20EE">
        <w:t>of having</w:t>
      </w:r>
      <w:r w:rsidR="00FD30F6" w:rsidRPr="00FD20EE">
        <w:t xml:space="preserve"> very low scores</w:t>
      </w:r>
      <w:r w:rsidR="00E05A2D">
        <w:t xml:space="preserve"> (Table 4 above) in</w:t>
      </w:r>
      <w:r w:rsidR="00FD30F6" w:rsidRPr="00FD20EE">
        <w:t xml:space="preserve"> </w:t>
      </w:r>
      <w:r w:rsidR="00E05A2D">
        <w:rPr>
          <w:bCs/>
        </w:rPr>
        <w:t>Depth of C</w:t>
      </w:r>
      <w:r w:rsidR="00FD30F6" w:rsidRPr="00FD20EE">
        <w:rPr>
          <w:bCs/>
        </w:rPr>
        <w:t>redit info</w:t>
      </w:r>
      <w:r w:rsidR="00E05A2D">
        <w:rPr>
          <w:bCs/>
        </w:rPr>
        <w:t>rmation</w:t>
      </w:r>
      <w:r w:rsidR="00FD30F6" w:rsidRPr="00FD20EE">
        <w:rPr>
          <w:bCs/>
        </w:rPr>
        <w:t xml:space="preserve"> index (score of 0 com</w:t>
      </w:r>
      <w:r w:rsidR="00E05A2D">
        <w:rPr>
          <w:bCs/>
        </w:rPr>
        <w:t>pared to 8 for China,), Credit Registry C</w:t>
      </w:r>
      <w:r w:rsidR="00FD30F6" w:rsidRPr="00FD20EE">
        <w:rPr>
          <w:bCs/>
        </w:rPr>
        <w:t>overage (</w:t>
      </w:r>
      <w:r w:rsidR="00FD20EE" w:rsidRPr="00FD20EE">
        <w:rPr>
          <w:bCs/>
        </w:rPr>
        <w:t>0.9</w:t>
      </w:r>
      <w:r w:rsidR="00FD30F6" w:rsidRPr="00FD20EE">
        <w:rPr>
          <w:bCs/>
        </w:rPr>
        <w:t>% of adults</w:t>
      </w:r>
      <w:r w:rsidR="00FD20EE" w:rsidRPr="00FD20EE">
        <w:rPr>
          <w:bCs/>
        </w:rPr>
        <w:t xml:space="preserve"> versus 91</w:t>
      </w:r>
      <w:r w:rsidR="00FD20EE">
        <w:rPr>
          <w:bCs/>
        </w:rPr>
        <w:t>.9</w:t>
      </w:r>
      <w:r w:rsidR="00FD20EE" w:rsidRPr="00FD20EE">
        <w:rPr>
          <w:bCs/>
        </w:rPr>
        <w:t>% for China</w:t>
      </w:r>
      <w:r w:rsidR="00E05A2D">
        <w:rPr>
          <w:bCs/>
        </w:rPr>
        <w:t>), Credit Bureau C</w:t>
      </w:r>
      <w:r w:rsidR="00FD30F6" w:rsidRPr="00FD20EE">
        <w:rPr>
          <w:bCs/>
        </w:rPr>
        <w:t>overage (</w:t>
      </w:r>
      <w:r w:rsidR="00FD20EE" w:rsidRPr="00FD20EE">
        <w:rPr>
          <w:bCs/>
        </w:rPr>
        <w:t xml:space="preserve">0 </w:t>
      </w:r>
      <w:r w:rsidR="00FD30F6" w:rsidRPr="00FD20EE">
        <w:rPr>
          <w:bCs/>
        </w:rPr>
        <w:t>% of adults</w:t>
      </w:r>
      <w:r w:rsidR="00FD20EE" w:rsidRPr="00FD20EE">
        <w:rPr>
          <w:bCs/>
        </w:rPr>
        <w:t xml:space="preserve"> versus 21.3</w:t>
      </w:r>
      <w:r w:rsidR="00FD20EE">
        <w:rPr>
          <w:bCs/>
        </w:rPr>
        <w:t>% China</w:t>
      </w:r>
      <w:r w:rsidR="00FD30F6" w:rsidRPr="00FD20EE">
        <w:rPr>
          <w:bCs/>
        </w:rPr>
        <w:t>)</w:t>
      </w:r>
      <w:r w:rsidR="00FD20EE" w:rsidRPr="00FD20EE">
        <w:rPr>
          <w:bCs/>
        </w:rPr>
        <w:t>.</w:t>
      </w:r>
      <w:r w:rsidR="00FD20EE">
        <w:rPr>
          <w:b/>
          <w:bCs/>
          <w:sz w:val="18"/>
          <w:szCs w:val="18"/>
        </w:rPr>
        <w:t xml:space="preserve"> </w:t>
      </w:r>
      <w:r w:rsidR="00FD30F6">
        <w:t>This is particularly challengin</w:t>
      </w:r>
      <w:r w:rsidR="00FD20EE">
        <w:t xml:space="preserve">g for MSME’s to access credit. </w:t>
      </w:r>
      <w:r w:rsidR="00E05A2D">
        <w:t>Higher levels of investments in MSME’s will be important ingredient in Bangladesh’s transformation to HIC and it is here that most jobs can get</w:t>
      </w:r>
      <w:r w:rsidR="00FD20EE">
        <w:t xml:space="preserve"> </w:t>
      </w:r>
      <w:r w:rsidR="00E05A2D">
        <w:t xml:space="preserve">created. </w:t>
      </w:r>
    </w:p>
    <w:p w14:paraId="42CBAA85" w14:textId="77777777" w:rsidR="001B13FB" w:rsidRDefault="001B13FB" w:rsidP="001B7C64">
      <w:pPr>
        <w:spacing w:line="276" w:lineRule="auto"/>
        <w:jc w:val="both"/>
        <w:rPr>
          <w:b/>
        </w:rPr>
      </w:pPr>
    </w:p>
    <w:p w14:paraId="1A597A59" w14:textId="77777777" w:rsidR="001B13FB" w:rsidRDefault="001B13FB" w:rsidP="001B7C64">
      <w:pPr>
        <w:spacing w:line="276" w:lineRule="auto"/>
        <w:jc w:val="both"/>
        <w:rPr>
          <w:b/>
        </w:rPr>
      </w:pPr>
    </w:p>
    <w:p w14:paraId="523AECC8" w14:textId="75F9397F" w:rsidR="00C37FEC" w:rsidRDefault="009B6A12" w:rsidP="001B7C64">
      <w:pPr>
        <w:spacing w:line="276" w:lineRule="auto"/>
        <w:jc w:val="both"/>
      </w:pPr>
      <w:r>
        <w:rPr>
          <w:b/>
        </w:rPr>
        <w:t>3</w:t>
      </w:r>
      <w:r w:rsidR="00883845">
        <w:rPr>
          <w:b/>
        </w:rPr>
        <w:t>.5</w:t>
      </w:r>
      <w:r w:rsidR="00C16FD6" w:rsidRPr="00C37FEC">
        <w:rPr>
          <w:b/>
        </w:rPr>
        <w:t xml:space="preserve"> Infrastructure</w:t>
      </w:r>
      <w:r w:rsidR="009F570C" w:rsidRPr="00C37FEC">
        <w:rPr>
          <w:b/>
        </w:rPr>
        <w:t xml:space="preserve"> Challenges</w:t>
      </w:r>
      <w:r w:rsidR="00BF1B56" w:rsidRPr="00C37FEC">
        <w:rPr>
          <w:b/>
        </w:rPr>
        <w:t xml:space="preserve"> to Reducing Cost of Doing business</w:t>
      </w:r>
      <w:r w:rsidR="009F570C" w:rsidRPr="00C37FEC">
        <w:rPr>
          <w:b/>
        </w:rPr>
        <w:t>:</w:t>
      </w:r>
      <w:r w:rsidR="009F570C" w:rsidRPr="00C37FEC">
        <w:t xml:space="preserve"> </w:t>
      </w:r>
    </w:p>
    <w:p w14:paraId="62CE3F32" w14:textId="399A9577" w:rsidR="00C37FEC" w:rsidRPr="00C37FEC" w:rsidRDefault="001B7C64" w:rsidP="001B7C64">
      <w:pPr>
        <w:spacing w:line="276" w:lineRule="auto"/>
        <w:jc w:val="both"/>
      </w:pPr>
      <w:r w:rsidRPr="00C37FEC">
        <w:t xml:space="preserve"> </w:t>
      </w:r>
    </w:p>
    <w:p w14:paraId="5C3CB51C" w14:textId="75B76D7D" w:rsidR="009B6A12" w:rsidRPr="001B13FB" w:rsidRDefault="009F570C" w:rsidP="001B13FB">
      <w:pPr>
        <w:spacing w:line="276" w:lineRule="auto"/>
        <w:jc w:val="both"/>
      </w:pPr>
      <w:r w:rsidRPr="00BF1B56">
        <w:t>The World Economic Forum regularly updates countries positio</w:t>
      </w:r>
      <w:r w:rsidR="000D17B7" w:rsidRPr="00BF1B56">
        <w:t>n on competitiveness based on several</w:t>
      </w:r>
      <w:r w:rsidRPr="00BF1B56">
        <w:t xml:space="preserve"> pillars, and infrastructure (transport and energy infrastructure) is determined as a key pillar for factor driven economies like Bangladesh. Comparison of infrastructure among different Asian countries shows that Bangladesh is quite deficient in quality of infrastructure </w:t>
      </w:r>
      <w:r w:rsidR="0031535B" w:rsidRPr="00BF1B56">
        <w:t>as depicted in</w:t>
      </w:r>
      <w:r w:rsidRPr="00BF1B56">
        <w:t xml:space="preserve"> </w:t>
      </w:r>
      <w:r w:rsidRPr="00C37FEC">
        <w:t xml:space="preserve">Table </w:t>
      </w:r>
      <w:r w:rsidR="00C37FEC">
        <w:t>5</w:t>
      </w:r>
      <w:r w:rsidRPr="00BF1B56">
        <w:t xml:space="preserve"> below. </w:t>
      </w:r>
      <w:r w:rsidR="0031535B" w:rsidRPr="00BF1B56">
        <w:t xml:space="preserve"> </w:t>
      </w:r>
    </w:p>
    <w:p w14:paraId="1FFCD51B" w14:textId="77777777" w:rsidR="009B6A12" w:rsidRDefault="009B6A12" w:rsidP="000D17B7">
      <w:pPr>
        <w:jc w:val="center"/>
        <w:rPr>
          <w:b/>
        </w:rPr>
      </w:pPr>
    </w:p>
    <w:p w14:paraId="1AA05905" w14:textId="36ABBA71" w:rsidR="000D17B7" w:rsidRDefault="00C37FEC" w:rsidP="000D17B7">
      <w:pPr>
        <w:jc w:val="center"/>
        <w:rPr>
          <w:b/>
        </w:rPr>
      </w:pPr>
      <w:r>
        <w:rPr>
          <w:b/>
        </w:rPr>
        <w:t>Table 5</w:t>
      </w:r>
      <w:r w:rsidR="000D17B7" w:rsidRPr="00DA14F2">
        <w:rPr>
          <w:b/>
        </w:rPr>
        <w:t>: Infrastructure of GCI 2016</w:t>
      </w:r>
      <w:r w:rsidR="000D17B7">
        <w:rPr>
          <w:b/>
        </w:rPr>
        <w:t>-17</w:t>
      </w:r>
    </w:p>
    <w:p w14:paraId="751C46A8" w14:textId="77777777" w:rsidR="00C37FEC" w:rsidRPr="00DA14F2" w:rsidRDefault="00C37FEC" w:rsidP="000D17B7">
      <w:pPr>
        <w:jc w:val="center"/>
        <w:rPr>
          <w:b/>
        </w:rPr>
      </w:pPr>
    </w:p>
    <w:tbl>
      <w:tblPr>
        <w:tblW w:w="5000" w:type="pct"/>
        <w:tblLook w:val="04A0" w:firstRow="1" w:lastRow="0" w:firstColumn="1" w:lastColumn="0" w:noHBand="0" w:noVBand="1"/>
      </w:tblPr>
      <w:tblGrid>
        <w:gridCol w:w="1326"/>
        <w:gridCol w:w="1107"/>
        <w:gridCol w:w="997"/>
        <w:gridCol w:w="937"/>
        <w:gridCol w:w="855"/>
        <w:gridCol w:w="777"/>
        <w:gridCol w:w="917"/>
        <w:gridCol w:w="627"/>
        <w:gridCol w:w="876"/>
        <w:gridCol w:w="887"/>
      </w:tblGrid>
      <w:tr w:rsidR="000D17B7" w:rsidRPr="00647951" w14:paraId="6E0BB8FC" w14:textId="77777777" w:rsidTr="000D17B7">
        <w:trPr>
          <w:trHeight w:val="512"/>
        </w:trPr>
        <w:tc>
          <w:tcPr>
            <w:tcW w:w="7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3E2F8" w14:textId="77777777" w:rsidR="000D17B7" w:rsidRPr="00E85CAD" w:rsidRDefault="000D17B7" w:rsidP="000D17B7">
            <w:pPr>
              <w:rPr>
                <w:color w:val="000000"/>
                <w:sz w:val="18"/>
                <w:szCs w:val="18"/>
              </w:rPr>
            </w:pPr>
            <w:r w:rsidRPr="00E85CAD">
              <w:rPr>
                <w:color w:val="000000"/>
                <w:sz w:val="18"/>
                <w:szCs w:val="18"/>
              </w:rPr>
              <w:t> </w:t>
            </w:r>
          </w:p>
        </w:tc>
        <w:tc>
          <w:tcPr>
            <w:tcW w:w="592" w:type="pct"/>
            <w:tcBorders>
              <w:top w:val="single" w:sz="4" w:space="0" w:color="auto"/>
              <w:left w:val="nil"/>
              <w:bottom w:val="single" w:sz="4" w:space="0" w:color="auto"/>
              <w:right w:val="single" w:sz="4" w:space="0" w:color="auto"/>
            </w:tcBorders>
            <w:shd w:val="clear" w:color="auto" w:fill="auto"/>
            <w:vAlign w:val="bottom"/>
            <w:hideMark/>
          </w:tcPr>
          <w:p w14:paraId="22A708E1" w14:textId="77777777" w:rsidR="000D17B7" w:rsidRPr="00E85CAD" w:rsidRDefault="000D17B7" w:rsidP="000D17B7">
            <w:pPr>
              <w:rPr>
                <w:b/>
                <w:bCs/>
                <w:color w:val="000000"/>
                <w:sz w:val="18"/>
                <w:szCs w:val="18"/>
              </w:rPr>
            </w:pPr>
            <w:r w:rsidRPr="00E85CAD">
              <w:rPr>
                <w:b/>
                <w:bCs/>
                <w:color w:val="000000"/>
                <w:sz w:val="18"/>
                <w:szCs w:val="18"/>
              </w:rPr>
              <w:t>Bangladesh</w:t>
            </w:r>
          </w:p>
        </w:tc>
        <w:tc>
          <w:tcPr>
            <w:tcW w:w="533" w:type="pct"/>
            <w:tcBorders>
              <w:top w:val="single" w:sz="4" w:space="0" w:color="auto"/>
              <w:left w:val="nil"/>
              <w:bottom w:val="single" w:sz="4" w:space="0" w:color="auto"/>
              <w:right w:val="single" w:sz="4" w:space="0" w:color="auto"/>
            </w:tcBorders>
            <w:shd w:val="clear" w:color="auto" w:fill="auto"/>
            <w:vAlign w:val="bottom"/>
            <w:hideMark/>
          </w:tcPr>
          <w:p w14:paraId="7D0C6FD5" w14:textId="77777777" w:rsidR="000D17B7" w:rsidRPr="00E85CAD" w:rsidRDefault="000D17B7" w:rsidP="000D17B7">
            <w:pPr>
              <w:rPr>
                <w:b/>
                <w:bCs/>
                <w:color w:val="000000"/>
                <w:sz w:val="18"/>
                <w:szCs w:val="18"/>
              </w:rPr>
            </w:pPr>
            <w:r w:rsidRPr="00E85CAD">
              <w:rPr>
                <w:b/>
                <w:bCs/>
                <w:color w:val="000000"/>
                <w:sz w:val="18"/>
                <w:szCs w:val="18"/>
              </w:rPr>
              <w:t>Singapore</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612B4540" w14:textId="77777777" w:rsidR="000D17B7" w:rsidRPr="00E85CAD" w:rsidRDefault="000D17B7" w:rsidP="000D17B7">
            <w:pPr>
              <w:rPr>
                <w:b/>
                <w:bCs/>
                <w:color w:val="000000"/>
                <w:sz w:val="18"/>
                <w:szCs w:val="18"/>
              </w:rPr>
            </w:pPr>
            <w:r w:rsidRPr="00E85CAD">
              <w:rPr>
                <w:b/>
                <w:bCs/>
                <w:color w:val="000000"/>
                <w:sz w:val="18"/>
                <w:szCs w:val="18"/>
              </w:rPr>
              <w:t>Malaysia</w:t>
            </w:r>
          </w:p>
        </w:tc>
        <w:tc>
          <w:tcPr>
            <w:tcW w:w="492" w:type="pct"/>
            <w:tcBorders>
              <w:top w:val="single" w:sz="4" w:space="0" w:color="auto"/>
              <w:left w:val="nil"/>
              <w:bottom w:val="single" w:sz="4" w:space="0" w:color="auto"/>
              <w:right w:val="single" w:sz="4" w:space="0" w:color="auto"/>
            </w:tcBorders>
            <w:shd w:val="clear" w:color="auto" w:fill="auto"/>
            <w:vAlign w:val="bottom"/>
            <w:hideMark/>
          </w:tcPr>
          <w:p w14:paraId="540C804A" w14:textId="77777777" w:rsidR="000D17B7" w:rsidRPr="00E85CAD" w:rsidRDefault="000D17B7" w:rsidP="000D17B7">
            <w:pPr>
              <w:rPr>
                <w:b/>
                <w:bCs/>
                <w:color w:val="000000"/>
                <w:sz w:val="18"/>
                <w:szCs w:val="18"/>
              </w:rPr>
            </w:pPr>
            <w:r w:rsidRPr="00E85CAD">
              <w:rPr>
                <w:b/>
                <w:bCs/>
                <w:color w:val="000000"/>
                <w:sz w:val="18"/>
                <w:szCs w:val="18"/>
              </w:rPr>
              <w:t>South Korea</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14:paraId="7EA28121" w14:textId="77777777" w:rsidR="000D17B7" w:rsidRPr="00E85CAD" w:rsidRDefault="000D17B7" w:rsidP="000D17B7">
            <w:pPr>
              <w:rPr>
                <w:b/>
                <w:bCs/>
                <w:color w:val="000000"/>
                <w:sz w:val="18"/>
                <w:szCs w:val="18"/>
              </w:rPr>
            </w:pPr>
            <w:r w:rsidRPr="00E85CAD">
              <w:rPr>
                <w:b/>
                <w:bCs/>
                <w:color w:val="000000"/>
                <w:sz w:val="18"/>
                <w:szCs w:val="18"/>
              </w:rPr>
              <w:t>China</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3B40BE8F" w14:textId="77777777" w:rsidR="000D17B7" w:rsidRPr="00E85CAD" w:rsidRDefault="000D17B7" w:rsidP="000D17B7">
            <w:pPr>
              <w:rPr>
                <w:b/>
                <w:bCs/>
                <w:color w:val="000000"/>
                <w:sz w:val="18"/>
                <w:szCs w:val="18"/>
              </w:rPr>
            </w:pPr>
            <w:r w:rsidRPr="00E85CAD">
              <w:rPr>
                <w:b/>
                <w:bCs/>
                <w:color w:val="000000"/>
                <w:sz w:val="18"/>
                <w:szCs w:val="18"/>
              </w:rPr>
              <w:t>Thailand</w:t>
            </w:r>
          </w:p>
        </w:tc>
        <w:tc>
          <w:tcPr>
            <w:tcW w:w="339" w:type="pct"/>
            <w:tcBorders>
              <w:top w:val="single" w:sz="4" w:space="0" w:color="auto"/>
              <w:left w:val="nil"/>
              <w:bottom w:val="single" w:sz="4" w:space="0" w:color="auto"/>
              <w:right w:val="single" w:sz="4" w:space="0" w:color="auto"/>
            </w:tcBorders>
            <w:shd w:val="clear" w:color="auto" w:fill="auto"/>
            <w:noWrap/>
            <w:vAlign w:val="bottom"/>
            <w:hideMark/>
          </w:tcPr>
          <w:p w14:paraId="3DDB3942" w14:textId="77777777" w:rsidR="000D17B7" w:rsidRPr="00E85CAD" w:rsidRDefault="000D17B7" w:rsidP="000D17B7">
            <w:pPr>
              <w:rPr>
                <w:b/>
                <w:bCs/>
                <w:color w:val="000000"/>
                <w:sz w:val="18"/>
                <w:szCs w:val="18"/>
              </w:rPr>
            </w:pPr>
            <w:r w:rsidRPr="00E85CAD">
              <w:rPr>
                <w:b/>
                <w:bCs/>
                <w:color w:val="000000"/>
                <w:sz w:val="18"/>
                <w:szCs w:val="18"/>
              </w:rPr>
              <w:t>India</w:t>
            </w:r>
          </w:p>
        </w:tc>
        <w:tc>
          <w:tcPr>
            <w:tcW w:w="469" w:type="pct"/>
            <w:tcBorders>
              <w:top w:val="single" w:sz="4" w:space="0" w:color="auto"/>
              <w:left w:val="nil"/>
              <w:bottom w:val="single" w:sz="4" w:space="0" w:color="auto"/>
              <w:right w:val="single" w:sz="4" w:space="0" w:color="auto"/>
            </w:tcBorders>
            <w:shd w:val="clear" w:color="auto" w:fill="auto"/>
            <w:noWrap/>
            <w:vAlign w:val="bottom"/>
            <w:hideMark/>
          </w:tcPr>
          <w:p w14:paraId="1E30737E" w14:textId="77777777" w:rsidR="000D17B7" w:rsidRPr="00E85CAD" w:rsidRDefault="000D17B7" w:rsidP="000D17B7">
            <w:pPr>
              <w:rPr>
                <w:b/>
                <w:bCs/>
                <w:color w:val="000000"/>
                <w:sz w:val="18"/>
                <w:szCs w:val="18"/>
              </w:rPr>
            </w:pPr>
            <w:r w:rsidRPr="00E85CAD">
              <w:rPr>
                <w:b/>
                <w:bCs/>
                <w:color w:val="000000"/>
                <w:sz w:val="18"/>
                <w:szCs w:val="18"/>
              </w:rPr>
              <w:t>Vietnam</w:t>
            </w:r>
          </w:p>
        </w:tc>
        <w:tc>
          <w:tcPr>
            <w:tcW w:w="474" w:type="pct"/>
            <w:tcBorders>
              <w:top w:val="single" w:sz="4" w:space="0" w:color="auto"/>
              <w:left w:val="nil"/>
              <w:bottom w:val="single" w:sz="4" w:space="0" w:color="auto"/>
              <w:right w:val="single" w:sz="4" w:space="0" w:color="auto"/>
            </w:tcBorders>
            <w:shd w:val="clear" w:color="auto" w:fill="auto"/>
            <w:noWrap/>
            <w:vAlign w:val="bottom"/>
            <w:hideMark/>
          </w:tcPr>
          <w:p w14:paraId="43CB6C6F" w14:textId="77777777" w:rsidR="000D17B7" w:rsidRPr="00E85CAD" w:rsidRDefault="000D17B7" w:rsidP="000D17B7">
            <w:pPr>
              <w:rPr>
                <w:b/>
                <w:bCs/>
                <w:color w:val="000000"/>
                <w:sz w:val="18"/>
                <w:szCs w:val="18"/>
              </w:rPr>
            </w:pPr>
            <w:r w:rsidRPr="00E85CAD">
              <w:rPr>
                <w:b/>
                <w:bCs/>
                <w:color w:val="000000"/>
                <w:sz w:val="18"/>
                <w:szCs w:val="18"/>
              </w:rPr>
              <w:t>Pakistan</w:t>
            </w:r>
          </w:p>
        </w:tc>
      </w:tr>
      <w:tr w:rsidR="000D17B7" w:rsidRPr="00647951" w14:paraId="05B68034" w14:textId="77777777" w:rsidTr="000D17B7">
        <w:trPr>
          <w:trHeight w:val="294"/>
        </w:trPr>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52C49382" w14:textId="77777777" w:rsidR="000D17B7" w:rsidRPr="00E85CAD" w:rsidRDefault="000D17B7" w:rsidP="000D17B7">
            <w:pPr>
              <w:rPr>
                <w:b/>
                <w:bCs/>
                <w:color w:val="000000"/>
                <w:sz w:val="18"/>
                <w:szCs w:val="18"/>
              </w:rPr>
            </w:pPr>
            <w:r w:rsidRPr="00E85CAD">
              <w:rPr>
                <w:b/>
                <w:bCs/>
                <w:color w:val="000000"/>
                <w:sz w:val="18"/>
                <w:szCs w:val="18"/>
              </w:rPr>
              <w:t>Infrastructure</w:t>
            </w:r>
          </w:p>
        </w:tc>
        <w:tc>
          <w:tcPr>
            <w:tcW w:w="592" w:type="pct"/>
            <w:tcBorders>
              <w:top w:val="nil"/>
              <w:left w:val="nil"/>
              <w:bottom w:val="single" w:sz="4" w:space="0" w:color="auto"/>
              <w:right w:val="single" w:sz="4" w:space="0" w:color="auto"/>
            </w:tcBorders>
            <w:shd w:val="clear" w:color="auto" w:fill="auto"/>
            <w:noWrap/>
            <w:vAlign w:val="bottom"/>
            <w:hideMark/>
          </w:tcPr>
          <w:p w14:paraId="5A5BB4B9" w14:textId="77777777" w:rsidR="000D17B7" w:rsidRPr="00E85CAD" w:rsidRDefault="000D17B7" w:rsidP="000D17B7">
            <w:pPr>
              <w:jc w:val="right"/>
              <w:rPr>
                <w:color w:val="000000"/>
                <w:sz w:val="18"/>
                <w:szCs w:val="18"/>
              </w:rPr>
            </w:pPr>
            <w:r w:rsidRPr="00E85CAD">
              <w:rPr>
                <w:color w:val="000000"/>
                <w:sz w:val="18"/>
                <w:szCs w:val="18"/>
              </w:rPr>
              <w:t>114</w:t>
            </w:r>
          </w:p>
        </w:tc>
        <w:tc>
          <w:tcPr>
            <w:tcW w:w="533" w:type="pct"/>
            <w:tcBorders>
              <w:top w:val="nil"/>
              <w:left w:val="nil"/>
              <w:bottom w:val="single" w:sz="4" w:space="0" w:color="auto"/>
              <w:right w:val="single" w:sz="4" w:space="0" w:color="auto"/>
            </w:tcBorders>
            <w:shd w:val="clear" w:color="auto" w:fill="auto"/>
            <w:noWrap/>
            <w:vAlign w:val="bottom"/>
            <w:hideMark/>
          </w:tcPr>
          <w:p w14:paraId="0B30F686" w14:textId="77777777" w:rsidR="000D17B7" w:rsidRPr="00E85CAD" w:rsidRDefault="000D17B7" w:rsidP="000D17B7">
            <w:pPr>
              <w:jc w:val="right"/>
              <w:rPr>
                <w:color w:val="000000"/>
                <w:sz w:val="18"/>
                <w:szCs w:val="18"/>
              </w:rPr>
            </w:pPr>
            <w:r w:rsidRPr="00E85CAD">
              <w:rPr>
                <w:color w:val="000000"/>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14:paraId="706E39EF" w14:textId="77777777" w:rsidR="000D17B7" w:rsidRPr="00E85CAD" w:rsidRDefault="000D17B7" w:rsidP="000D17B7">
            <w:pPr>
              <w:jc w:val="right"/>
              <w:rPr>
                <w:color w:val="000000"/>
                <w:sz w:val="18"/>
                <w:szCs w:val="18"/>
              </w:rPr>
            </w:pPr>
            <w:r w:rsidRPr="00E85CAD">
              <w:rPr>
                <w:color w:val="000000"/>
                <w:sz w:val="18"/>
                <w:szCs w:val="18"/>
              </w:rPr>
              <w:t>24</w:t>
            </w:r>
          </w:p>
        </w:tc>
        <w:tc>
          <w:tcPr>
            <w:tcW w:w="492" w:type="pct"/>
            <w:tcBorders>
              <w:top w:val="nil"/>
              <w:left w:val="nil"/>
              <w:bottom w:val="single" w:sz="4" w:space="0" w:color="auto"/>
              <w:right w:val="single" w:sz="4" w:space="0" w:color="auto"/>
            </w:tcBorders>
            <w:shd w:val="clear" w:color="auto" w:fill="auto"/>
            <w:noWrap/>
            <w:vAlign w:val="bottom"/>
            <w:hideMark/>
          </w:tcPr>
          <w:p w14:paraId="4FB17C0F" w14:textId="77777777" w:rsidR="000D17B7" w:rsidRPr="00E85CAD" w:rsidRDefault="000D17B7" w:rsidP="000D17B7">
            <w:pPr>
              <w:jc w:val="right"/>
              <w:rPr>
                <w:color w:val="000000"/>
                <w:sz w:val="18"/>
                <w:szCs w:val="18"/>
              </w:rPr>
            </w:pPr>
            <w:r w:rsidRPr="00E85CAD">
              <w:rPr>
                <w:color w:val="000000"/>
                <w:sz w:val="18"/>
                <w:szCs w:val="18"/>
              </w:rPr>
              <w:t>10</w:t>
            </w:r>
          </w:p>
        </w:tc>
        <w:tc>
          <w:tcPr>
            <w:tcW w:w="450" w:type="pct"/>
            <w:tcBorders>
              <w:top w:val="nil"/>
              <w:left w:val="nil"/>
              <w:bottom w:val="single" w:sz="4" w:space="0" w:color="auto"/>
              <w:right w:val="single" w:sz="4" w:space="0" w:color="auto"/>
            </w:tcBorders>
            <w:shd w:val="clear" w:color="auto" w:fill="auto"/>
            <w:noWrap/>
            <w:vAlign w:val="bottom"/>
            <w:hideMark/>
          </w:tcPr>
          <w:p w14:paraId="66F13D90" w14:textId="77777777" w:rsidR="000D17B7" w:rsidRPr="00E85CAD" w:rsidRDefault="000D17B7" w:rsidP="000D17B7">
            <w:pPr>
              <w:jc w:val="right"/>
              <w:rPr>
                <w:color w:val="000000"/>
                <w:sz w:val="18"/>
                <w:szCs w:val="18"/>
              </w:rPr>
            </w:pPr>
            <w:r w:rsidRPr="00E85CAD">
              <w:rPr>
                <w:color w:val="000000"/>
                <w:sz w:val="18"/>
                <w:szCs w:val="18"/>
              </w:rPr>
              <w:t>42</w:t>
            </w:r>
          </w:p>
        </w:tc>
        <w:tc>
          <w:tcPr>
            <w:tcW w:w="410" w:type="pct"/>
            <w:tcBorders>
              <w:top w:val="nil"/>
              <w:left w:val="nil"/>
              <w:bottom w:val="single" w:sz="4" w:space="0" w:color="auto"/>
              <w:right w:val="single" w:sz="4" w:space="0" w:color="auto"/>
            </w:tcBorders>
            <w:shd w:val="clear" w:color="auto" w:fill="auto"/>
            <w:noWrap/>
            <w:vAlign w:val="bottom"/>
            <w:hideMark/>
          </w:tcPr>
          <w:p w14:paraId="4FD3AFA7" w14:textId="77777777" w:rsidR="000D17B7" w:rsidRPr="00E85CAD" w:rsidRDefault="000D17B7" w:rsidP="000D17B7">
            <w:pPr>
              <w:jc w:val="right"/>
              <w:rPr>
                <w:color w:val="000000"/>
                <w:sz w:val="18"/>
                <w:szCs w:val="18"/>
              </w:rPr>
            </w:pPr>
            <w:r w:rsidRPr="00E85CAD">
              <w:rPr>
                <w:color w:val="000000"/>
                <w:sz w:val="18"/>
                <w:szCs w:val="18"/>
              </w:rPr>
              <w:t>49</w:t>
            </w:r>
          </w:p>
        </w:tc>
        <w:tc>
          <w:tcPr>
            <w:tcW w:w="339" w:type="pct"/>
            <w:tcBorders>
              <w:top w:val="nil"/>
              <w:left w:val="nil"/>
              <w:bottom w:val="single" w:sz="4" w:space="0" w:color="auto"/>
              <w:right w:val="single" w:sz="4" w:space="0" w:color="auto"/>
            </w:tcBorders>
            <w:shd w:val="clear" w:color="auto" w:fill="auto"/>
            <w:noWrap/>
            <w:vAlign w:val="bottom"/>
            <w:hideMark/>
          </w:tcPr>
          <w:p w14:paraId="07067A8E" w14:textId="77777777" w:rsidR="000D17B7" w:rsidRPr="00E85CAD" w:rsidRDefault="000D17B7" w:rsidP="000D17B7">
            <w:pPr>
              <w:jc w:val="right"/>
              <w:rPr>
                <w:color w:val="000000"/>
                <w:sz w:val="18"/>
                <w:szCs w:val="18"/>
              </w:rPr>
            </w:pPr>
            <w:r w:rsidRPr="00E85CAD">
              <w:rPr>
                <w:color w:val="000000"/>
                <w:sz w:val="18"/>
                <w:szCs w:val="18"/>
              </w:rPr>
              <w:t>68</w:t>
            </w:r>
          </w:p>
        </w:tc>
        <w:tc>
          <w:tcPr>
            <w:tcW w:w="469" w:type="pct"/>
            <w:tcBorders>
              <w:top w:val="nil"/>
              <w:left w:val="nil"/>
              <w:bottom w:val="single" w:sz="4" w:space="0" w:color="auto"/>
              <w:right w:val="single" w:sz="4" w:space="0" w:color="auto"/>
            </w:tcBorders>
            <w:shd w:val="clear" w:color="auto" w:fill="auto"/>
            <w:noWrap/>
            <w:vAlign w:val="bottom"/>
            <w:hideMark/>
          </w:tcPr>
          <w:p w14:paraId="1E9847BE" w14:textId="77777777" w:rsidR="000D17B7" w:rsidRPr="00E85CAD" w:rsidRDefault="000D17B7" w:rsidP="000D17B7">
            <w:pPr>
              <w:jc w:val="right"/>
              <w:rPr>
                <w:color w:val="000000"/>
                <w:sz w:val="18"/>
                <w:szCs w:val="18"/>
              </w:rPr>
            </w:pPr>
            <w:r w:rsidRPr="00E85CAD">
              <w:rPr>
                <w:color w:val="000000"/>
                <w:sz w:val="18"/>
                <w:szCs w:val="18"/>
              </w:rPr>
              <w:t>79</w:t>
            </w:r>
          </w:p>
        </w:tc>
        <w:tc>
          <w:tcPr>
            <w:tcW w:w="474" w:type="pct"/>
            <w:tcBorders>
              <w:top w:val="nil"/>
              <w:left w:val="nil"/>
              <w:bottom w:val="single" w:sz="4" w:space="0" w:color="auto"/>
              <w:right w:val="single" w:sz="4" w:space="0" w:color="auto"/>
            </w:tcBorders>
            <w:shd w:val="clear" w:color="auto" w:fill="auto"/>
            <w:noWrap/>
            <w:vAlign w:val="bottom"/>
            <w:hideMark/>
          </w:tcPr>
          <w:p w14:paraId="530519AA" w14:textId="77777777" w:rsidR="000D17B7" w:rsidRPr="00E85CAD" w:rsidRDefault="000D17B7" w:rsidP="000D17B7">
            <w:pPr>
              <w:jc w:val="right"/>
              <w:rPr>
                <w:color w:val="000000"/>
                <w:sz w:val="18"/>
                <w:szCs w:val="18"/>
              </w:rPr>
            </w:pPr>
            <w:r w:rsidRPr="00E85CAD">
              <w:rPr>
                <w:color w:val="000000"/>
                <w:sz w:val="18"/>
                <w:szCs w:val="18"/>
              </w:rPr>
              <w:t>116</w:t>
            </w:r>
          </w:p>
        </w:tc>
      </w:tr>
      <w:tr w:rsidR="000D17B7" w:rsidRPr="00647951" w14:paraId="6B158B67" w14:textId="77777777" w:rsidTr="000D17B7">
        <w:trPr>
          <w:trHeight w:val="542"/>
        </w:trPr>
        <w:tc>
          <w:tcPr>
            <w:tcW w:w="705" w:type="pct"/>
            <w:tcBorders>
              <w:top w:val="nil"/>
              <w:left w:val="single" w:sz="4" w:space="0" w:color="auto"/>
              <w:bottom w:val="single" w:sz="4" w:space="0" w:color="auto"/>
              <w:right w:val="single" w:sz="4" w:space="0" w:color="auto"/>
            </w:tcBorders>
            <w:shd w:val="clear" w:color="auto" w:fill="auto"/>
            <w:vAlign w:val="bottom"/>
            <w:hideMark/>
          </w:tcPr>
          <w:p w14:paraId="4560FE84" w14:textId="77777777" w:rsidR="000D17B7" w:rsidRPr="00E85CAD" w:rsidRDefault="000D17B7" w:rsidP="000D17B7">
            <w:pPr>
              <w:rPr>
                <w:b/>
                <w:bCs/>
                <w:color w:val="000000"/>
                <w:sz w:val="18"/>
                <w:szCs w:val="18"/>
              </w:rPr>
            </w:pPr>
            <w:r w:rsidRPr="00E85CAD">
              <w:rPr>
                <w:b/>
                <w:bCs/>
                <w:color w:val="000000"/>
                <w:sz w:val="18"/>
                <w:szCs w:val="18"/>
              </w:rPr>
              <w:t>Quality of overall infrastructure</w:t>
            </w:r>
          </w:p>
        </w:tc>
        <w:tc>
          <w:tcPr>
            <w:tcW w:w="592" w:type="pct"/>
            <w:tcBorders>
              <w:top w:val="nil"/>
              <w:left w:val="nil"/>
              <w:bottom w:val="single" w:sz="4" w:space="0" w:color="auto"/>
              <w:right w:val="single" w:sz="4" w:space="0" w:color="auto"/>
            </w:tcBorders>
            <w:shd w:val="clear" w:color="auto" w:fill="auto"/>
            <w:noWrap/>
            <w:vAlign w:val="bottom"/>
            <w:hideMark/>
          </w:tcPr>
          <w:p w14:paraId="3510ED90" w14:textId="77777777" w:rsidR="000D17B7" w:rsidRPr="00E85CAD" w:rsidRDefault="000D17B7" w:rsidP="000D17B7">
            <w:pPr>
              <w:jc w:val="right"/>
              <w:rPr>
                <w:color w:val="000000"/>
                <w:sz w:val="18"/>
                <w:szCs w:val="18"/>
              </w:rPr>
            </w:pPr>
            <w:r w:rsidRPr="00E85CAD">
              <w:rPr>
                <w:color w:val="000000"/>
                <w:sz w:val="18"/>
                <w:szCs w:val="18"/>
              </w:rPr>
              <w:t>120</w:t>
            </w:r>
          </w:p>
        </w:tc>
        <w:tc>
          <w:tcPr>
            <w:tcW w:w="533" w:type="pct"/>
            <w:tcBorders>
              <w:top w:val="nil"/>
              <w:left w:val="nil"/>
              <w:bottom w:val="single" w:sz="4" w:space="0" w:color="auto"/>
              <w:right w:val="single" w:sz="4" w:space="0" w:color="auto"/>
            </w:tcBorders>
            <w:shd w:val="clear" w:color="auto" w:fill="auto"/>
            <w:noWrap/>
            <w:vAlign w:val="bottom"/>
            <w:hideMark/>
          </w:tcPr>
          <w:p w14:paraId="65767E75" w14:textId="77777777" w:rsidR="000D17B7" w:rsidRPr="00E85CAD" w:rsidRDefault="000D17B7" w:rsidP="000D17B7">
            <w:pPr>
              <w:jc w:val="right"/>
              <w:rPr>
                <w:color w:val="000000"/>
                <w:sz w:val="18"/>
                <w:szCs w:val="18"/>
              </w:rPr>
            </w:pPr>
            <w:r w:rsidRPr="00E85CAD">
              <w:rPr>
                <w:color w:val="000000"/>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14:paraId="0DDE43D8" w14:textId="77777777" w:rsidR="000D17B7" w:rsidRPr="00E85CAD" w:rsidRDefault="000D17B7" w:rsidP="000D17B7">
            <w:pPr>
              <w:jc w:val="right"/>
              <w:rPr>
                <w:color w:val="000000"/>
                <w:sz w:val="18"/>
                <w:szCs w:val="18"/>
              </w:rPr>
            </w:pPr>
            <w:r w:rsidRPr="00E85CAD">
              <w:rPr>
                <w:color w:val="000000"/>
                <w:sz w:val="18"/>
                <w:szCs w:val="18"/>
              </w:rPr>
              <w:t>19</w:t>
            </w:r>
          </w:p>
        </w:tc>
        <w:tc>
          <w:tcPr>
            <w:tcW w:w="492" w:type="pct"/>
            <w:tcBorders>
              <w:top w:val="nil"/>
              <w:left w:val="nil"/>
              <w:bottom w:val="single" w:sz="4" w:space="0" w:color="auto"/>
              <w:right w:val="single" w:sz="4" w:space="0" w:color="auto"/>
            </w:tcBorders>
            <w:shd w:val="clear" w:color="auto" w:fill="auto"/>
            <w:noWrap/>
            <w:vAlign w:val="bottom"/>
            <w:hideMark/>
          </w:tcPr>
          <w:p w14:paraId="22DD7A2E" w14:textId="77777777" w:rsidR="000D17B7" w:rsidRPr="00E85CAD" w:rsidRDefault="000D17B7" w:rsidP="000D17B7">
            <w:pPr>
              <w:jc w:val="right"/>
              <w:rPr>
                <w:color w:val="000000"/>
                <w:sz w:val="18"/>
                <w:szCs w:val="18"/>
              </w:rPr>
            </w:pPr>
            <w:r w:rsidRPr="00E85CAD">
              <w:rPr>
                <w:color w:val="000000"/>
                <w:sz w:val="18"/>
                <w:szCs w:val="18"/>
              </w:rPr>
              <w:t>14</w:t>
            </w:r>
          </w:p>
        </w:tc>
        <w:tc>
          <w:tcPr>
            <w:tcW w:w="450" w:type="pct"/>
            <w:tcBorders>
              <w:top w:val="nil"/>
              <w:left w:val="nil"/>
              <w:bottom w:val="single" w:sz="4" w:space="0" w:color="auto"/>
              <w:right w:val="single" w:sz="4" w:space="0" w:color="auto"/>
            </w:tcBorders>
            <w:shd w:val="clear" w:color="auto" w:fill="auto"/>
            <w:noWrap/>
            <w:vAlign w:val="bottom"/>
            <w:hideMark/>
          </w:tcPr>
          <w:p w14:paraId="25A4FFD8" w14:textId="77777777" w:rsidR="000D17B7" w:rsidRPr="00E85CAD" w:rsidRDefault="000D17B7" w:rsidP="000D17B7">
            <w:pPr>
              <w:jc w:val="right"/>
              <w:rPr>
                <w:color w:val="000000"/>
                <w:sz w:val="18"/>
                <w:szCs w:val="18"/>
              </w:rPr>
            </w:pPr>
            <w:r w:rsidRPr="00E85CAD">
              <w:rPr>
                <w:color w:val="000000"/>
                <w:sz w:val="18"/>
                <w:szCs w:val="18"/>
              </w:rPr>
              <w:t>43</w:t>
            </w:r>
          </w:p>
        </w:tc>
        <w:tc>
          <w:tcPr>
            <w:tcW w:w="410" w:type="pct"/>
            <w:tcBorders>
              <w:top w:val="nil"/>
              <w:left w:val="nil"/>
              <w:bottom w:val="single" w:sz="4" w:space="0" w:color="auto"/>
              <w:right w:val="single" w:sz="4" w:space="0" w:color="auto"/>
            </w:tcBorders>
            <w:shd w:val="clear" w:color="auto" w:fill="auto"/>
            <w:noWrap/>
            <w:vAlign w:val="bottom"/>
            <w:hideMark/>
          </w:tcPr>
          <w:p w14:paraId="45F7BFBC" w14:textId="77777777" w:rsidR="000D17B7" w:rsidRPr="00E85CAD" w:rsidRDefault="000D17B7" w:rsidP="000D17B7">
            <w:pPr>
              <w:jc w:val="right"/>
              <w:rPr>
                <w:color w:val="000000"/>
                <w:sz w:val="18"/>
                <w:szCs w:val="18"/>
              </w:rPr>
            </w:pPr>
            <w:r w:rsidRPr="00E85CAD">
              <w:rPr>
                <w:color w:val="000000"/>
                <w:sz w:val="18"/>
                <w:szCs w:val="18"/>
              </w:rPr>
              <w:t>72</w:t>
            </w:r>
          </w:p>
        </w:tc>
        <w:tc>
          <w:tcPr>
            <w:tcW w:w="339" w:type="pct"/>
            <w:tcBorders>
              <w:top w:val="nil"/>
              <w:left w:val="nil"/>
              <w:bottom w:val="single" w:sz="4" w:space="0" w:color="auto"/>
              <w:right w:val="single" w:sz="4" w:space="0" w:color="auto"/>
            </w:tcBorders>
            <w:shd w:val="clear" w:color="auto" w:fill="auto"/>
            <w:noWrap/>
            <w:vAlign w:val="bottom"/>
            <w:hideMark/>
          </w:tcPr>
          <w:p w14:paraId="4C8366F6" w14:textId="77777777" w:rsidR="000D17B7" w:rsidRPr="00E85CAD" w:rsidRDefault="000D17B7" w:rsidP="000D17B7">
            <w:pPr>
              <w:jc w:val="right"/>
              <w:rPr>
                <w:color w:val="000000"/>
                <w:sz w:val="18"/>
                <w:szCs w:val="18"/>
              </w:rPr>
            </w:pPr>
            <w:r w:rsidRPr="00E85CAD">
              <w:rPr>
                <w:color w:val="000000"/>
                <w:sz w:val="18"/>
                <w:szCs w:val="18"/>
              </w:rPr>
              <w:t>51</w:t>
            </w:r>
          </w:p>
        </w:tc>
        <w:tc>
          <w:tcPr>
            <w:tcW w:w="469" w:type="pct"/>
            <w:tcBorders>
              <w:top w:val="nil"/>
              <w:left w:val="nil"/>
              <w:bottom w:val="single" w:sz="4" w:space="0" w:color="auto"/>
              <w:right w:val="single" w:sz="4" w:space="0" w:color="auto"/>
            </w:tcBorders>
            <w:shd w:val="clear" w:color="auto" w:fill="auto"/>
            <w:noWrap/>
            <w:vAlign w:val="bottom"/>
            <w:hideMark/>
          </w:tcPr>
          <w:p w14:paraId="6811D923" w14:textId="77777777" w:rsidR="000D17B7" w:rsidRPr="00E85CAD" w:rsidRDefault="000D17B7" w:rsidP="000D17B7">
            <w:pPr>
              <w:jc w:val="right"/>
              <w:rPr>
                <w:color w:val="000000"/>
                <w:sz w:val="18"/>
                <w:szCs w:val="18"/>
              </w:rPr>
            </w:pPr>
            <w:r w:rsidRPr="00E85CAD">
              <w:rPr>
                <w:color w:val="000000"/>
                <w:sz w:val="18"/>
                <w:szCs w:val="18"/>
              </w:rPr>
              <w:t>85</w:t>
            </w:r>
          </w:p>
        </w:tc>
        <w:tc>
          <w:tcPr>
            <w:tcW w:w="474" w:type="pct"/>
            <w:tcBorders>
              <w:top w:val="nil"/>
              <w:left w:val="nil"/>
              <w:bottom w:val="single" w:sz="4" w:space="0" w:color="auto"/>
              <w:right w:val="single" w:sz="4" w:space="0" w:color="auto"/>
            </w:tcBorders>
            <w:shd w:val="clear" w:color="auto" w:fill="auto"/>
            <w:noWrap/>
            <w:vAlign w:val="bottom"/>
            <w:hideMark/>
          </w:tcPr>
          <w:p w14:paraId="0FC3F187" w14:textId="77777777" w:rsidR="000D17B7" w:rsidRPr="00E85CAD" w:rsidRDefault="000D17B7" w:rsidP="000D17B7">
            <w:pPr>
              <w:jc w:val="right"/>
              <w:rPr>
                <w:color w:val="000000"/>
                <w:sz w:val="18"/>
                <w:szCs w:val="18"/>
              </w:rPr>
            </w:pPr>
            <w:r w:rsidRPr="00E85CAD">
              <w:rPr>
                <w:color w:val="000000"/>
                <w:sz w:val="18"/>
                <w:szCs w:val="18"/>
              </w:rPr>
              <w:t>93</w:t>
            </w:r>
          </w:p>
        </w:tc>
      </w:tr>
      <w:tr w:rsidR="000D17B7" w:rsidRPr="00647951" w14:paraId="2157C0B9" w14:textId="77777777" w:rsidTr="000D17B7">
        <w:trPr>
          <w:trHeight w:val="294"/>
        </w:trPr>
        <w:tc>
          <w:tcPr>
            <w:tcW w:w="705" w:type="pct"/>
            <w:tcBorders>
              <w:top w:val="nil"/>
              <w:left w:val="single" w:sz="4" w:space="0" w:color="auto"/>
              <w:bottom w:val="single" w:sz="4" w:space="0" w:color="auto"/>
              <w:right w:val="single" w:sz="4" w:space="0" w:color="auto"/>
            </w:tcBorders>
            <w:shd w:val="clear" w:color="auto" w:fill="auto"/>
            <w:vAlign w:val="bottom"/>
            <w:hideMark/>
          </w:tcPr>
          <w:p w14:paraId="3491D392" w14:textId="77777777" w:rsidR="000D17B7" w:rsidRPr="00E85CAD" w:rsidRDefault="000D17B7" w:rsidP="000D17B7">
            <w:pPr>
              <w:rPr>
                <w:b/>
                <w:bCs/>
                <w:color w:val="000000"/>
                <w:sz w:val="18"/>
                <w:szCs w:val="18"/>
              </w:rPr>
            </w:pPr>
            <w:r w:rsidRPr="00E85CAD">
              <w:rPr>
                <w:b/>
                <w:bCs/>
                <w:color w:val="000000"/>
                <w:sz w:val="18"/>
                <w:szCs w:val="18"/>
              </w:rPr>
              <w:t>Quality of roads</w:t>
            </w:r>
          </w:p>
        </w:tc>
        <w:tc>
          <w:tcPr>
            <w:tcW w:w="592" w:type="pct"/>
            <w:tcBorders>
              <w:top w:val="nil"/>
              <w:left w:val="nil"/>
              <w:bottom w:val="single" w:sz="4" w:space="0" w:color="auto"/>
              <w:right w:val="single" w:sz="4" w:space="0" w:color="auto"/>
            </w:tcBorders>
            <w:shd w:val="clear" w:color="auto" w:fill="auto"/>
            <w:noWrap/>
            <w:vAlign w:val="bottom"/>
            <w:hideMark/>
          </w:tcPr>
          <w:p w14:paraId="596E6A45" w14:textId="77777777" w:rsidR="000D17B7" w:rsidRPr="00E85CAD" w:rsidRDefault="000D17B7" w:rsidP="000D17B7">
            <w:pPr>
              <w:jc w:val="right"/>
              <w:rPr>
                <w:color w:val="000000"/>
                <w:sz w:val="18"/>
                <w:szCs w:val="18"/>
              </w:rPr>
            </w:pPr>
            <w:r w:rsidRPr="00E85CAD">
              <w:rPr>
                <w:color w:val="000000"/>
                <w:sz w:val="18"/>
                <w:szCs w:val="18"/>
              </w:rPr>
              <w:t>113</w:t>
            </w:r>
          </w:p>
        </w:tc>
        <w:tc>
          <w:tcPr>
            <w:tcW w:w="533" w:type="pct"/>
            <w:tcBorders>
              <w:top w:val="nil"/>
              <w:left w:val="nil"/>
              <w:bottom w:val="single" w:sz="4" w:space="0" w:color="auto"/>
              <w:right w:val="single" w:sz="4" w:space="0" w:color="auto"/>
            </w:tcBorders>
            <w:shd w:val="clear" w:color="auto" w:fill="auto"/>
            <w:noWrap/>
            <w:vAlign w:val="bottom"/>
            <w:hideMark/>
          </w:tcPr>
          <w:p w14:paraId="7BEFB7EC" w14:textId="77777777" w:rsidR="000D17B7" w:rsidRPr="00E85CAD" w:rsidRDefault="000D17B7" w:rsidP="000D17B7">
            <w:pPr>
              <w:jc w:val="right"/>
              <w:rPr>
                <w:color w:val="000000"/>
                <w:sz w:val="18"/>
                <w:szCs w:val="18"/>
              </w:rPr>
            </w:pPr>
            <w:r w:rsidRPr="00E85CAD">
              <w:rPr>
                <w:color w:val="000000"/>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14:paraId="366FD74A" w14:textId="77777777" w:rsidR="000D17B7" w:rsidRPr="00E85CAD" w:rsidRDefault="000D17B7" w:rsidP="000D17B7">
            <w:pPr>
              <w:jc w:val="right"/>
              <w:rPr>
                <w:color w:val="000000"/>
                <w:sz w:val="18"/>
                <w:szCs w:val="18"/>
              </w:rPr>
            </w:pPr>
            <w:r w:rsidRPr="00E85CAD">
              <w:rPr>
                <w:color w:val="000000"/>
                <w:sz w:val="18"/>
                <w:szCs w:val="18"/>
              </w:rPr>
              <w:t>20</w:t>
            </w:r>
          </w:p>
        </w:tc>
        <w:tc>
          <w:tcPr>
            <w:tcW w:w="492" w:type="pct"/>
            <w:tcBorders>
              <w:top w:val="nil"/>
              <w:left w:val="nil"/>
              <w:bottom w:val="single" w:sz="4" w:space="0" w:color="auto"/>
              <w:right w:val="single" w:sz="4" w:space="0" w:color="auto"/>
            </w:tcBorders>
            <w:shd w:val="clear" w:color="auto" w:fill="auto"/>
            <w:noWrap/>
            <w:vAlign w:val="bottom"/>
            <w:hideMark/>
          </w:tcPr>
          <w:p w14:paraId="7BA303C7" w14:textId="77777777" w:rsidR="000D17B7" w:rsidRPr="00E85CAD" w:rsidRDefault="000D17B7" w:rsidP="000D17B7">
            <w:pPr>
              <w:jc w:val="right"/>
              <w:rPr>
                <w:color w:val="000000"/>
                <w:sz w:val="18"/>
                <w:szCs w:val="18"/>
              </w:rPr>
            </w:pPr>
            <w:r w:rsidRPr="00E85CAD">
              <w:rPr>
                <w:color w:val="000000"/>
                <w:sz w:val="18"/>
                <w:szCs w:val="18"/>
              </w:rPr>
              <w:t>14</w:t>
            </w:r>
          </w:p>
        </w:tc>
        <w:tc>
          <w:tcPr>
            <w:tcW w:w="450" w:type="pct"/>
            <w:tcBorders>
              <w:top w:val="nil"/>
              <w:left w:val="nil"/>
              <w:bottom w:val="single" w:sz="4" w:space="0" w:color="auto"/>
              <w:right w:val="single" w:sz="4" w:space="0" w:color="auto"/>
            </w:tcBorders>
            <w:shd w:val="clear" w:color="auto" w:fill="auto"/>
            <w:noWrap/>
            <w:vAlign w:val="bottom"/>
            <w:hideMark/>
          </w:tcPr>
          <w:p w14:paraId="37D4D797" w14:textId="77777777" w:rsidR="000D17B7" w:rsidRPr="00E85CAD" w:rsidRDefault="000D17B7" w:rsidP="000D17B7">
            <w:pPr>
              <w:jc w:val="right"/>
              <w:rPr>
                <w:color w:val="000000"/>
                <w:sz w:val="18"/>
                <w:szCs w:val="18"/>
              </w:rPr>
            </w:pPr>
            <w:r w:rsidRPr="00E85CAD">
              <w:rPr>
                <w:color w:val="000000"/>
                <w:sz w:val="18"/>
                <w:szCs w:val="18"/>
              </w:rPr>
              <w:t>39</w:t>
            </w:r>
          </w:p>
        </w:tc>
        <w:tc>
          <w:tcPr>
            <w:tcW w:w="410" w:type="pct"/>
            <w:tcBorders>
              <w:top w:val="nil"/>
              <w:left w:val="nil"/>
              <w:bottom w:val="single" w:sz="4" w:space="0" w:color="auto"/>
              <w:right w:val="single" w:sz="4" w:space="0" w:color="auto"/>
            </w:tcBorders>
            <w:shd w:val="clear" w:color="auto" w:fill="auto"/>
            <w:noWrap/>
            <w:vAlign w:val="bottom"/>
            <w:hideMark/>
          </w:tcPr>
          <w:p w14:paraId="7B5F7DB7" w14:textId="77777777" w:rsidR="000D17B7" w:rsidRPr="00E85CAD" w:rsidRDefault="000D17B7" w:rsidP="000D17B7">
            <w:pPr>
              <w:jc w:val="right"/>
              <w:rPr>
                <w:color w:val="000000"/>
                <w:sz w:val="18"/>
                <w:szCs w:val="18"/>
              </w:rPr>
            </w:pPr>
            <w:r w:rsidRPr="00E85CAD">
              <w:rPr>
                <w:color w:val="000000"/>
                <w:sz w:val="18"/>
                <w:szCs w:val="18"/>
              </w:rPr>
              <w:t>60</w:t>
            </w:r>
          </w:p>
        </w:tc>
        <w:tc>
          <w:tcPr>
            <w:tcW w:w="339" w:type="pct"/>
            <w:tcBorders>
              <w:top w:val="nil"/>
              <w:left w:val="nil"/>
              <w:bottom w:val="single" w:sz="4" w:space="0" w:color="auto"/>
              <w:right w:val="single" w:sz="4" w:space="0" w:color="auto"/>
            </w:tcBorders>
            <w:shd w:val="clear" w:color="auto" w:fill="auto"/>
            <w:noWrap/>
            <w:vAlign w:val="bottom"/>
            <w:hideMark/>
          </w:tcPr>
          <w:p w14:paraId="1966C8B9" w14:textId="77777777" w:rsidR="000D17B7" w:rsidRPr="00E85CAD" w:rsidRDefault="000D17B7" w:rsidP="000D17B7">
            <w:pPr>
              <w:jc w:val="right"/>
              <w:rPr>
                <w:color w:val="000000"/>
                <w:sz w:val="18"/>
                <w:szCs w:val="18"/>
              </w:rPr>
            </w:pPr>
            <w:r w:rsidRPr="00E85CAD">
              <w:rPr>
                <w:color w:val="000000"/>
                <w:sz w:val="18"/>
                <w:szCs w:val="18"/>
              </w:rPr>
              <w:t>51</w:t>
            </w:r>
          </w:p>
        </w:tc>
        <w:tc>
          <w:tcPr>
            <w:tcW w:w="469" w:type="pct"/>
            <w:tcBorders>
              <w:top w:val="nil"/>
              <w:left w:val="nil"/>
              <w:bottom w:val="single" w:sz="4" w:space="0" w:color="auto"/>
              <w:right w:val="single" w:sz="4" w:space="0" w:color="auto"/>
            </w:tcBorders>
            <w:shd w:val="clear" w:color="auto" w:fill="auto"/>
            <w:noWrap/>
            <w:vAlign w:val="bottom"/>
            <w:hideMark/>
          </w:tcPr>
          <w:p w14:paraId="172F22C6" w14:textId="77777777" w:rsidR="000D17B7" w:rsidRPr="00E85CAD" w:rsidRDefault="000D17B7" w:rsidP="000D17B7">
            <w:pPr>
              <w:jc w:val="right"/>
              <w:rPr>
                <w:color w:val="000000"/>
                <w:sz w:val="18"/>
                <w:szCs w:val="18"/>
              </w:rPr>
            </w:pPr>
            <w:r w:rsidRPr="00E85CAD">
              <w:rPr>
                <w:color w:val="000000"/>
                <w:sz w:val="18"/>
                <w:szCs w:val="18"/>
              </w:rPr>
              <w:t>89</w:t>
            </w:r>
          </w:p>
        </w:tc>
        <w:tc>
          <w:tcPr>
            <w:tcW w:w="474" w:type="pct"/>
            <w:tcBorders>
              <w:top w:val="nil"/>
              <w:left w:val="nil"/>
              <w:bottom w:val="single" w:sz="4" w:space="0" w:color="auto"/>
              <w:right w:val="single" w:sz="4" w:space="0" w:color="auto"/>
            </w:tcBorders>
            <w:shd w:val="clear" w:color="auto" w:fill="auto"/>
            <w:noWrap/>
            <w:vAlign w:val="bottom"/>
            <w:hideMark/>
          </w:tcPr>
          <w:p w14:paraId="0655B6F0" w14:textId="77777777" w:rsidR="000D17B7" w:rsidRPr="00E85CAD" w:rsidRDefault="000D17B7" w:rsidP="000D17B7">
            <w:pPr>
              <w:jc w:val="right"/>
              <w:rPr>
                <w:color w:val="000000"/>
                <w:sz w:val="18"/>
                <w:szCs w:val="18"/>
              </w:rPr>
            </w:pPr>
            <w:r w:rsidRPr="00E85CAD">
              <w:rPr>
                <w:color w:val="000000"/>
                <w:sz w:val="18"/>
                <w:szCs w:val="18"/>
              </w:rPr>
              <w:t>77</w:t>
            </w:r>
          </w:p>
        </w:tc>
      </w:tr>
      <w:tr w:rsidR="000D17B7" w:rsidRPr="00647951" w14:paraId="656BA2B9" w14:textId="77777777" w:rsidTr="000D17B7">
        <w:trPr>
          <w:trHeight w:val="512"/>
        </w:trPr>
        <w:tc>
          <w:tcPr>
            <w:tcW w:w="705" w:type="pct"/>
            <w:tcBorders>
              <w:top w:val="nil"/>
              <w:left w:val="single" w:sz="4" w:space="0" w:color="auto"/>
              <w:bottom w:val="single" w:sz="4" w:space="0" w:color="auto"/>
              <w:right w:val="single" w:sz="4" w:space="0" w:color="auto"/>
            </w:tcBorders>
            <w:shd w:val="clear" w:color="auto" w:fill="auto"/>
            <w:vAlign w:val="bottom"/>
            <w:hideMark/>
          </w:tcPr>
          <w:p w14:paraId="3E894123" w14:textId="77777777" w:rsidR="000D17B7" w:rsidRPr="00E85CAD" w:rsidRDefault="000D17B7" w:rsidP="000D17B7">
            <w:pPr>
              <w:rPr>
                <w:b/>
                <w:bCs/>
                <w:color w:val="000000"/>
                <w:sz w:val="18"/>
                <w:szCs w:val="18"/>
              </w:rPr>
            </w:pPr>
            <w:r w:rsidRPr="00E85CAD">
              <w:rPr>
                <w:b/>
                <w:bCs/>
                <w:color w:val="000000"/>
                <w:sz w:val="18"/>
                <w:szCs w:val="18"/>
              </w:rPr>
              <w:t>Quality of railroad infrastructure</w:t>
            </w:r>
          </w:p>
        </w:tc>
        <w:tc>
          <w:tcPr>
            <w:tcW w:w="592" w:type="pct"/>
            <w:tcBorders>
              <w:top w:val="nil"/>
              <w:left w:val="nil"/>
              <w:bottom w:val="single" w:sz="4" w:space="0" w:color="auto"/>
              <w:right w:val="single" w:sz="4" w:space="0" w:color="auto"/>
            </w:tcBorders>
            <w:shd w:val="clear" w:color="auto" w:fill="auto"/>
            <w:noWrap/>
            <w:vAlign w:val="bottom"/>
            <w:hideMark/>
          </w:tcPr>
          <w:p w14:paraId="3294C3F1" w14:textId="77777777" w:rsidR="000D17B7" w:rsidRPr="00E85CAD" w:rsidRDefault="000D17B7" w:rsidP="000D17B7">
            <w:pPr>
              <w:jc w:val="right"/>
              <w:rPr>
                <w:color w:val="000000"/>
                <w:sz w:val="18"/>
                <w:szCs w:val="18"/>
              </w:rPr>
            </w:pPr>
            <w:r w:rsidRPr="00E85CAD">
              <w:rPr>
                <w:color w:val="000000"/>
                <w:sz w:val="18"/>
                <w:szCs w:val="18"/>
              </w:rPr>
              <w:t>72</w:t>
            </w:r>
          </w:p>
        </w:tc>
        <w:tc>
          <w:tcPr>
            <w:tcW w:w="533" w:type="pct"/>
            <w:tcBorders>
              <w:top w:val="nil"/>
              <w:left w:val="nil"/>
              <w:bottom w:val="single" w:sz="4" w:space="0" w:color="auto"/>
              <w:right w:val="single" w:sz="4" w:space="0" w:color="auto"/>
            </w:tcBorders>
            <w:shd w:val="clear" w:color="auto" w:fill="auto"/>
            <w:noWrap/>
            <w:vAlign w:val="bottom"/>
            <w:hideMark/>
          </w:tcPr>
          <w:p w14:paraId="102DC16E" w14:textId="77777777" w:rsidR="000D17B7" w:rsidRPr="00E85CAD" w:rsidRDefault="000D17B7" w:rsidP="000D17B7">
            <w:pPr>
              <w:jc w:val="right"/>
              <w:rPr>
                <w:color w:val="000000"/>
                <w:sz w:val="18"/>
                <w:szCs w:val="18"/>
              </w:rPr>
            </w:pPr>
            <w:r w:rsidRPr="00E85CAD">
              <w:rPr>
                <w:color w:val="000000"/>
                <w:sz w:val="18"/>
                <w:szCs w:val="18"/>
              </w:rPr>
              <w:t>5</w:t>
            </w:r>
          </w:p>
        </w:tc>
        <w:tc>
          <w:tcPr>
            <w:tcW w:w="536" w:type="pct"/>
            <w:tcBorders>
              <w:top w:val="nil"/>
              <w:left w:val="nil"/>
              <w:bottom w:val="single" w:sz="4" w:space="0" w:color="auto"/>
              <w:right w:val="single" w:sz="4" w:space="0" w:color="auto"/>
            </w:tcBorders>
            <w:shd w:val="clear" w:color="auto" w:fill="auto"/>
            <w:noWrap/>
            <w:vAlign w:val="bottom"/>
            <w:hideMark/>
          </w:tcPr>
          <w:p w14:paraId="46625A60" w14:textId="77777777" w:rsidR="000D17B7" w:rsidRPr="00E85CAD" w:rsidRDefault="000D17B7" w:rsidP="000D17B7">
            <w:pPr>
              <w:jc w:val="right"/>
              <w:rPr>
                <w:color w:val="000000"/>
                <w:sz w:val="18"/>
                <w:szCs w:val="18"/>
              </w:rPr>
            </w:pPr>
            <w:r w:rsidRPr="00E85CAD">
              <w:rPr>
                <w:color w:val="000000"/>
                <w:sz w:val="18"/>
                <w:szCs w:val="18"/>
              </w:rPr>
              <w:t>15</w:t>
            </w:r>
          </w:p>
        </w:tc>
        <w:tc>
          <w:tcPr>
            <w:tcW w:w="492" w:type="pct"/>
            <w:tcBorders>
              <w:top w:val="nil"/>
              <w:left w:val="nil"/>
              <w:bottom w:val="single" w:sz="4" w:space="0" w:color="auto"/>
              <w:right w:val="single" w:sz="4" w:space="0" w:color="auto"/>
            </w:tcBorders>
            <w:shd w:val="clear" w:color="auto" w:fill="auto"/>
            <w:noWrap/>
            <w:vAlign w:val="bottom"/>
            <w:hideMark/>
          </w:tcPr>
          <w:p w14:paraId="4631DE4E" w14:textId="77777777" w:rsidR="000D17B7" w:rsidRPr="00E85CAD" w:rsidRDefault="000D17B7" w:rsidP="000D17B7">
            <w:pPr>
              <w:jc w:val="right"/>
              <w:rPr>
                <w:color w:val="000000"/>
                <w:sz w:val="18"/>
                <w:szCs w:val="18"/>
              </w:rPr>
            </w:pPr>
            <w:r w:rsidRPr="00E85CAD">
              <w:rPr>
                <w:color w:val="000000"/>
                <w:sz w:val="18"/>
                <w:szCs w:val="18"/>
              </w:rPr>
              <w:t>9</w:t>
            </w:r>
          </w:p>
        </w:tc>
        <w:tc>
          <w:tcPr>
            <w:tcW w:w="450" w:type="pct"/>
            <w:tcBorders>
              <w:top w:val="nil"/>
              <w:left w:val="nil"/>
              <w:bottom w:val="single" w:sz="4" w:space="0" w:color="auto"/>
              <w:right w:val="single" w:sz="4" w:space="0" w:color="auto"/>
            </w:tcBorders>
            <w:shd w:val="clear" w:color="auto" w:fill="auto"/>
            <w:noWrap/>
            <w:vAlign w:val="bottom"/>
            <w:hideMark/>
          </w:tcPr>
          <w:p w14:paraId="022A307B" w14:textId="77777777" w:rsidR="000D17B7" w:rsidRPr="00E85CAD" w:rsidRDefault="000D17B7" w:rsidP="000D17B7">
            <w:pPr>
              <w:jc w:val="right"/>
              <w:rPr>
                <w:color w:val="000000"/>
                <w:sz w:val="18"/>
                <w:szCs w:val="18"/>
              </w:rPr>
            </w:pPr>
            <w:r w:rsidRPr="00E85CAD">
              <w:rPr>
                <w:color w:val="000000"/>
                <w:sz w:val="18"/>
                <w:szCs w:val="18"/>
              </w:rPr>
              <w:t>14</w:t>
            </w:r>
          </w:p>
        </w:tc>
        <w:tc>
          <w:tcPr>
            <w:tcW w:w="410" w:type="pct"/>
            <w:tcBorders>
              <w:top w:val="nil"/>
              <w:left w:val="nil"/>
              <w:bottom w:val="single" w:sz="4" w:space="0" w:color="auto"/>
              <w:right w:val="single" w:sz="4" w:space="0" w:color="auto"/>
            </w:tcBorders>
            <w:shd w:val="clear" w:color="auto" w:fill="auto"/>
            <w:noWrap/>
            <w:vAlign w:val="bottom"/>
            <w:hideMark/>
          </w:tcPr>
          <w:p w14:paraId="27927F81" w14:textId="77777777" w:rsidR="000D17B7" w:rsidRPr="00E85CAD" w:rsidRDefault="000D17B7" w:rsidP="000D17B7">
            <w:pPr>
              <w:jc w:val="right"/>
              <w:rPr>
                <w:color w:val="000000"/>
                <w:sz w:val="18"/>
                <w:szCs w:val="18"/>
              </w:rPr>
            </w:pPr>
            <w:r w:rsidRPr="00E85CAD">
              <w:rPr>
                <w:color w:val="000000"/>
                <w:sz w:val="18"/>
                <w:szCs w:val="18"/>
              </w:rPr>
              <w:t>77</w:t>
            </w:r>
          </w:p>
        </w:tc>
        <w:tc>
          <w:tcPr>
            <w:tcW w:w="339" w:type="pct"/>
            <w:tcBorders>
              <w:top w:val="nil"/>
              <w:left w:val="nil"/>
              <w:bottom w:val="single" w:sz="4" w:space="0" w:color="auto"/>
              <w:right w:val="single" w:sz="4" w:space="0" w:color="auto"/>
            </w:tcBorders>
            <w:shd w:val="clear" w:color="auto" w:fill="auto"/>
            <w:noWrap/>
            <w:vAlign w:val="bottom"/>
            <w:hideMark/>
          </w:tcPr>
          <w:p w14:paraId="3A3240C6" w14:textId="77777777" w:rsidR="000D17B7" w:rsidRPr="00E85CAD" w:rsidRDefault="000D17B7" w:rsidP="000D17B7">
            <w:pPr>
              <w:jc w:val="right"/>
              <w:rPr>
                <w:color w:val="000000"/>
                <w:sz w:val="18"/>
                <w:szCs w:val="18"/>
              </w:rPr>
            </w:pPr>
            <w:r w:rsidRPr="00E85CAD">
              <w:rPr>
                <w:color w:val="000000"/>
                <w:sz w:val="18"/>
                <w:szCs w:val="18"/>
              </w:rPr>
              <w:t>23</w:t>
            </w:r>
          </w:p>
        </w:tc>
        <w:tc>
          <w:tcPr>
            <w:tcW w:w="469" w:type="pct"/>
            <w:tcBorders>
              <w:top w:val="nil"/>
              <w:left w:val="nil"/>
              <w:bottom w:val="single" w:sz="4" w:space="0" w:color="auto"/>
              <w:right w:val="single" w:sz="4" w:space="0" w:color="auto"/>
            </w:tcBorders>
            <w:shd w:val="clear" w:color="auto" w:fill="auto"/>
            <w:noWrap/>
            <w:vAlign w:val="bottom"/>
            <w:hideMark/>
          </w:tcPr>
          <w:p w14:paraId="34EBAC4B" w14:textId="77777777" w:rsidR="000D17B7" w:rsidRPr="00E85CAD" w:rsidRDefault="000D17B7" w:rsidP="000D17B7">
            <w:pPr>
              <w:jc w:val="right"/>
              <w:rPr>
                <w:color w:val="000000"/>
                <w:sz w:val="18"/>
                <w:szCs w:val="18"/>
              </w:rPr>
            </w:pPr>
            <w:r w:rsidRPr="00E85CAD">
              <w:rPr>
                <w:color w:val="000000"/>
                <w:sz w:val="18"/>
                <w:szCs w:val="18"/>
              </w:rPr>
              <w:t>52</w:t>
            </w:r>
          </w:p>
        </w:tc>
        <w:tc>
          <w:tcPr>
            <w:tcW w:w="474" w:type="pct"/>
            <w:tcBorders>
              <w:top w:val="nil"/>
              <w:left w:val="nil"/>
              <w:bottom w:val="single" w:sz="4" w:space="0" w:color="auto"/>
              <w:right w:val="single" w:sz="4" w:space="0" w:color="auto"/>
            </w:tcBorders>
            <w:shd w:val="clear" w:color="auto" w:fill="auto"/>
            <w:noWrap/>
            <w:vAlign w:val="bottom"/>
            <w:hideMark/>
          </w:tcPr>
          <w:p w14:paraId="503D9435" w14:textId="77777777" w:rsidR="000D17B7" w:rsidRPr="00E85CAD" w:rsidRDefault="000D17B7" w:rsidP="000D17B7">
            <w:pPr>
              <w:jc w:val="right"/>
              <w:rPr>
                <w:color w:val="000000"/>
                <w:sz w:val="18"/>
                <w:szCs w:val="18"/>
              </w:rPr>
            </w:pPr>
            <w:r w:rsidRPr="00E85CAD">
              <w:rPr>
                <w:color w:val="000000"/>
                <w:sz w:val="18"/>
                <w:szCs w:val="18"/>
              </w:rPr>
              <w:t>53</w:t>
            </w:r>
          </w:p>
        </w:tc>
      </w:tr>
      <w:tr w:rsidR="000D17B7" w:rsidRPr="00647951" w14:paraId="679315AA" w14:textId="77777777" w:rsidTr="000D17B7">
        <w:trPr>
          <w:trHeight w:val="512"/>
        </w:trPr>
        <w:tc>
          <w:tcPr>
            <w:tcW w:w="705" w:type="pct"/>
            <w:tcBorders>
              <w:top w:val="nil"/>
              <w:left w:val="single" w:sz="4" w:space="0" w:color="auto"/>
              <w:bottom w:val="single" w:sz="4" w:space="0" w:color="auto"/>
              <w:right w:val="single" w:sz="4" w:space="0" w:color="auto"/>
            </w:tcBorders>
            <w:shd w:val="clear" w:color="auto" w:fill="auto"/>
            <w:vAlign w:val="bottom"/>
            <w:hideMark/>
          </w:tcPr>
          <w:p w14:paraId="6D4E7B81" w14:textId="77777777" w:rsidR="000D17B7" w:rsidRPr="00E85CAD" w:rsidRDefault="000D17B7" w:rsidP="000D17B7">
            <w:pPr>
              <w:rPr>
                <w:b/>
                <w:bCs/>
                <w:color w:val="000000"/>
                <w:sz w:val="18"/>
                <w:szCs w:val="18"/>
              </w:rPr>
            </w:pPr>
            <w:r w:rsidRPr="00E85CAD">
              <w:rPr>
                <w:b/>
                <w:bCs/>
                <w:color w:val="000000"/>
                <w:sz w:val="18"/>
                <w:szCs w:val="18"/>
              </w:rPr>
              <w:t>Quality of port infrastructure</w:t>
            </w:r>
          </w:p>
        </w:tc>
        <w:tc>
          <w:tcPr>
            <w:tcW w:w="592" w:type="pct"/>
            <w:tcBorders>
              <w:top w:val="nil"/>
              <w:left w:val="nil"/>
              <w:bottom w:val="single" w:sz="4" w:space="0" w:color="auto"/>
              <w:right w:val="single" w:sz="4" w:space="0" w:color="auto"/>
            </w:tcBorders>
            <w:shd w:val="clear" w:color="auto" w:fill="auto"/>
            <w:noWrap/>
            <w:vAlign w:val="bottom"/>
            <w:hideMark/>
          </w:tcPr>
          <w:p w14:paraId="76E4FE11" w14:textId="77777777" w:rsidR="000D17B7" w:rsidRPr="00E85CAD" w:rsidRDefault="000D17B7" w:rsidP="000D17B7">
            <w:pPr>
              <w:jc w:val="right"/>
              <w:rPr>
                <w:color w:val="000000"/>
                <w:sz w:val="18"/>
                <w:szCs w:val="18"/>
              </w:rPr>
            </w:pPr>
            <w:r w:rsidRPr="00E85CAD">
              <w:rPr>
                <w:color w:val="000000"/>
                <w:sz w:val="18"/>
                <w:szCs w:val="18"/>
              </w:rPr>
              <w:t>89</w:t>
            </w:r>
          </w:p>
        </w:tc>
        <w:tc>
          <w:tcPr>
            <w:tcW w:w="533" w:type="pct"/>
            <w:tcBorders>
              <w:top w:val="nil"/>
              <w:left w:val="nil"/>
              <w:bottom w:val="single" w:sz="4" w:space="0" w:color="auto"/>
              <w:right w:val="single" w:sz="4" w:space="0" w:color="auto"/>
            </w:tcBorders>
            <w:shd w:val="clear" w:color="auto" w:fill="auto"/>
            <w:noWrap/>
            <w:vAlign w:val="bottom"/>
            <w:hideMark/>
          </w:tcPr>
          <w:p w14:paraId="49F3DC45" w14:textId="77777777" w:rsidR="000D17B7" w:rsidRPr="00E85CAD" w:rsidRDefault="000D17B7" w:rsidP="000D17B7">
            <w:pPr>
              <w:jc w:val="right"/>
              <w:rPr>
                <w:color w:val="000000"/>
                <w:sz w:val="18"/>
                <w:szCs w:val="18"/>
              </w:rPr>
            </w:pPr>
            <w:r w:rsidRPr="00E85CAD">
              <w:rPr>
                <w:color w:val="000000"/>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14:paraId="2B5613EA" w14:textId="77777777" w:rsidR="000D17B7" w:rsidRPr="00E85CAD" w:rsidRDefault="000D17B7" w:rsidP="000D17B7">
            <w:pPr>
              <w:jc w:val="right"/>
              <w:rPr>
                <w:color w:val="000000"/>
                <w:sz w:val="18"/>
                <w:szCs w:val="18"/>
              </w:rPr>
            </w:pPr>
            <w:r w:rsidRPr="00E85CAD">
              <w:rPr>
                <w:color w:val="000000"/>
                <w:sz w:val="18"/>
                <w:szCs w:val="18"/>
              </w:rPr>
              <w:t>17</w:t>
            </w:r>
          </w:p>
        </w:tc>
        <w:tc>
          <w:tcPr>
            <w:tcW w:w="492" w:type="pct"/>
            <w:tcBorders>
              <w:top w:val="nil"/>
              <w:left w:val="nil"/>
              <w:bottom w:val="single" w:sz="4" w:space="0" w:color="auto"/>
              <w:right w:val="single" w:sz="4" w:space="0" w:color="auto"/>
            </w:tcBorders>
            <w:shd w:val="clear" w:color="auto" w:fill="auto"/>
            <w:noWrap/>
            <w:vAlign w:val="bottom"/>
            <w:hideMark/>
          </w:tcPr>
          <w:p w14:paraId="2046D179" w14:textId="77777777" w:rsidR="000D17B7" w:rsidRPr="00E85CAD" w:rsidRDefault="000D17B7" w:rsidP="000D17B7">
            <w:pPr>
              <w:jc w:val="right"/>
              <w:rPr>
                <w:color w:val="000000"/>
                <w:sz w:val="18"/>
                <w:szCs w:val="18"/>
              </w:rPr>
            </w:pPr>
            <w:r w:rsidRPr="00E85CAD">
              <w:rPr>
                <w:color w:val="000000"/>
                <w:sz w:val="18"/>
                <w:szCs w:val="18"/>
              </w:rPr>
              <w:t>27</w:t>
            </w:r>
          </w:p>
        </w:tc>
        <w:tc>
          <w:tcPr>
            <w:tcW w:w="450" w:type="pct"/>
            <w:tcBorders>
              <w:top w:val="nil"/>
              <w:left w:val="nil"/>
              <w:bottom w:val="single" w:sz="4" w:space="0" w:color="auto"/>
              <w:right w:val="single" w:sz="4" w:space="0" w:color="auto"/>
            </w:tcBorders>
            <w:shd w:val="clear" w:color="auto" w:fill="auto"/>
            <w:noWrap/>
            <w:vAlign w:val="bottom"/>
            <w:hideMark/>
          </w:tcPr>
          <w:p w14:paraId="57DEE426" w14:textId="77777777" w:rsidR="000D17B7" w:rsidRPr="00E85CAD" w:rsidRDefault="000D17B7" w:rsidP="000D17B7">
            <w:pPr>
              <w:jc w:val="right"/>
              <w:rPr>
                <w:color w:val="000000"/>
                <w:sz w:val="18"/>
                <w:szCs w:val="18"/>
              </w:rPr>
            </w:pPr>
            <w:r w:rsidRPr="00E85CAD">
              <w:rPr>
                <w:color w:val="000000"/>
                <w:sz w:val="18"/>
                <w:szCs w:val="18"/>
              </w:rPr>
              <w:t>43</w:t>
            </w:r>
          </w:p>
        </w:tc>
        <w:tc>
          <w:tcPr>
            <w:tcW w:w="410" w:type="pct"/>
            <w:tcBorders>
              <w:top w:val="nil"/>
              <w:left w:val="nil"/>
              <w:bottom w:val="single" w:sz="4" w:space="0" w:color="auto"/>
              <w:right w:val="single" w:sz="4" w:space="0" w:color="auto"/>
            </w:tcBorders>
            <w:shd w:val="clear" w:color="auto" w:fill="auto"/>
            <w:noWrap/>
            <w:vAlign w:val="bottom"/>
            <w:hideMark/>
          </w:tcPr>
          <w:p w14:paraId="1CE373CD" w14:textId="77777777" w:rsidR="000D17B7" w:rsidRPr="00E85CAD" w:rsidRDefault="000D17B7" w:rsidP="000D17B7">
            <w:pPr>
              <w:jc w:val="right"/>
              <w:rPr>
                <w:color w:val="000000"/>
                <w:sz w:val="18"/>
                <w:szCs w:val="18"/>
              </w:rPr>
            </w:pPr>
            <w:r w:rsidRPr="00E85CAD">
              <w:rPr>
                <w:color w:val="000000"/>
                <w:sz w:val="18"/>
                <w:szCs w:val="18"/>
              </w:rPr>
              <w:t>65</w:t>
            </w:r>
          </w:p>
        </w:tc>
        <w:tc>
          <w:tcPr>
            <w:tcW w:w="339" w:type="pct"/>
            <w:tcBorders>
              <w:top w:val="nil"/>
              <w:left w:val="nil"/>
              <w:bottom w:val="single" w:sz="4" w:space="0" w:color="auto"/>
              <w:right w:val="single" w:sz="4" w:space="0" w:color="auto"/>
            </w:tcBorders>
            <w:shd w:val="clear" w:color="auto" w:fill="auto"/>
            <w:noWrap/>
            <w:vAlign w:val="bottom"/>
            <w:hideMark/>
          </w:tcPr>
          <w:p w14:paraId="5CDE4BD3" w14:textId="77777777" w:rsidR="000D17B7" w:rsidRPr="00E85CAD" w:rsidRDefault="000D17B7" w:rsidP="000D17B7">
            <w:pPr>
              <w:jc w:val="right"/>
              <w:rPr>
                <w:color w:val="000000"/>
                <w:sz w:val="18"/>
                <w:szCs w:val="18"/>
              </w:rPr>
            </w:pPr>
            <w:r w:rsidRPr="00E85CAD">
              <w:rPr>
                <w:color w:val="000000"/>
                <w:sz w:val="18"/>
                <w:szCs w:val="18"/>
              </w:rPr>
              <w:t>48</w:t>
            </w:r>
          </w:p>
        </w:tc>
        <w:tc>
          <w:tcPr>
            <w:tcW w:w="469" w:type="pct"/>
            <w:tcBorders>
              <w:top w:val="nil"/>
              <w:left w:val="nil"/>
              <w:bottom w:val="single" w:sz="4" w:space="0" w:color="auto"/>
              <w:right w:val="single" w:sz="4" w:space="0" w:color="auto"/>
            </w:tcBorders>
            <w:shd w:val="clear" w:color="auto" w:fill="auto"/>
            <w:noWrap/>
            <w:vAlign w:val="bottom"/>
            <w:hideMark/>
          </w:tcPr>
          <w:p w14:paraId="570FBB03" w14:textId="77777777" w:rsidR="000D17B7" w:rsidRPr="00E85CAD" w:rsidRDefault="000D17B7" w:rsidP="000D17B7">
            <w:pPr>
              <w:jc w:val="right"/>
              <w:rPr>
                <w:color w:val="000000"/>
                <w:sz w:val="18"/>
                <w:szCs w:val="18"/>
              </w:rPr>
            </w:pPr>
            <w:r w:rsidRPr="00E85CAD">
              <w:rPr>
                <w:color w:val="000000"/>
                <w:sz w:val="18"/>
                <w:szCs w:val="18"/>
              </w:rPr>
              <w:t>77</w:t>
            </w:r>
          </w:p>
        </w:tc>
        <w:tc>
          <w:tcPr>
            <w:tcW w:w="474" w:type="pct"/>
            <w:tcBorders>
              <w:top w:val="nil"/>
              <w:left w:val="nil"/>
              <w:bottom w:val="single" w:sz="4" w:space="0" w:color="auto"/>
              <w:right w:val="single" w:sz="4" w:space="0" w:color="auto"/>
            </w:tcBorders>
            <w:shd w:val="clear" w:color="auto" w:fill="auto"/>
            <w:noWrap/>
            <w:vAlign w:val="bottom"/>
            <w:hideMark/>
          </w:tcPr>
          <w:p w14:paraId="1186485F" w14:textId="77777777" w:rsidR="000D17B7" w:rsidRPr="00E85CAD" w:rsidRDefault="000D17B7" w:rsidP="000D17B7">
            <w:pPr>
              <w:jc w:val="right"/>
              <w:rPr>
                <w:color w:val="000000"/>
                <w:sz w:val="18"/>
                <w:szCs w:val="18"/>
              </w:rPr>
            </w:pPr>
            <w:r w:rsidRPr="00E85CAD">
              <w:rPr>
                <w:color w:val="000000"/>
                <w:sz w:val="18"/>
                <w:szCs w:val="18"/>
              </w:rPr>
              <w:t>84</w:t>
            </w:r>
          </w:p>
        </w:tc>
      </w:tr>
      <w:tr w:rsidR="000D17B7" w:rsidRPr="00647951" w14:paraId="40C2A51A" w14:textId="77777777" w:rsidTr="000D17B7">
        <w:trPr>
          <w:trHeight w:val="762"/>
        </w:trPr>
        <w:tc>
          <w:tcPr>
            <w:tcW w:w="705" w:type="pct"/>
            <w:tcBorders>
              <w:top w:val="nil"/>
              <w:left w:val="single" w:sz="4" w:space="0" w:color="auto"/>
              <w:bottom w:val="single" w:sz="4" w:space="0" w:color="auto"/>
              <w:right w:val="single" w:sz="4" w:space="0" w:color="auto"/>
            </w:tcBorders>
            <w:shd w:val="clear" w:color="auto" w:fill="auto"/>
            <w:vAlign w:val="bottom"/>
            <w:hideMark/>
          </w:tcPr>
          <w:p w14:paraId="10B2FA98" w14:textId="77777777" w:rsidR="000D17B7" w:rsidRPr="00E85CAD" w:rsidRDefault="000D17B7" w:rsidP="000D17B7">
            <w:pPr>
              <w:rPr>
                <w:b/>
                <w:bCs/>
                <w:color w:val="000000"/>
                <w:sz w:val="18"/>
                <w:szCs w:val="18"/>
              </w:rPr>
            </w:pPr>
            <w:r w:rsidRPr="00E85CAD">
              <w:rPr>
                <w:b/>
                <w:bCs/>
                <w:color w:val="000000"/>
                <w:sz w:val="18"/>
                <w:szCs w:val="18"/>
              </w:rPr>
              <w:t>Quality of air transport infrastructure</w:t>
            </w:r>
          </w:p>
        </w:tc>
        <w:tc>
          <w:tcPr>
            <w:tcW w:w="592" w:type="pct"/>
            <w:tcBorders>
              <w:top w:val="nil"/>
              <w:left w:val="nil"/>
              <w:bottom w:val="single" w:sz="4" w:space="0" w:color="auto"/>
              <w:right w:val="single" w:sz="4" w:space="0" w:color="auto"/>
            </w:tcBorders>
            <w:shd w:val="clear" w:color="auto" w:fill="auto"/>
            <w:noWrap/>
            <w:vAlign w:val="bottom"/>
            <w:hideMark/>
          </w:tcPr>
          <w:p w14:paraId="3D4458E9" w14:textId="77777777" w:rsidR="000D17B7" w:rsidRPr="00E85CAD" w:rsidRDefault="000D17B7" w:rsidP="000D17B7">
            <w:pPr>
              <w:jc w:val="right"/>
              <w:rPr>
                <w:color w:val="000000"/>
                <w:sz w:val="18"/>
                <w:szCs w:val="18"/>
              </w:rPr>
            </w:pPr>
            <w:r w:rsidRPr="00E85CAD">
              <w:rPr>
                <w:color w:val="000000"/>
                <w:sz w:val="18"/>
                <w:szCs w:val="18"/>
              </w:rPr>
              <w:t>115</w:t>
            </w:r>
          </w:p>
        </w:tc>
        <w:tc>
          <w:tcPr>
            <w:tcW w:w="533" w:type="pct"/>
            <w:tcBorders>
              <w:top w:val="nil"/>
              <w:left w:val="nil"/>
              <w:bottom w:val="single" w:sz="4" w:space="0" w:color="auto"/>
              <w:right w:val="single" w:sz="4" w:space="0" w:color="auto"/>
            </w:tcBorders>
            <w:shd w:val="clear" w:color="auto" w:fill="auto"/>
            <w:noWrap/>
            <w:vAlign w:val="bottom"/>
            <w:hideMark/>
          </w:tcPr>
          <w:p w14:paraId="0213A543" w14:textId="77777777" w:rsidR="000D17B7" w:rsidRPr="00E85CAD" w:rsidRDefault="000D17B7" w:rsidP="000D17B7">
            <w:pPr>
              <w:jc w:val="right"/>
              <w:rPr>
                <w:color w:val="000000"/>
                <w:sz w:val="18"/>
                <w:szCs w:val="18"/>
              </w:rPr>
            </w:pPr>
            <w:r w:rsidRPr="00E85CAD">
              <w:rPr>
                <w:color w:val="000000"/>
                <w:sz w:val="18"/>
                <w:szCs w:val="18"/>
              </w:rPr>
              <w:t>1</w:t>
            </w:r>
          </w:p>
        </w:tc>
        <w:tc>
          <w:tcPr>
            <w:tcW w:w="536" w:type="pct"/>
            <w:tcBorders>
              <w:top w:val="nil"/>
              <w:left w:val="nil"/>
              <w:bottom w:val="single" w:sz="4" w:space="0" w:color="auto"/>
              <w:right w:val="single" w:sz="4" w:space="0" w:color="auto"/>
            </w:tcBorders>
            <w:shd w:val="clear" w:color="auto" w:fill="auto"/>
            <w:noWrap/>
            <w:vAlign w:val="bottom"/>
            <w:hideMark/>
          </w:tcPr>
          <w:p w14:paraId="46B79ACF" w14:textId="77777777" w:rsidR="000D17B7" w:rsidRPr="00E85CAD" w:rsidRDefault="000D17B7" w:rsidP="000D17B7">
            <w:pPr>
              <w:jc w:val="right"/>
              <w:rPr>
                <w:color w:val="000000"/>
                <w:sz w:val="18"/>
                <w:szCs w:val="18"/>
              </w:rPr>
            </w:pPr>
            <w:r w:rsidRPr="00E85CAD">
              <w:rPr>
                <w:color w:val="000000"/>
                <w:sz w:val="18"/>
                <w:szCs w:val="18"/>
              </w:rPr>
              <w:t>20</w:t>
            </w:r>
          </w:p>
        </w:tc>
        <w:tc>
          <w:tcPr>
            <w:tcW w:w="492" w:type="pct"/>
            <w:tcBorders>
              <w:top w:val="nil"/>
              <w:left w:val="nil"/>
              <w:bottom w:val="single" w:sz="4" w:space="0" w:color="auto"/>
              <w:right w:val="single" w:sz="4" w:space="0" w:color="auto"/>
            </w:tcBorders>
            <w:shd w:val="clear" w:color="auto" w:fill="auto"/>
            <w:noWrap/>
            <w:vAlign w:val="bottom"/>
            <w:hideMark/>
          </w:tcPr>
          <w:p w14:paraId="0CBADC22" w14:textId="77777777" w:rsidR="000D17B7" w:rsidRPr="00E85CAD" w:rsidRDefault="000D17B7" w:rsidP="000D17B7">
            <w:pPr>
              <w:jc w:val="right"/>
              <w:rPr>
                <w:color w:val="000000"/>
                <w:sz w:val="18"/>
                <w:szCs w:val="18"/>
              </w:rPr>
            </w:pPr>
            <w:r w:rsidRPr="00E85CAD">
              <w:rPr>
                <w:color w:val="000000"/>
                <w:sz w:val="18"/>
                <w:szCs w:val="18"/>
              </w:rPr>
              <w:t>21</w:t>
            </w:r>
          </w:p>
        </w:tc>
        <w:tc>
          <w:tcPr>
            <w:tcW w:w="450" w:type="pct"/>
            <w:tcBorders>
              <w:top w:val="nil"/>
              <w:left w:val="nil"/>
              <w:bottom w:val="single" w:sz="4" w:space="0" w:color="auto"/>
              <w:right w:val="single" w:sz="4" w:space="0" w:color="auto"/>
            </w:tcBorders>
            <w:shd w:val="clear" w:color="auto" w:fill="auto"/>
            <w:noWrap/>
            <w:vAlign w:val="bottom"/>
            <w:hideMark/>
          </w:tcPr>
          <w:p w14:paraId="779BC22A" w14:textId="77777777" w:rsidR="000D17B7" w:rsidRPr="00E85CAD" w:rsidRDefault="000D17B7" w:rsidP="000D17B7">
            <w:pPr>
              <w:jc w:val="right"/>
              <w:rPr>
                <w:color w:val="000000"/>
                <w:sz w:val="18"/>
                <w:szCs w:val="18"/>
              </w:rPr>
            </w:pPr>
            <w:r w:rsidRPr="00E85CAD">
              <w:rPr>
                <w:color w:val="000000"/>
                <w:sz w:val="18"/>
                <w:szCs w:val="18"/>
              </w:rPr>
              <w:t>49</w:t>
            </w:r>
          </w:p>
        </w:tc>
        <w:tc>
          <w:tcPr>
            <w:tcW w:w="410" w:type="pct"/>
            <w:tcBorders>
              <w:top w:val="nil"/>
              <w:left w:val="nil"/>
              <w:bottom w:val="single" w:sz="4" w:space="0" w:color="auto"/>
              <w:right w:val="single" w:sz="4" w:space="0" w:color="auto"/>
            </w:tcBorders>
            <w:shd w:val="clear" w:color="auto" w:fill="auto"/>
            <w:noWrap/>
            <w:vAlign w:val="bottom"/>
            <w:hideMark/>
          </w:tcPr>
          <w:p w14:paraId="2D74BFD8" w14:textId="77777777" w:rsidR="000D17B7" w:rsidRPr="00E85CAD" w:rsidRDefault="000D17B7" w:rsidP="000D17B7">
            <w:pPr>
              <w:jc w:val="right"/>
              <w:rPr>
                <w:color w:val="000000"/>
                <w:sz w:val="18"/>
                <w:szCs w:val="18"/>
              </w:rPr>
            </w:pPr>
            <w:r w:rsidRPr="00E85CAD">
              <w:rPr>
                <w:color w:val="000000"/>
                <w:sz w:val="18"/>
                <w:szCs w:val="18"/>
              </w:rPr>
              <w:t>42</w:t>
            </w:r>
          </w:p>
        </w:tc>
        <w:tc>
          <w:tcPr>
            <w:tcW w:w="339" w:type="pct"/>
            <w:tcBorders>
              <w:top w:val="nil"/>
              <w:left w:val="nil"/>
              <w:bottom w:val="single" w:sz="4" w:space="0" w:color="auto"/>
              <w:right w:val="single" w:sz="4" w:space="0" w:color="auto"/>
            </w:tcBorders>
            <w:shd w:val="clear" w:color="auto" w:fill="auto"/>
            <w:noWrap/>
            <w:vAlign w:val="bottom"/>
            <w:hideMark/>
          </w:tcPr>
          <w:p w14:paraId="72F07B3C" w14:textId="77777777" w:rsidR="000D17B7" w:rsidRPr="00E85CAD" w:rsidRDefault="000D17B7" w:rsidP="000D17B7">
            <w:pPr>
              <w:jc w:val="right"/>
              <w:rPr>
                <w:color w:val="000000"/>
                <w:sz w:val="18"/>
                <w:szCs w:val="18"/>
              </w:rPr>
            </w:pPr>
            <w:r w:rsidRPr="00E85CAD">
              <w:rPr>
                <w:color w:val="000000"/>
                <w:sz w:val="18"/>
                <w:szCs w:val="18"/>
              </w:rPr>
              <w:t>63</w:t>
            </w:r>
          </w:p>
        </w:tc>
        <w:tc>
          <w:tcPr>
            <w:tcW w:w="469" w:type="pct"/>
            <w:tcBorders>
              <w:top w:val="nil"/>
              <w:left w:val="nil"/>
              <w:bottom w:val="single" w:sz="4" w:space="0" w:color="auto"/>
              <w:right w:val="single" w:sz="4" w:space="0" w:color="auto"/>
            </w:tcBorders>
            <w:shd w:val="clear" w:color="auto" w:fill="auto"/>
            <w:noWrap/>
            <w:vAlign w:val="bottom"/>
            <w:hideMark/>
          </w:tcPr>
          <w:p w14:paraId="0EB4AEBA" w14:textId="77777777" w:rsidR="000D17B7" w:rsidRPr="00E85CAD" w:rsidRDefault="000D17B7" w:rsidP="000D17B7">
            <w:pPr>
              <w:jc w:val="right"/>
              <w:rPr>
                <w:color w:val="000000"/>
                <w:sz w:val="18"/>
                <w:szCs w:val="18"/>
              </w:rPr>
            </w:pPr>
            <w:r w:rsidRPr="00E85CAD">
              <w:rPr>
                <w:color w:val="000000"/>
                <w:sz w:val="18"/>
                <w:szCs w:val="18"/>
              </w:rPr>
              <w:t>86</w:t>
            </w:r>
          </w:p>
        </w:tc>
        <w:tc>
          <w:tcPr>
            <w:tcW w:w="474" w:type="pct"/>
            <w:tcBorders>
              <w:top w:val="nil"/>
              <w:left w:val="nil"/>
              <w:bottom w:val="single" w:sz="4" w:space="0" w:color="auto"/>
              <w:right w:val="single" w:sz="4" w:space="0" w:color="auto"/>
            </w:tcBorders>
            <w:shd w:val="clear" w:color="auto" w:fill="auto"/>
            <w:noWrap/>
            <w:vAlign w:val="bottom"/>
            <w:hideMark/>
          </w:tcPr>
          <w:p w14:paraId="449FC7D9" w14:textId="77777777" w:rsidR="000D17B7" w:rsidRPr="00E85CAD" w:rsidRDefault="000D17B7" w:rsidP="000D17B7">
            <w:pPr>
              <w:jc w:val="right"/>
              <w:rPr>
                <w:color w:val="000000"/>
                <w:sz w:val="18"/>
                <w:szCs w:val="18"/>
              </w:rPr>
            </w:pPr>
            <w:r w:rsidRPr="00E85CAD">
              <w:rPr>
                <w:color w:val="000000"/>
                <w:sz w:val="18"/>
                <w:szCs w:val="18"/>
              </w:rPr>
              <w:t>91</w:t>
            </w:r>
          </w:p>
        </w:tc>
      </w:tr>
      <w:tr w:rsidR="000D17B7" w:rsidRPr="00647951" w14:paraId="0466BCDC" w14:textId="77777777" w:rsidTr="000D17B7">
        <w:trPr>
          <w:trHeight w:val="542"/>
        </w:trPr>
        <w:tc>
          <w:tcPr>
            <w:tcW w:w="705" w:type="pct"/>
            <w:tcBorders>
              <w:top w:val="nil"/>
              <w:left w:val="single" w:sz="4" w:space="0" w:color="auto"/>
              <w:bottom w:val="single" w:sz="4" w:space="0" w:color="auto"/>
              <w:right w:val="single" w:sz="4" w:space="0" w:color="auto"/>
            </w:tcBorders>
            <w:shd w:val="clear" w:color="auto" w:fill="auto"/>
            <w:vAlign w:val="bottom"/>
            <w:hideMark/>
          </w:tcPr>
          <w:p w14:paraId="0644A50D" w14:textId="77777777" w:rsidR="000D17B7" w:rsidRPr="00E85CAD" w:rsidRDefault="000D17B7" w:rsidP="000D17B7">
            <w:pPr>
              <w:rPr>
                <w:b/>
                <w:bCs/>
                <w:color w:val="000000"/>
                <w:sz w:val="18"/>
                <w:szCs w:val="18"/>
              </w:rPr>
            </w:pPr>
            <w:r w:rsidRPr="00E85CAD">
              <w:rPr>
                <w:b/>
                <w:bCs/>
                <w:color w:val="000000"/>
                <w:sz w:val="18"/>
                <w:szCs w:val="18"/>
              </w:rPr>
              <w:t>Quality of electricity supply</w:t>
            </w:r>
          </w:p>
        </w:tc>
        <w:tc>
          <w:tcPr>
            <w:tcW w:w="592" w:type="pct"/>
            <w:tcBorders>
              <w:top w:val="nil"/>
              <w:left w:val="nil"/>
              <w:bottom w:val="single" w:sz="4" w:space="0" w:color="auto"/>
              <w:right w:val="single" w:sz="4" w:space="0" w:color="auto"/>
            </w:tcBorders>
            <w:shd w:val="clear" w:color="auto" w:fill="auto"/>
            <w:noWrap/>
            <w:vAlign w:val="bottom"/>
            <w:hideMark/>
          </w:tcPr>
          <w:p w14:paraId="127C8598" w14:textId="77777777" w:rsidR="000D17B7" w:rsidRPr="00E85CAD" w:rsidRDefault="000D17B7" w:rsidP="000D17B7">
            <w:pPr>
              <w:jc w:val="right"/>
              <w:rPr>
                <w:color w:val="000000"/>
                <w:sz w:val="18"/>
                <w:szCs w:val="18"/>
              </w:rPr>
            </w:pPr>
            <w:r w:rsidRPr="00E85CAD">
              <w:rPr>
                <w:color w:val="000000"/>
                <w:sz w:val="18"/>
                <w:szCs w:val="18"/>
              </w:rPr>
              <w:t>110</w:t>
            </w:r>
          </w:p>
        </w:tc>
        <w:tc>
          <w:tcPr>
            <w:tcW w:w="533" w:type="pct"/>
            <w:tcBorders>
              <w:top w:val="nil"/>
              <w:left w:val="nil"/>
              <w:bottom w:val="single" w:sz="4" w:space="0" w:color="auto"/>
              <w:right w:val="single" w:sz="4" w:space="0" w:color="auto"/>
            </w:tcBorders>
            <w:shd w:val="clear" w:color="auto" w:fill="auto"/>
            <w:noWrap/>
            <w:vAlign w:val="bottom"/>
            <w:hideMark/>
          </w:tcPr>
          <w:p w14:paraId="4E1DCF97" w14:textId="77777777" w:rsidR="000D17B7" w:rsidRPr="00E85CAD" w:rsidRDefault="000D17B7" w:rsidP="000D17B7">
            <w:pPr>
              <w:jc w:val="right"/>
              <w:rPr>
                <w:color w:val="000000"/>
                <w:sz w:val="18"/>
                <w:szCs w:val="18"/>
              </w:rPr>
            </w:pPr>
            <w:r w:rsidRPr="00E85CAD">
              <w:rPr>
                <w:color w:val="000000"/>
                <w:sz w:val="18"/>
                <w:szCs w:val="18"/>
              </w:rPr>
              <w:t>2</w:t>
            </w:r>
          </w:p>
        </w:tc>
        <w:tc>
          <w:tcPr>
            <w:tcW w:w="536" w:type="pct"/>
            <w:tcBorders>
              <w:top w:val="nil"/>
              <w:left w:val="nil"/>
              <w:bottom w:val="single" w:sz="4" w:space="0" w:color="auto"/>
              <w:right w:val="single" w:sz="4" w:space="0" w:color="auto"/>
            </w:tcBorders>
            <w:shd w:val="clear" w:color="auto" w:fill="auto"/>
            <w:noWrap/>
            <w:vAlign w:val="bottom"/>
            <w:hideMark/>
          </w:tcPr>
          <w:p w14:paraId="68B1B69C" w14:textId="77777777" w:rsidR="000D17B7" w:rsidRPr="00E85CAD" w:rsidRDefault="000D17B7" w:rsidP="000D17B7">
            <w:pPr>
              <w:jc w:val="right"/>
              <w:rPr>
                <w:color w:val="000000"/>
                <w:sz w:val="18"/>
                <w:szCs w:val="18"/>
              </w:rPr>
            </w:pPr>
            <w:r w:rsidRPr="00E85CAD">
              <w:rPr>
                <w:color w:val="000000"/>
                <w:sz w:val="18"/>
                <w:szCs w:val="18"/>
              </w:rPr>
              <w:t>39</w:t>
            </w:r>
          </w:p>
        </w:tc>
        <w:tc>
          <w:tcPr>
            <w:tcW w:w="492" w:type="pct"/>
            <w:tcBorders>
              <w:top w:val="nil"/>
              <w:left w:val="nil"/>
              <w:bottom w:val="single" w:sz="4" w:space="0" w:color="auto"/>
              <w:right w:val="single" w:sz="4" w:space="0" w:color="auto"/>
            </w:tcBorders>
            <w:shd w:val="clear" w:color="auto" w:fill="auto"/>
            <w:noWrap/>
            <w:vAlign w:val="bottom"/>
            <w:hideMark/>
          </w:tcPr>
          <w:p w14:paraId="04B767F3" w14:textId="77777777" w:rsidR="000D17B7" w:rsidRPr="00E85CAD" w:rsidRDefault="000D17B7" w:rsidP="000D17B7">
            <w:pPr>
              <w:jc w:val="right"/>
              <w:rPr>
                <w:color w:val="000000"/>
                <w:sz w:val="18"/>
                <w:szCs w:val="18"/>
              </w:rPr>
            </w:pPr>
            <w:r w:rsidRPr="00E85CAD">
              <w:rPr>
                <w:color w:val="000000"/>
                <w:sz w:val="18"/>
                <w:szCs w:val="18"/>
              </w:rPr>
              <w:t>29</w:t>
            </w:r>
          </w:p>
        </w:tc>
        <w:tc>
          <w:tcPr>
            <w:tcW w:w="450" w:type="pct"/>
            <w:tcBorders>
              <w:top w:val="nil"/>
              <w:left w:val="nil"/>
              <w:bottom w:val="single" w:sz="4" w:space="0" w:color="auto"/>
              <w:right w:val="single" w:sz="4" w:space="0" w:color="auto"/>
            </w:tcBorders>
            <w:shd w:val="clear" w:color="auto" w:fill="auto"/>
            <w:noWrap/>
            <w:vAlign w:val="bottom"/>
            <w:hideMark/>
          </w:tcPr>
          <w:p w14:paraId="0B1B90A0" w14:textId="77777777" w:rsidR="000D17B7" w:rsidRPr="00E85CAD" w:rsidRDefault="000D17B7" w:rsidP="000D17B7">
            <w:pPr>
              <w:jc w:val="right"/>
              <w:rPr>
                <w:color w:val="000000"/>
                <w:sz w:val="18"/>
                <w:szCs w:val="18"/>
              </w:rPr>
            </w:pPr>
            <w:r w:rsidRPr="00E85CAD">
              <w:rPr>
                <w:color w:val="000000"/>
                <w:sz w:val="18"/>
                <w:szCs w:val="18"/>
              </w:rPr>
              <w:t>58</w:t>
            </w:r>
          </w:p>
        </w:tc>
        <w:tc>
          <w:tcPr>
            <w:tcW w:w="410" w:type="pct"/>
            <w:tcBorders>
              <w:top w:val="nil"/>
              <w:left w:val="nil"/>
              <w:bottom w:val="single" w:sz="4" w:space="0" w:color="auto"/>
              <w:right w:val="single" w:sz="4" w:space="0" w:color="auto"/>
            </w:tcBorders>
            <w:shd w:val="clear" w:color="auto" w:fill="auto"/>
            <w:noWrap/>
            <w:vAlign w:val="bottom"/>
            <w:hideMark/>
          </w:tcPr>
          <w:p w14:paraId="3B87F835" w14:textId="77777777" w:rsidR="000D17B7" w:rsidRPr="00E85CAD" w:rsidRDefault="000D17B7" w:rsidP="000D17B7">
            <w:pPr>
              <w:jc w:val="right"/>
              <w:rPr>
                <w:color w:val="000000"/>
                <w:sz w:val="18"/>
                <w:szCs w:val="18"/>
              </w:rPr>
            </w:pPr>
            <w:r w:rsidRPr="00E85CAD">
              <w:rPr>
                <w:color w:val="000000"/>
                <w:sz w:val="18"/>
                <w:szCs w:val="18"/>
              </w:rPr>
              <w:t>61</w:t>
            </w:r>
          </w:p>
        </w:tc>
        <w:tc>
          <w:tcPr>
            <w:tcW w:w="339" w:type="pct"/>
            <w:tcBorders>
              <w:top w:val="nil"/>
              <w:left w:val="nil"/>
              <w:bottom w:val="single" w:sz="4" w:space="0" w:color="auto"/>
              <w:right w:val="single" w:sz="4" w:space="0" w:color="auto"/>
            </w:tcBorders>
            <w:shd w:val="clear" w:color="auto" w:fill="auto"/>
            <w:noWrap/>
            <w:vAlign w:val="bottom"/>
            <w:hideMark/>
          </w:tcPr>
          <w:p w14:paraId="6A49D7ED" w14:textId="77777777" w:rsidR="000D17B7" w:rsidRPr="00E85CAD" w:rsidRDefault="000D17B7" w:rsidP="000D17B7">
            <w:pPr>
              <w:jc w:val="right"/>
              <w:rPr>
                <w:color w:val="000000"/>
                <w:sz w:val="18"/>
                <w:szCs w:val="18"/>
              </w:rPr>
            </w:pPr>
            <w:r w:rsidRPr="00E85CAD">
              <w:rPr>
                <w:color w:val="000000"/>
                <w:sz w:val="18"/>
                <w:szCs w:val="18"/>
              </w:rPr>
              <w:t>88</w:t>
            </w:r>
          </w:p>
        </w:tc>
        <w:tc>
          <w:tcPr>
            <w:tcW w:w="469" w:type="pct"/>
            <w:tcBorders>
              <w:top w:val="nil"/>
              <w:left w:val="nil"/>
              <w:bottom w:val="single" w:sz="4" w:space="0" w:color="auto"/>
              <w:right w:val="single" w:sz="4" w:space="0" w:color="auto"/>
            </w:tcBorders>
            <w:shd w:val="clear" w:color="auto" w:fill="auto"/>
            <w:noWrap/>
            <w:vAlign w:val="bottom"/>
            <w:hideMark/>
          </w:tcPr>
          <w:p w14:paraId="2DED94A9" w14:textId="77777777" w:rsidR="000D17B7" w:rsidRPr="00E85CAD" w:rsidRDefault="000D17B7" w:rsidP="000D17B7">
            <w:pPr>
              <w:jc w:val="right"/>
              <w:rPr>
                <w:color w:val="000000"/>
                <w:sz w:val="18"/>
                <w:szCs w:val="18"/>
              </w:rPr>
            </w:pPr>
            <w:r w:rsidRPr="00E85CAD">
              <w:rPr>
                <w:color w:val="000000"/>
                <w:sz w:val="18"/>
                <w:szCs w:val="18"/>
              </w:rPr>
              <w:t>85</w:t>
            </w:r>
          </w:p>
        </w:tc>
        <w:tc>
          <w:tcPr>
            <w:tcW w:w="474" w:type="pct"/>
            <w:tcBorders>
              <w:top w:val="nil"/>
              <w:left w:val="nil"/>
              <w:bottom w:val="single" w:sz="4" w:space="0" w:color="auto"/>
              <w:right w:val="single" w:sz="4" w:space="0" w:color="auto"/>
            </w:tcBorders>
            <w:shd w:val="clear" w:color="auto" w:fill="auto"/>
            <w:noWrap/>
            <w:vAlign w:val="bottom"/>
            <w:hideMark/>
          </w:tcPr>
          <w:p w14:paraId="0E6CF103" w14:textId="77777777" w:rsidR="000D17B7" w:rsidRPr="00E85CAD" w:rsidRDefault="000D17B7" w:rsidP="000D17B7">
            <w:pPr>
              <w:jc w:val="right"/>
              <w:rPr>
                <w:color w:val="000000"/>
                <w:sz w:val="18"/>
                <w:szCs w:val="18"/>
              </w:rPr>
            </w:pPr>
            <w:r w:rsidRPr="00E85CAD">
              <w:rPr>
                <w:color w:val="000000"/>
                <w:sz w:val="18"/>
                <w:szCs w:val="18"/>
              </w:rPr>
              <w:t>121</w:t>
            </w:r>
          </w:p>
        </w:tc>
      </w:tr>
    </w:tbl>
    <w:p w14:paraId="7468034F" w14:textId="77777777" w:rsidR="000D17B7" w:rsidRPr="00647951" w:rsidRDefault="000D17B7" w:rsidP="000D17B7">
      <w:pPr>
        <w:rPr>
          <w:b/>
          <w:i/>
          <w:sz w:val="20"/>
          <w:szCs w:val="20"/>
        </w:rPr>
      </w:pPr>
      <w:r w:rsidRPr="00647951">
        <w:rPr>
          <w:b/>
          <w:i/>
          <w:sz w:val="20"/>
          <w:szCs w:val="20"/>
        </w:rPr>
        <w:t>Source: Global Competitiveness Report 2016-2017, World Economic Forum</w:t>
      </w:r>
    </w:p>
    <w:p w14:paraId="1C4C22C2" w14:textId="77777777" w:rsidR="000D17B7" w:rsidRDefault="000D17B7" w:rsidP="009F570C">
      <w:pPr>
        <w:spacing w:line="360" w:lineRule="auto"/>
        <w:rPr>
          <w:color w:val="632423" w:themeColor="accent2" w:themeShade="80"/>
        </w:rPr>
      </w:pPr>
    </w:p>
    <w:p w14:paraId="3849C897" w14:textId="095E885A" w:rsidR="002B55E8" w:rsidRDefault="002B55E8" w:rsidP="002B55E8">
      <w:pPr>
        <w:spacing w:line="276" w:lineRule="auto"/>
      </w:pPr>
      <w:r w:rsidRPr="00BF1B56">
        <w:t xml:space="preserve">As evident from </w:t>
      </w:r>
      <w:r>
        <w:t>Table 5</w:t>
      </w:r>
      <w:r w:rsidRPr="00BF1B56">
        <w:t xml:space="preserve"> above, Bangladesh is also way behind all the competitor countries in quality of infrastructure, quality of roads, quality of railroad, quality of port infrastructure, and quality of electricity. Bangladesh is only ahead of Pakistan in quality of electricity.</w:t>
      </w:r>
      <w:r w:rsidR="00326988">
        <w:t xml:space="preserve">  However, that may als</w:t>
      </w:r>
      <w:r w:rsidR="008D1D57">
        <w:t>o be changing with Pakistan making</w:t>
      </w:r>
      <w:r w:rsidR="00326988">
        <w:t xml:space="preserve"> large investments in low cost power generation supported by higher level of investments in transmission and distribution.</w:t>
      </w:r>
      <w:r w:rsidRPr="00BF1B56">
        <w:t xml:space="preserve">  It is important to note that it is way behind its competing countries like India and Vietnam.  This sort of poor quality of infrastructure raises business uncertainty and risks and raises cost of doing business</w:t>
      </w:r>
      <w:r w:rsidR="00326988">
        <w:t xml:space="preserve">, and as presented above it takes </w:t>
      </w:r>
      <w:r w:rsidR="00326988" w:rsidRPr="00193F5B">
        <w:t>429 days to get access to electricity in Bangladesh as compared with 58 days in Indonesia, 100 days in Sri Lank</w:t>
      </w:r>
      <w:r w:rsidR="00326988">
        <w:t>a, 46 days in India and Vietnam, and the cost is 2861% of the per capita income (see Table 4 above), which is much higher than all competing countries</w:t>
      </w:r>
      <w:r w:rsidRPr="00BF1B56">
        <w:t xml:space="preserve">.  </w:t>
      </w:r>
    </w:p>
    <w:p w14:paraId="2EF99805" w14:textId="77777777" w:rsidR="002B55E8" w:rsidRDefault="002B55E8" w:rsidP="009F570C">
      <w:pPr>
        <w:spacing w:line="360" w:lineRule="auto"/>
        <w:rPr>
          <w:color w:val="632423" w:themeColor="accent2" w:themeShade="80"/>
        </w:rPr>
      </w:pPr>
    </w:p>
    <w:p w14:paraId="209E676C" w14:textId="18F0475A" w:rsidR="009B6A12" w:rsidRPr="001B13FB" w:rsidRDefault="00326988" w:rsidP="001B13FB">
      <w:pPr>
        <w:spacing w:line="276" w:lineRule="auto"/>
      </w:pPr>
      <w:r>
        <w:t>What is also</w:t>
      </w:r>
      <w:r w:rsidR="0031535B" w:rsidRPr="00BF1B56">
        <w:t xml:space="preserve"> worrisome is that while Bangladesh made some improvement in infrastructure quality in 2013</w:t>
      </w:r>
      <w:r w:rsidR="00F112F7" w:rsidRPr="00BF1B56">
        <w:t>-14</w:t>
      </w:r>
      <w:r>
        <w:t>, going up to 110</w:t>
      </w:r>
      <w:r w:rsidR="0031535B" w:rsidRPr="00BF1B56">
        <w:t xml:space="preserve"> from 130 in 2010</w:t>
      </w:r>
      <w:r w:rsidR="00F112F7" w:rsidRPr="00BF1B56">
        <w:t>-11</w:t>
      </w:r>
      <w:proofErr w:type="gramStart"/>
      <w:r>
        <w:t>;</w:t>
      </w:r>
      <w:proofErr w:type="gramEnd"/>
      <w:r>
        <w:t xml:space="preserve"> it, however, </w:t>
      </w:r>
      <w:r w:rsidR="0031535B" w:rsidRPr="00BF1B56">
        <w:t>reversed in 2016</w:t>
      </w:r>
      <w:r w:rsidR="00F112F7" w:rsidRPr="00BF1B56">
        <w:t>-17</w:t>
      </w:r>
      <w:r w:rsidR="0031535B" w:rsidRPr="00BF1B56">
        <w:t xml:space="preserve"> </w:t>
      </w:r>
      <w:r w:rsidR="002B55E8">
        <w:t>(Table 6</w:t>
      </w:r>
      <w:r w:rsidR="0031535B" w:rsidRPr="002B55E8">
        <w:t>).</w:t>
      </w:r>
      <w:r w:rsidR="0031535B" w:rsidRPr="00BF1B56">
        <w:t xml:space="preserve">  </w:t>
      </w:r>
      <w:r w:rsidR="009F570C" w:rsidRPr="00BF1B56">
        <w:t xml:space="preserve"> </w:t>
      </w:r>
      <w:r w:rsidR="00AB4F33" w:rsidRPr="00BF1B56">
        <w:t xml:space="preserve">Bangladesh has slightly come down in its ranking </w:t>
      </w:r>
      <w:r>
        <w:t xml:space="preserve">to </w:t>
      </w:r>
      <w:r w:rsidR="00AB4F33" w:rsidRPr="00BF1B56">
        <w:t xml:space="preserve">114.  </w:t>
      </w:r>
      <w:r w:rsidR="009F570C" w:rsidRPr="00BF1B56">
        <w:t>It is interesting</w:t>
      </w:r>
      <w:r w:rsidR="005414C6">
        <w:t xml:space="preserve"> to note that Pakistan, which had been</w:t>
      </w:r>
      <w:r w:rsidR="009F570C" w:rsidRPr="00BF1B56">
        <w:t xml:space="preserve"> way below Bangladesh in country competitiveness rankings (133 compared to 110 for Bangladesh)</w:t>
      </w:r>
      <w:r w:rsidR="005414C6">
        <w:t>,</w:t>
      </w:r>
      <w:r w:rsidR="00AB4F33" w:rsidRPr="00BF1B56">
        <w:t xml:space="preserve"> has a</w:t>
      </w:r>
      <w:r w:rsidR="005414C6">
        <w:t>lmost caught up with Bangladesh improving</w:t>
      </w:r>
      <w:r w:rsidR="00AB4F33" w:rsidRPr="00BF1B56">
        <w:t xml:space="preserve"> </w:t>
      </w:r>
      <w:r w:rsidRPr="00BF1B56">
        <w:t>it’s</w:t>
      </w:r>
      <w:r w:rsidR="00AB4F33" w:rsidRPr="00BF1B56">
        <w:t xml:space="preserve"> ranking to 116 in 2016</w:t>
      </w:r>
      <w:r w:rsidR="00F112F7" w:rsidRPr="00BF1B56">
        <w:t>-17</w:t>
      </w:r>
      <w:r w:rsidR="00AB4F33" w:rsidRPr="00BF1B56">
        <w:t xml:space="preserve">.   </w:t>
      </w:r>
    </w:p>
    <w:p w14:paraId="77F26A8E" w14:textId="77777777" w:rsidR="009B6A12" w:rsidRDefault="009B6A12" w:rsidP="00B60EAD">
      <w:pPr>
        <w:jc w:val="center"/>
        <w:rPr>
          <w:b/>
        </w:rPr>
      </w:pPr>
    </w:p>
    <w:p w14:paraId="4FF76CF5" w14:textId="37E86DA5" w:rsidR="00F112F7" w:rsidRPr="00B60EAD" w:rsidRDefault="002B55E8" w:rsidP="00B60EAD">
      <w:pPr>
        <w:jc w:val="center"/>
        <w:rPr>
          <w:b/>
        </w:rPr>
      </w:pPr>
      <w:r>
        <w:rPr>
          <w:b/>
        </w:rPr>
        <w:t>Table 6</w:t>
      </w:r>
      <w:r w:rsidR="00F112F7" w:rsidRPr="002B55E8">
        <w:rPr>
          <w:b/>
        </w:rPr>
        <w:t>:</w:t>
      </w:r>
      <w:r w:rsidR="00F112F7" w:rsidRPr="00BF1B56">
        <w:rPr>
          <w:b/>
        </w:rPr>
        <w:t xml:space="preserve"> GCI Infrastructure Ranking Comparison between the 2010-11 and 2016-17 for Bangladesh</w:t>
      </w:r>
    </w:p>
    <w:p w14:paraId="621BD4C9" w14:textId="77777777" w:rsidR="00F112F7" w:rsidRPr="00BF1B56" w:rsidRDefault="00F112F7" w:rsidP="00F112F7"/>
    <w:tbl>
      <w:tblPr>
        <w:tblStyle w:val="TableGrid"/>
        <w:tblW w:w="0" w:type="auto"/>
        <w:tblLook w:val="04A0" w:firstRow="1" w:lastRow="0" w:firstColumn="1" w:lastColumn="0" w:noHBand="0" w:noVBand="1"/>
      </w:tblPr>
      <w:tblGrid>
        <w:gridCol w:w="4563"/>
        <w:gridCol w:w="4563"/>
      </w:tblGrid>
      <w:tr w:rsidR="00F112F7" w:rsidRPr="00BF1B56" w14:paraId="4C623150" w14:textId="77777777" w:rsidTr="0029703F">
        <w:tc>
          <w:tcPr>
            <w:tcW w:w="4563" w:type="dxa"/>
          </w:tcPr>
          <w:p w14:paraId="60BEFE6E" w14:textId="77777777" w:rsidR="00F112F7" w:rsidRPr="00BF1B56" w:rsidRDefault="00F112F7" w:rsidP="00EE21DC">
            <w:pPr>
              <w:jc w:val="center"/>
              <w:rPr>
                <w:b/>
                <w:sz w:val="24"/>
                <w:szCs w:val="24"/>
              </w:rPr>
            </w:pPr>
            <w:r w:rsidRPr="00BF1B56">
              <w:rPr>
                <w:b/>
                <w:sz w:val="24"/>
                <w:szCs w:val="24"/>
              </w:rPr>
              <w:t xml:space="preserve">Year </w:t>
            </w:r>
          </w:p>
        </w:tc>
        <w:tc>
          <w:tcPr>
            <w:tcW w:w="4563" w:type="dxa"/>
          </w:tcPr>
          <w:p w14:paraId="1A33B2E1" w14:textId="77777777" w:rsidR="00F112F7" w:rsidRPr="00BF1B56" w:rsidRDefault="00F112F7" w:rsidP="00EE21DC">
            <w:pPr>
              <w:jc w:val="center"/>
              <w:rPr>
                <w:b/>
                <w:sz w:val="24"/>
                <w:szCs w:val="24"/>
              </w:rPr>
            </w:pPr>
            <w:r w:rsidRPr="00BF1B56">
              <w:rPr>
                <w:b/>
                <w:sz w:val="24"/>
                <w:szCs w:val="24"/>
              </w:rPr>
              <w:t>Global Country Ranking - Infrastructure</w:t>
            </w:r>
          </w:p>
        </w:tc>
      </w:tr>
      <w:tr w:rsidR="00F112F7" w:rsidRPr="00BF1B56" w14:paraId="59C919B6" w14:textId="77777777" w:rsidTr="00EE21DC">
        <w:tc>
          <w:tcPr>
            <w:tcW w:w="4563" w:type="dxa"/>
          </w:tcPr>
          <w:p w14:paraId="6E0AA027" w14:textId="77777777" w:rsidR="00F112F7" w:rsidRPr="00BF1B56" w:rsidRDefault="00F112F7" w:rsidP="00EE21DC">
            <w:pPr>
              <w:jc w:val="center"/>
              <w:rPr>
                <w:sz w:val="24"/>
                <w:szCs w:val="24"/>
              </w:rPr>
            </w:pPr>
            <w:r w:rsidRPr="00BF1B56">
              <w:rPr>
                <w:sz w:val="24"/>
                <w:szCs w:val="24"/>
              </w:rPr>
              <w:t>2016</w:t>
            </w:r>
          </w:p>
        </w:tc>
        <w:tc>
          <w:tcPr>
            <w:tcW w:w="4563" w:type="dxa"/>
          </w:tcPr>
          <w:p w14:paraId="28AEED0F" w14:textId="77777777" w:rsidR="00F112F7" w:rsidRPr="00BF1B56" w:rsidRDefault="00F112F7" w:rsidP="00EE21DC">
            <w:pPr>
              <w:jc w:val="center"/>
              <w:rPr>
                <w:sz w:val="24"/>
                <w:szCs w:val="24"/>
              </w:rPr>
            </w:pPr>
            <w:r w:rsidRPr="00BF1B56">
              <w:rPr>
                <w:sz w:val="24"/>
                <w:szCs w:val="24"/>
              </w:rPr>
              <w:t>114</w:t>
            </w:r>
          </w:p>
        </w:tc>
      </w:tr>
      <w:tr w:rsidR="00F112F7" w:rsidRPr="00BF1B56" w14:paraId="779C4489" w14:textId="77777777" w:rsidTr="00EE21DC">
        <w:tc>
          <w:tcPr>
            <w:tcW w:w="4563" w:type="dxa"/>
          </w:tcPr>
          <w:p w14:paraId="12EC3CFA" w14:textId="77777777" w:rsidR="00F112F7" w:rsidRPr="00BF1B56" w:rsidRDefault="00F112F7" w:rsidP="00EE21DC">
            <w:pPr>
              <w:jc w:val="center"/>
              <w:rPr>
                <w:sz w:val="24"/>
                <w:szCs w:val="24"/>
              </w:rPr>
            </w:pPr>
            <w:r w:rsidRPr="00BF1B56">
              <w:rPr>
                <w:sz w:val="24"/>
                <w:szCs w:val="24"/>
              </w:rPr>
              <w:t>2013</w:t>
            </w:r>
          </w:p>
        </w:tc>
        <w:tc>
          <w:tcPr>
            <w:tcW w:w="4563" w:type="dxa"/>
          </w:tcPr>
          <w:p w14:paraId="0BEBFED7" w14:textId="77777777" w:rsidR="00F112F7" w:rsidRPr="00BF1B56" w:rsidRDefault="00F112F7" w:rsidP="00EE21DC">
            <w:pPr>
              <w:jc w:val="center"/>
              <w:rPr>
                <w:sz w:val="24"/>
                <w:szCs w:val="24"/>
              </w:rPr>
            </w:pPr>
            <w:r w:rsidRPr="00BF1B56">
              <w:rPr>
                <w:sz w:val="24"/>
                <w:szCs w:val="24"/>
              </w:rPr>
              <w:t>110</w:t>
            </w:r>
          </w:p>
        </w:tc>
      </w:tr>
      <w:tr w:rsidR="00F112F7" w:rsidRPr="00BF1B56" w14:paraId="4F33BEAE" w14:textId="77777777" w:rsidTr="00EE21DC">
        <w:tc>
          <w:tcPr>
            <w:tcW w:w="4563" w:type="dxa"/>
          </w:tcPr>
          <w:p w14:paraId="40FE3215" w14:textId="77777777" w:rsidR="00F112F7" w:rsidRPr="00BF1B56" w:rsidRDefault="00F112F7" w:rsidP="00EE21DC">
            <w:pPr>
              <w:jc w:val="center"/>
              <w:rPr>
                <w:sz w:val="24"/>
                <w:szCs w:val="24"/>
              </w:rPr>
            </w:pPr>
            <w:r w:rsidRPr="00BF1B56">
              <w:rPr>
                <w:sz w:val="24"/>
                <w:szCs w:val="24"/>
              </w:rPr>
              <w:t>2010</w:t>
            </w:r>
          </w:p>
        </w:tc>
        <w:tc>
          <w:tcPr>
            <w:tcW w:w="4563" w:type="dxa"/>
          </w:tcPr>
          <w:p w14:paraId="72D42246" w14:textId="77777777" w:rsidR="00F112F7" w:rsidRPr="00BF1B56" w:rsidRDefault="00F112F7" w:rsidP="00EE21DC">
            <w:pPr>
              <w:jc w:val="center"/>
              <w:rPr>
                <w:sz w:val="24"/>
                <w:szCs w:val="24"/>
              </w:rPr>
            </w:pPr>
            <w:r w:rsidRPr="00BF1B56">
              <w:rPr>
                <w:sz w:val="24"/>
                <w:szCs w:val="24"/>
              </w:rPr>
              <w:t>130</w:t>
            </w:r>
          </w:p>
        </w:tc>
      </w:tr>
    </w:tbl>
    <w:p w14:paraId="66077738" w14:textId="455345EC" w:rsidR="00F112F7" w:rsidRPr="00BF1B56" w:rsidRDefault="00F112F7" w:rsidP="00F112F7">
      <w:pPr>
        <w:rPr>
          <w:sz w:val="20"/>
          <w:szCs w:val="20"/>
        </w:rPr>
      </w:pPr>
      <w:r w:rsidRPr="00BF1B56">
        <w:rPr>
          <w:sz w:val="20"/>
          <w:szCs w:val="20"/>
        </w:rPr>
        <w:t>Source:  World Economic Forum, the Global Competitiveness Reports</w:t>
      </w:r>
    </w:p>
    <w:p w14:paraId="42E92CAA" w14:textId="77777777" w:rsidR="001906DB" w:rsidRDefault="001906DB" w:rsidP="00BF1B56">
      <w:pPr>
        <w:spacing w:line="276" w:lineRule="auto"/>
      </w:pPr>
    </w:p>
    <w:p w14:paraId="685D22E9" w14:textId="376B825C" w:rsidR="009F570C" w:rsidRPr="00BF1B56" w:rsidRDefault="000D17B7" w:rsidP="00BF1B56">
      <w:pPr>
        <w:spacing w:line="276" w:lineRule="auto"/>
      </w:pPr>
      <w:r w:rsidRPr="00BF1B56">
        <w:t xml:space="preserve">As Bangladesh embarks </w:t>
      </w:r>
      <w:r w:rsidR="002B55E8">
        <w:t xml:space="preserve">its goal to be a HIC around 2041, it must ensure adequate </w:t>
      </w:r>
      <w:r w:rsidRPr="00BF1B56">
        <w:t>supp</w:t>
      </w:r>
      <w:r w:rsidR="002B55E8">
        <w:t>ly of good quality</w:t>
      </w:r>
      <w:r w:rsidR="001906DB">
        <w:t xml:space="preserve"> </w:t>
      </w:r>
      <w:r w:rsidR="002B55E8">
        <w:t>infrastructure</w:t>
      </w:r>
      <w:r w:rsidR="00326988">
        <w:t xml:space="preserve">, including </w:t>
      </w:r>
      <w:r w:rsidR="005414C6">
        <w:t xml:space="preserve">supply </w:t>
      </w:r>
      <w:r w:rsidR="00326988">
        <w:t>lower cost quality electricity</w:t>
      </w:r>
      <w:r w:rsidR="002B55E8">
        <w:t>.</w:t>
      </w:r>
      <w:r w:rsidR="005414C6">
        <w:t xml:space="preserve">  This will require higher levels of private investments. </w:t>
      </w:r>
      <w:r w:rsidR="002B55E8">
        <w:t xml:space="preserve"> </w:t>
      </w:r>
      <w:r w:rsidR="005414C6">
        <w:t xml:space="preserve">Bangladesh Investment Development Authority (BIDA) needs to work with the concerned infrastructure related Ministries, Regulators, and Agencies to facilitate necessary investments and also bring in regulatory and procedural changes to reduce costs, particularly getting access to quality electricity. </w:t>
      </w:r>
      <w:r w:rsidR="002B55E8">
        <w:t>T</w:t>
      </w:r>
      <w:r w:rsidRPr="00BF1B56">
        <w:t>argets should be set by BIDA just as in the case of DB indices so that Bangladesh can be wit</w:t>
      </w:r>
      <w:r w:rsidR="002B55E8">
        <w:t>hin the top 30 countries by 2041</w:t>
      </w:r>
      <w:r w:rsidR="009F570C" w:rsidRPr="00BF1B56">
        <w:t xml:space="preserve">.  So Bangladesh needs to bring more focus in efficient implementation of </w:t>
      </w:r>
      <w:r w:rsidRPr="00BF1B56">
        <w:t xml:space="preserve">infrastructure investments, both public and PPP, </w:t>
      </w:r>
      <w:r w:rsidR="009F570C" w:rsidRPr="00BF1B56">
        <w:t>along with necessary institutional changes relating to implementation, regulation, and policy formulation.</w:t>
      </w:r>
    </w:p>
    <w:p w14:paraId="58114093" w14:textId="77777777" w:rsidR="009F570C" w:rsidRPr="00BF1B56" w:rsidRDefault="009F570C" w:rsidP="00BF1B56">
      <w:pPr>
        <w:spacing w:line="276" w:lineRule="auto"/>
      </w:pPr>
    </w:p>
    <w:p w14:paraId="02AA55CE" w14:textId="47222EC1" w:rsidR="00753910" w:rsidRPr="00753910" w:rsidRDefault="009B6A12" w:rsidP="002B55E8">
      <w:pPr>
        <w:spacing w:line="276" w:lineRule="auto"/>
        <w:rPr>
          <w:b/>
        </w:rPr>
      </w:pPr>
      <w:r>
        <w:rPr>
          <w:b/>
        </w:rPr>
        <w:t>3</w:t>
      </w:r>
      <w:r w:rsidR="00883845">
        <w:rPr>
          <w:b/>
        </w:rPr>
        <w:t>.6</w:t>
      </w:r>
      <w:r w:rsidR="00753910">
        <w:rPr>
          <w:b/>
        </w:rPr>
        <w:t xml:space="preserve"> </w:t>
      </w:r>
      <w:r w:rsidR="00EB6896" w:rsidRPr="00753910">
        <w:rPr>
          <w:b/>
        </w:rPr>
        <w:t>The Logistic Challenge</w:t>
      </w:r>
      <w:r w:rsidR="007A29B5" w:rsidRPr="00753910">
        <w:rPr>
          <w:b/>
        </w:rPr>
        <w:t>s – Customs, Ports related processes and infrastructure</w:t>
      </w:r>
      <w:r w:rsidR="00C16FD6" w:rsidRPr="00753910">
        <w:rPr>
          <w:b/>
        </w:rPr>
        <w:t xml:space="preserve"> – Improvement will definitely improve Doing Business and GCI indicators. </w:t>
      </w:r>
    </w:p>
    <w:p w14:paraId="40A05BF8" w14:textId="77777777" w:rsidR="00753910" w:rsidRPr="00753910" w:rsidRDefault="00753910" w:rsidP="002B55E8">
      <w:pPr>
        <w:spacing w:line="276" w:lineRule="auto"/>
        <w:rPr>
          <w:b/>
        </w:rPr>
      </w:pPr>
    </w:p>
    <w:p w14:paraId="59745635" w14:textId="56090544" w:rsidR="001B7C64" w:rsidRPr="007C5B16" w:rsidRDefault="001906DB" w:rsidP="007C5B16">
      <w:pPr>
        <w:spacing w:line="276" w:lineRule="auto"/>
      </w:pPr>
      <w:r w:rsidRPr="001906DB">
        <w:rPr>
          <w:i/>
        </w:rPr>
        <w:t>The export led manufacturing growth will require seamless trade facilitation, for which there has quality trade logistics and adequate investments and procedural and regulatory changes to make necessary improvements in this critical area.</w:t>
      </w:r>
      <w:r>
        <w:t xml:space="preserve">  </w:t>
      </w:r>
      <w:r w:rsidR="005414C6">
        <w:t>It is evident from Table 7</w:t>
      </w:r>
      <w:r w:rsidR="007A29B5" w:rsidRPr="00BF1B56">
        <w:t xml:space="preserve"> below that </w:t>
      </w:r>
      <w:r w:rsidRPr="00BF1B56">
        <w:t>Bangladesh has</w:t>
      </w:r>
      <w:r w:rsidR="007A29B5" w:rsidRPr="00BF1B56">
        <w:t xml:space="preserve"> </w:t>
      </w:r>
      <w:proofErr w:type="gramStart"/>
      <w:r w:rsidR="007A29B5" w:rsidRPr="00BF1B56">
        <w:t>a</w:t>
      </w:r>
      <w:proofErr w:type="gramEnd"/>
      <w:r w:rsidR="007A29B5" w:rsidRPr="00BF1B56">
        <w:t xml:space="preserve"> overall low ranking (87) as per 2016-17 LPI published by World bank.  It is to be noted that the worrisome factor even among the mixed group of countries presented below, Bangladesh is way behind particularly from competing countries like Vietnam, India, and Indonesia.  Bangladesh needs to target reaching levels of India and Malaysia in the next 05 years and attain levels of that </w:t>
      </w:r>
      <w:r w:rsidR="007C2215" w:rsidRPr="00BF1B56">
        <w:t xml:space="preserve">of South Korea or </w:t>
      </w:r>
      <w:r w:rsidR="005414C6" w:rsidRPr="00BF1B56">
        <w:t>China in</w:t>
      </w:r>
      <w:r w:rsidR="007C2215" w:rsidRPr="00BF1B56">
        <w:t xml:space="preserve"> 10 years from now.  Since Bangladesh will pursue an export led growth strategy with manufacturing being the dominant sector, it will be most important overcome all the trade logistics related hurdles early on.</w:t>
      </w:r>
    </w:p>
    <w:p w14:paraId="3295CCCF" w14:textId="77777777" w:rsidR="00883845" w:rsidRDefault="00883845" w:rsidP="00F27BC7">
      <w:pPr>
        <w:rPr>
          <w:b/>
        </w:rPr>
      </w:pPr>
    </w:p>
    <w:p w14:paraId="54EE13BF" w14:textId="77777777" w:rsidR="001B13FB" w:rsidRDefault="001B13FB" w:rsidP="00F112F7">
      <w:pPr>
        <w:jc w:val="center"/>
        <w:rPr>
          <w:b/>
        </w:rPr>
      </w:pPr>
    </w:p>
    <w:p w14:paraId="4C786E3D" w14:textId="77777777" w:rsidR="001B13FB" w:rsidRDefault="001B13FB" w:rsidP="00F112F7">
      <w:pPr>
        <w:jc w:val="center"/>
        <w:rPr>
          <w:b/>
        </w:rPr>
      </w:pPr>
    </w:p>
    <w:p w14:paraId="4329EA8F" w14:textId="77777777" w:rsidR="001B13FB" w:rsidRDefault="001B13FB" w:rsidP="00F112F7">
      <w:pPr>
        <w:jc w:val="center"/>
        <w:rPr>
          <w:b/>
        </w:rPr>
      </w:pPr>
    </w:p>
    <w:p w14:paraId="246A59CC" w14:textId="4C097D99" w:rsidR="00F112F7" w:rsidRDefault="005414C6" w:rsidP="00F112F7">
      <w:pPr>
        <w:jc w:val="center"/>
        <w:rPr>
          <w:b/>
        </w:rPr>
      </w:pPr>
      <w:r>
        <w:rPr>
          <w:b/>
        </w:rPr>
        <w:t xml:space="preserve">Table 7:  </w:t>
      </w:r>
      <w:r w:rsidR="00F112F7" w:rsidRPr="00DA14F2">
        <w:rPr>
          <w:b/>
        </w:rPr>
        <w:t>Logistics Performance Index (LPI) 2016</w:t>
      </w:r>
      <w:r w:rsidR="00F112F7">
        <w:rPr>
          <w:b/>
        </w:rPr>
        <w:t>-17</w:t>
      </w:r>
    </w:p>
    <w:p w14:paraId="07F1F7C4" w14:textId="77777777" w:rsidR="00BF1B56" w:rsidRPr="00DA14F2" w:rsidRDefault="00BF1B56" w:rsidP="00F112F7">
      <w:pPr>
        <w:jc w:val="center"/>
        <w:rPr>
          <w:b/>
        </w:rPr>
      </w:pPr>
    </w:p>
    <w:tbl>
      <w:tblPr>
        <w:tblW w:w="5000" w:type="pct"/>
        <w:tblLook w:val="04A0" w:firstRow="1" w:lastRow="0" w:firstColumn="1" w:lastColumn="0" w:noHBand="0" w:noVBand="1"/>
      </w:tblPr>
      <w:tblGrid>
        <w:gridCol w:w="1308"/>
        <w:gridCol w:w="717"/>
        <w:gridCol w:w="650"/>
        <w:gridCol w:w="893"/>
        <w:gridCol w:w="1334"/>
        <w:gridCol w:w="1260"/>
        <w:gridCol w:w="1145"/>
        <w:gridCol w:w="944"/>
        <w:gridCol w:w="1055"/>
      </w:tblGrid>
      <w:tr w:rsidR="00F112F7" w:rsidRPr="00647951" w14:paraId="1784F2D4" w14:textId="77777777" w:rsidTr="00EE21DC">
        <w:trPr>
          <w:trHeight w:val="510"/>
        </w:trPr>
        <w:tc>
          <w:tcPr>
            <w:tcW w:w="703"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F03B6C3" w14:textId="77777777" w:rsidR="00F112F7" w:rsidRPr="0071454C" w:rsidRDefault="00F112F7" w:rsidP="00EE21DC">
            <w:pPr>
              <w:rPr>
                <w:b/>
                <w:bCs/>
                <w:color w:val="000000"/>
                <w:sz w:val="18"/>
                <w:szCs w:val="18"/>
              </w:rPr>
            </w:pPr>
            <w:r w:rsidRPr="0071454C">
              <w:rPr>
                <w:b/>
                <w:bCs/>
                <w:color w:val="000000"/>
                <w:sz w:val="18"/>
                <w:szCs w:val="18"/>
              </w:rPr>
              <w:t>Country</w:t>
            </w:r>
          </w:p>
        </w:tc>
        <w:tc>
          <w:tcPr>
            <w:tcW w:w="385" w:type="pct"/>
            <w:tcBorders>
              <w:top w:val="single" w:sz="4" w:space="0" w:color="auto"/>
              <w:left w:val="nil"/>
              <w:bottom w:val="single" w:sz="4" w:space="0" w:color="auto"/>
              <w:right w:val="single" w:sz="4" w:space="0" w:color="auto"/>
            </w:tcBorders>
            <w:shd w:val="clear" w:color="auto" w:fill="auto"/>
            <w:vAlign w:val="bottom"/>
            <w:hideMark/>
          </w:tcPr>
          <w:p w14:paraId="6C870D89" w14:textId="77777777" w:rsidR="00F112F7" w:rsidRPr="0071454C" w:rsidRDefault="00F112F7" w:rsidP="00EE21DC">
            <w:pPr>
              <w:jc w:val="center"/>
              <w:rPr>
                <w:b/>
                <w:bCs/>
                <w:color w:val="000000"/>
                <w:sz w:val="18"/>
                <w:szCs w:val="18"/>
              </w:rPr>
            </w:pPr>
            <w:r w:rsidRPr="0071454C">
              <w:rPr>
                <w:b/>
                <w:bCs/>
                <w:color w:val="000000"/>
                <w:sz w:val="18"/>
                <w:szCs w:val="18"/>
              </w:rPr>
              <w:t>LPI Rank</w:t>
            </w:r>
          </w:p>
        </w:tc>
        <w:tc>
          <w:tcPr>
            <w:tcW w:w="349" w:type="pct"/>
            <w:tcBorders>
              <w:top w:val="single" w:sz="4" w:space="0" w:color="auto"/>
              <w:left w:val="nil"/>
              <w:bottom w:val="single" w:sz="4" w:space="0" w:color="auto"/>
              <w:right w:val="single" w:sz="4" w:space="0" w:color="auto"/>
            </w:tcBorders>
            <w:shd w:val="clear" w:color="auto" w:fill="auto"/>
            <w:vAlign w:val="bottom"/>
            <w:hideMark/>
          </w:tcPr>
          <w:p w14:paraId="141F318A" w14:textId="77777777" w:rsidR="00F112F7" w:rsidRPr="0071454C" w:rsidRDefault="00F112F7" w:rsidP="00EE21DC">
            <w:pPr>
              <w:jc w:val="center"/>
              <w:rPr>
                <w:b/>
                <w:bCs/>
                <w:color w:val="000000"/>
                <w:sz w:val="18"/>
                <w:szCs w:val="18"/>
              </w:rPr>
            </w:pPr>
            <w:r w:rsidRPr="0071454C">
              <w:rPr>
                <w:b/>
                <w:bCs/>
                <w:color w:val="000000"/>
                <w:sz w:val="18"/>
                <w:szCs w:val="18"/>
              </w:rPr>
              <w:t>LPI Score</w:t>
            </w:r>
          </w:p>
        </w:tc>
        <w:tc>
          <w:tcPr>
            <w:tcW w:w="480" w:type="pct"/>
            <w:tcBorders>
              <w:top w:val="single" w:sz="4" w:space="0" w:color="auto"/>
              <w:left w:val="nil"/>
              <w:bottom w:val="single" w:sz="4" w:space="0" w:color="auto"/>
              <w:right w:val="single" w:sz="4" w:space="0" w:color="auto"/>
            </w:tcBorders>
            <w:shd w:val="clear" w:color="auto" w:fill="auto"/>
            <w:vAlign w:val="bottom"/>
            <w:hideMark/>
          </w:tcPr>
          <w:p w14:paraId="0BBC3CD9" w14:textId="77777777" w:rsidR="00F112F7" w:rsidRPr="0071454C" w:rsidRDefault="00F112F7" w:rsidP="00EE21DC">
            <w:pPr>
              <w:jc w:val="center"/>
              <w:rPr>
                <w:b/>
                <w:bCs/>
                <w:color w:val="000000"/>
                <w:sz w:val="18"/>
                <w:szCs w:val="18"/>
              </w:rPr>
            </w:pPr>
            <w:r w:rsidRPr="0071454C">
              <w:rPr>
                <w:b/>
                <w:bCs/>
                <w:color w:val="000000"/>
                <w:sz w:val="18"/>
                <w:szCs w:val="18"/>
              </w:rPr>
              <w:t>Customs</w:t>
            </w:r>
          </w:p>
        </w:tc>
        <w:tc>
          <w:tcPr>
            <w:tcW w:w="717" w:type="pct"/>
            <w:tcBorders>
              <w:top w:val="single" w:sz="4" w:space="0" w:color="auto"/>
              <w:left w:val="nil"/>
              <w:bottom w:val="single" w:sz="4" w:space="0" w:color="auto"/>
              <w:right w:val="nil"/>
            </w:tcBorders>
            <w:shd w:val="clear" w:color="auto" w:fill="auto"/>
            <w:vAlign w:val="bottom"/>
            <w:hideMark/>
          </w:tcPr>
          <w:p w14:paraId="4F770FC5" w14:textId="77777777" w:rsidR="00F112F7" w:rsidRPr="0071454C" w:rsidRDefault="00F112F7" w:rsidP="00EE21DC">
            <w:pPr>
              <w:jc w:val="center"/>
              <w:rPr>
                <w:b/>
                <w:bCs/>
                <w:color w:val="000000"/>
                <w:sz w:val="18"/>
                <w:szCs w:val="18"/>
              </w:rPr>
            </w:pPr>
            <w:r w:rsidRPr="0071454C">
              <w:rPr>
                <w:b/>
                <w:bCs/>
                <w:color w:val="000000"/>
                <w:sz w:val="18"/>
                <w:szCs w:val="18"/>
              </w:rPr>
              <w:t>Infrastructure</w:t>
            </w:r>
          </w:p>
        </w:tc>
        <w:tc>
          <w:tcPr>
            <w:tcW w:w="67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A4E896" w14:textId="77777777" w:rsidR="00F112F7" w:rsidRPr="0071454C" w:rsidRDefault="00F112F7" w:rsidP="00EE21DC">
            <w:pPr>
              <w:jc w:val="center"/>
              <w:rPr>
                <w:b/>
                <w:bCs/>
                <w:color w:val="000000"/>
                <w:sz w:val="18"/>
                <w:szCs w:val="18"/>
              </w:rPr>
            </w:pPr>
            <w:r w:rsidRPr="0071454C">
              <w:rPr>
                <w:b/>
                <w:bCs/>
                <w:color w:val="000000"/>
                <w:sz w:val="18"/>
                <w:szCs w:val="18"/>
              </w:rPr>
              <w:t>International shipments</w:t>
            </w:r>
          </w:p>
        </w:tc>
        <w:tc>
          <w:tcPr>
            <w:tcW w:w="615" w:type="pct"/>
            <w:tcBorders>
              <w:top w:val="single" w:sz="4" w:space="0" w:color="auto"/>
              <w:left w:val="nil"/>
              <w:bottom w:val="single" w:sz="4" w:space="0" w:color="auto"/>
              <w:right w:val="nil"/>
            </w:tcBorders>
            <w:shd w:val="clear" w:color="auto" w:fill="auto"/>
            <w:vAlign w:val="bottom"/>
            <w:hideMark/>
          </w:tcPr>
          <w:p w14:paraId="427B8B2C" w14:textId="77777777" w:rsidR="00F112F7" w:rsidRPr="0071454C" w:rsidRDefault="00F112F7" w:rsidP="00EE21DC">
            <w:pPr>
              <w:jc w:val="center"/>
              <w:rPr>
                <w:b/>
                <w:bCs/>
                <w:color w:val="000000"/>
                <w:sz w:val="18"/>
                <w:szCs w:val="18"/>
              </w:rPr>
            </w:pPr>
            <w:r w:rsidRPr="0071454C">
              <w:rPr>
                <w:b/>
                <w:bCs/>
                <w:color w:val="000000"/>
                <w:sz w:val="18"/>
                <w:szCs w:val="18"/>
              </w:rPr>
              <w:t>Logistics competence</w:t>
            </w:r>
          </w:p>
        </w:tc>
        <w:tc>
          <w:tcPr>
            <w:tcW w:w="50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896F82B" w14:textId="77777777" w:rsidR="00F112F7" w:rsidRPr="0071454C" w:rsidRDefault="00F112F7" w:rsidP="00EE21DC">
            <w:pPr>
              <w:jc w:val="center"/>
              <w:rPr>
                <w:b/>
                <w:bCs/>
                <w:color w:val="000000"/>
                <w:sz w:val="18"/>
                <w:szCs w:val="18"/>
              </w:rPr>
            </w:pPr>
            <w:r w:rsidRPr="0071454C">
              <w:rPr>
                <w:b/>
                <w:bCs/>
                <w:color w:val="000000"/>
                <w:sz w:val="18"/>
                <w:szCs w:val="18"/>
              </w:rPr>
              <w:t>Tracking and Tracing</w:t>
            </w:r>
          </w:p>
        </w:tc>
        <w:tc>
          <w:tcPr>
            <w:tcW w:w="567" w:type="pct"/>
            <w:tcBorders>
              <w:top w:val="single" w:sz="4" w:space="0" w:color="auto"/>
              <w:left w:val="nil"/>
              <w:bottom w:val="single" w:sz="4" w:space="0" w:color="auto"/>
              <w:right w:val="single" w:sz="4" w:space="0" w:color="auto"/>
            </w:tcBorders>
            <w:shd w:val="clear" w:color="auto" w:fill="auto"/>
            <w:vAlign w:val="bottom"/>
            <w:hideMark/>
          </w:tcPr>
          <w:p w14:paraId="72BB53A6" w14:textId="77777777" w:rsidR="00F112F7" w:rsidRPr="0071454C" w:rsidRDefault="00F112F7" w:rsidP="00EE21DC">
            <w:pPr>
              <w:jc w:val="center"/>
              <w:rPr>
                <w:b/>
                <w:bCs/>
                <w:color w:val="000000"/>
                <w:sz w:val="18"/>
                <w:szCs w:val="18"/>
              </w:rPr>
            </w:pPr>
            <w:r w:rsidRPr="0071454C">
              <w:rPr>
                <w:b/>
                <w:bCs/>
                <w:color w:val="000000"/>
                <w:sz w:val="18"/>
                <w:szCs w:val="18"/>
              </w:rPr>
              <w:t>Timeliness</w:t>
            </w:r>
          </w:p>
        </w:tc>
      </w:tr>
      <w:tr w:rsidR="00F112F7" w:rsidRPr="00647951" w14:paraId="0C039BF1" w14:textId="77777777" w:rsidTr="00EE21DC">
        <w:trPr>
          <w:trHeight w:val="255"/>
        </w:trPr>
        <w:tc>
          <w:tcPr>
            <w:tcW w:w="703" w:type="pct"/>
            <w:tcBorders>
              <w:top w:val="nil"/>
              <w:left w:val="single" w:sz="4" w:space="0" w:color="auto"/>
              <w:bottom w:val="nil"/>
              <w:right w:val="single" w:sz="4" w:space="0" w:color="auto"/>
            </w:tcBorders>
            <w:shd w:val="clear" w:color="auto" w:fill="auto"/>
            <w:vAlign w:val="bottom"/>
            <w:hideMark/>
          </w:tcPr>
          <w:p w14:paraId="62647BAA" w14:textId="77777777" w:rsidR="00F112F7" w:rsidRPr="0071454C" w:rsidRDefault="00F112F7" w:rsidP="00EE21DC">
            <w:pPr>
              <w:rPr>
                <w:b/>
                <w:bCs/>
                <w:color w:val="000000"/>
                <w:sz w:val="18"/>
                <w:szCs w:val="18"/>
              </w:rPr>
            </w:pPr>
            <w:r w:rsidRPr="0071454C">
              <w:rPr>
                <w:b/>
                <w:bCs/>
                <w:color w:val="000000"/>
                <w:sz w:val="18"/>
                <w:szCs w:val="18"/>
              </w:rPr>
              <w:t>Bangladesh</w:t>
            </w:r>
          </w:p>
        </w:tc>
        <w:tc>
          <w:tcPr>
            <w:tcW w:w="385" w:type="pct"/>
            <w:tcBorders>
              <w:top w:val="nil"/>
              <w:left w:val="nil"/>
              <w:bottom w:val="nil"/>
              <w:right w:val="single" w:sz="4" w:space="0" w:color="auto"/>
            </w:tcBorders>
            <w:shd w:val="clear" w:color="auto" w:fill="auto"/>
            <w:vAlign w:val="bottom"/>
            <w:hideMark/>
          </w:tcPr>
          <w:p w14:paraId="43E921FE" w14:textId="77777777" w:rsidR="00F112F7" w:rsidRPr="0071454C" w:rsidRDefault="00F112F7" w:rsidP="00EE21DC">
            <w:pPr>
              <w:jc w:val="center"/>
              <w:rPr>
                <w:color w:val="000000"/>
                <w:sz w:val="18"/>
                <w:szCs w:val="18"/>
              </w:rPr>
            </w:pPr>
            <w:r w:rsidRPr="0071454C">
              <w:rPr>
                <w:color w:val="000000"/>
                <w:sz w:val="18"/>
                <w:szCs w:val="18"/>
              </w:rPr>
              <w:t>87</w:t>
            </w:r>
          </w:p>
        </w:tc>
        <w:tc>
          <w:tcPr>
            <w:tcW w:w="349" w:type="pct"/>
            <w:tcBorders>
              <w:top w:val="nil"/>
              <w:left w:val="nil"/>
              <w:bottom w:val="nil"/>
              <w:right w:val="single" w:sz="4" w:space="0" w:color="auto"/>
            </w:tcBorders>
            <w:shd w:val="clear" w:color="auto" w:fill="auto"/>
            <w:vAlign w:val="bottom"/>
            <w:hideMark/>
          </w:tcPr>
          <w:p w14:paraId="61C9E311" w14:textId="77777777" w:rsidR="00F112F7" w:rsidRPr="0071454C" w:rsidRDefault="00F112F7" w:rsidP="00EE21DC">
            <w:pPr>
              <w:jc w:val="center"/>
              <w:rPr>
                <w:color w:val="000000"/>
                <w:sz w:val="18"/>
                <w:szCs w:val="18"/>
              </w:rPr>
            </w:pPr>
            <w:r w:rsidRPr="0071454C">
              <w:rPr>
                <w:color w:val="000000"/>
                <w:sz w:val="18"/>
                <w:szCs w:val="18"/>
              </w:rPr>
              <w:t>2.66</w:t>
            </w:r>
          </w:p>
        </w:tc>
        <w:tc>
          <w:tcPr>
            <w:tcW w:w="480" w:type="pct"/>
            <w:tcBorders>
              <w:top w:val="nil"/>
              <w:left w:val="nil"/>
              <w:bottom w:val="nil"/>
              <w:right w:val="single" w:sz="4" w:space="0" w:color="auto"/>
            </w:tcBorders>
            <w:shd w:val="clear" w:color="auto" w:fill="auto"/>
            <w:vAlign w:val="bottom"/>
            <w:hideMark/>
          </w:tcPr>
          <w:p w14:paraId="1918DC31" w14:textId="77777777" w:rsidR="00F112F7" w:rsidRPr="0071454C" w:rsidRDefault="00F112F7" w:rsidP="00EE21DC">
            <w:pPr>
              <w:jc w:val="center"/>
              <w:rPr>
                <w:color w:val="000000"/>
                <w:sz w:val="18"/>
                <w:szCs w:val="18"/>
              </w:rPr>
            </w:pPr>
            <w:r w:rsidRPr="0071454C">
              <w:rPr>
                <w:color w:val="000000"/>
                <w:sz w:val="18"/>
                <w:szCs w:val="18"/>
              </w:rPr>
              <w:t>2.57</w:t>
            </w:r>
          </w:p>
        </w:tc>
        <w:tc>
          <w:tcPr>
            <w:tcW w:w="717" w:type="pct"/>
            <w:tcBorders>
              <w:top w:val="nil"/>
              <w:left w:val="nil"/>
              <w:bottom w:val="nil"/>
              <w:right w:val="nil"/>
            </w:tcBorders>
            <w:shd w:val="clear" w:color="auto" w:fill="auto"/>
            <w:vAlign w:val="bottom"/>
            <w:hideMark/>
          </w:tcPr>
          <w:p w14:paraId="69C4158C" w14:textId="77777777" w:rsidR="00F112F7" w:rsidRPr="0071454C" w:rsidRDefault="00F112F7" w:rsidP="00EE21DC">
            <w:pPr>
              <w:jc w:val="center"/>
              <w:rPr>
                <w:color w:val="000000"/>
                <w:sz w:val="18"/>
                <w:szCs w:val="18"/>
              </w:rPr>
            </w:pPr>
            <w:r w:rsidRPr="0071454C">
              <w:rPr>
                <w:color w:val="000000"/>
                <w:sz w:val="18"/>
                <w:szCs w:val="18"/>
              </w:rPr>
              <w:t>2.48</w:t>
            </w:r>
          </w:p>
        </w:tc>
        <w:tc>
          <w:tcPr>
            <w:tcW w:w="677" w:type="pct"/>
            <w:tcBorders>
              <w:top w:val="nil"/>
              <w:left w:val="single" w:sz="4" w:space="0" w:color="auto"/>
              <w:bottom w:val="nil"/>
              <w:right w:val="single" w:sz="4" w:space="0" w:color="auto"/>
            </w:tcBorders>
            <w:shd w:val="clear" w:color="auto" w:fill="auto"/>
            <w:vAlign w:val="bottom"/>
            <w:hideMark/>
          </w:tcPr>
          <w:p w14:paraId="227B7C38" w14:textId="77777777" w:rsidR="00F112F7" w:rsidRPr="0071454C" w:rsidRDefault="00F112F7" w:rsidP="00EE21DC">
            <w:pPr>
              <w:jc w:val="center"/>
              <w:rPr>
                <w:color w:val="000000"/>
                <w:sz w:val="18"/>
                <w:szCs w:val="18"/>
              </w:rPr>
            </w:pPr>
            <w:r w:rsidRPr="0071454C">
              <w:rPr>
                <w:color w:val="000000"/>
                <w:sz w:val="18"/>
                <w:szCs w:val="18"/>
              </w:rPr>
              <w:t>2.73</w:t>
            </w:r>
          </w:p>
        </w:tc>
        <w:tc>
          <w:tcPr>
            <w:tcW w:w="615" w:type="pct"/>
            <w:tcBorders>
              <w:top w:val="nil"/>
              <w:left w:val="nil"/>
              <w:bottom w:val="nil"/>
              <w:right w:val="nil"/>
            </w:tcBorders>
            <w:shd w:val="clear" w:color="auto" w:fill="auto"/>
            <w:vAlign w:val="bottom"/>
            <w:hideMark/>
          </w:tcPr>
          <w:p w14:paraId="76593A72" w14:textId="77777777" w:rsidR="00F112F7" w:rsidRPr="0071454C" w:rsidRDefault="00F112F7" w:rsidP="00EE21DC">
            <w:pPr>
              <w:jc w:val="center"/>
              <w:rPr>
                <w:color w:val="000000"/>
                <w:sz w:val="18"/>
                <w:szCs w:val="18"/>
              </w:rPr>
            </w:pPr>
            <w:r w:rsidRPr="0071454C">
              <w:rPr>
                <w:color w:val="000000"/>
                <w:sz w:val="18"/>
                <w:szCs w:val="18"/>
              </w:rPr>
              <w:t>2.67</w:t>
            </w:r>
          </w:p>
        </w:tc>
        <w:tc>
          <w:tcPr>
            <w:tcW w:w="507" w:type="pct"/>
            <w:tcBorders>
              <w:top w:val="nil"/>
              <w:left w:val="single" w:sz="4" w:space="0" w:color="auto"/>
              <w:bottom w:val="nil"/>
              <w:right w:val="single" w:sz="4" w:space="0" w:color="auto"/>
            </w:tcBorders>
            <w:shd w:val="clear" w:color="auto" w:fill="auto"/>
            <w:vAlign w:val="bottom"/>
            <w:hideMark/>
          </w:tcPr>
          <w:p w14:paraId="582419E7" w14:textId="77777777" w:rsidR="00F112F7" w:rsidRPr="0071454C" w:rsidRDefault="00F112F7" w:rsidP="00EE21DC">
            <w:pPr>
              <w:jc w:val="center"/>
              <w:rPr>
                <w:color w:val="000000"/>
                <w:sz w:val="18"/>
                <w:szCs w:val="18"/>
              </w:rPr>
            </w:pPr>
            <w:r w:rsidRPr="0071454C">
              <w:rPr>
                <w:color w:val="000000"/>
                <w:sz w:val="18"/>
                <w:szCs w:val="18"/>
              </w:rPr>
              <w:t>2.59</w:t>
            </w:r>
          </w:p>
        </w:tc>
        <w:tc>
          <w:tcPr>
            <w:tcW w:w="567" w:type="pct"/>
            <w:tcBorders>
              <w:top w:val="nil"/>
              <w:left w:val="nil"/>
              <w:bottom w:val="nil"/>
              <w:right w:val="single" w:sz="4" w:space="0" w:color="auto"/>
            </w:tcBorders>
            <w:shd w:val="clear" w:color="auto" w:fill="auto"/>
            <w:vAlign w:val="bottom"/>
            <w:hideMark/>
          </w:tcPr>
          <w:p w14:paraId="7C02A1BC" w14:textId="77777777" w:rsidR="00F112F7" w:rsidRPr="0071454C" w:rsidRDefault="00F112F7" w:rsidP="00EE21DC">
            <w:pPr>
              <w:jc w:val="center"/>
              <w:rPr>
                <w:color w:val="000000"/>
                <w:sz w:val="18"/>
                <w:szCs w:val="18"/>
              </w:rPr>
            </w:pPr>
            <w:r w:rsidRPr="0071454C">
              <w:rPr>
                <w:color w:val="000000"/>
                <w:sz w:val="18"/>
                <w:szCs w:val="18"/>
              </w:rPr>
              <w:t>2.9</w:t>
            </w:r>
          </w:p>
        </w:tc>
      </w:tr>
      <w:tr w:rsidR="00F112F7" w:rsidRPr="00647951" w14:paraId="7E02531D" w14:textId="77777777" w:rsidTr="00EE21DC">
        <w:trPr>
          <w:trHeight w:val="255"/>
        </w:trPr>
        <w:tc>
          <w:tcPr>
            <w:tcW w:w="703" w:type="pct"/>
            <w:tcBorders>
              <w:top w:val="nil"/>
              <w:left w:val="single" w:sz="4" w:space="0" w:color="auto"/>
              <w:bottom w:val="nil"/>
              <w:right w:val="single" w:sz="4" w:space="0" w:color="auto"/>
            </w:tcBorders>
            <w:shd w:val="clear" w:color="auto" w:fill="auto"/>
            <w:vAlign w:val="bottom"/>
            <w:hideMark/>
          </w:tcPr>
          <w:p w14:paraId="01821CBC" w14:textId="77777777" w:rsidR="00F112F7" w:rsidRPr="0071454C" w:rsidRDefault="00F112F7" w:rsidP="00EE21DC">
            <w:pPr>
              <w:rPr>
                <w:b/>
                <w:bCs/>
                <w:color w:val="000000"/>
                <w:sz w:val="18"/>
                <w:szCs w:val="18"/>
              </w:rPr>
            </w:pPr>
            <w:r w:rsidRPr="0071454C">
              <w:rPr>
                <w:b/>
                <w:bCs/>
                <w:color w:val="000000"/>
                <w:sz w:val="18"/>
                <w:szCs w:val="18"/>
              </w:rPr>
              <w:t>Singapore</w:t>
            </w:r>
          </w:p>
        </w:tc>
        <w:tc>
          <w:tcPr>
            <w:tcW w:w="385" w:type="pct"/>
            <w:tcBorders>
              <w:top w:val="nil"/>
              <w:left w:val="nil"/>
              <w:bottom w:val="nil"/>
              <w:right w:val="single" w:sz="4" w:space="0" w:color="auto"/>
            </w:tcBorders>
            <w:shd w:val="clear" w:color="auto" w:fill="auto"/>
            <w:vAlign w:val="bottom"/>
            <w:hideMark/>
          </w:tcPr>
          <w:p w14:paraId="779503E7" w14:textId="77777777" w:rsidR="00F112F7" w:rsidRPr="0071454C" w:rsidRDefault="00F112F7" w:rsidP="00EE21DC">
            <w:pPr>
              <w:jc w:val="center"/>
              <w:rPr>
                <w:color w:val="000000"/>
                <w:sz w:val="18"/>
                <w:szCs w:val="18"/>
              </w:rPr>
            </w:pPr>
            <w:r w:rsidRPr="0071454C">
              <w:rPr>
                <w:color w:val="000000"/>
                <w:sz w:val="18"/>
                <w:szCs w:val="18"/>
              </w:rPr>
              <w:t>5</w:t>
            </w:r>
          </w:p>
        </w:tc>
        <w:tc>
          <w:tcPr>
            <w:tcW w:w="349" w:type="pct"/>
            <w:tcBorders>
              <w:top w:val="nil"/>
              <w:left w:val="nil"/>
              <w:bottom w:val="nil"/>
              <w:right w:val="single" w:sz="4" w:space="0" w:color="auto"/>
            </w:tcBorders>
            <w:shd w:val="clear" w:color="auto" w:fill="auto"/>
            <w:vAlign w:val="bottom"/>
            <w:hideMark/>
          </w:tcPr>
          <w:p w14:paraId="2AC3AA2F" w14:textId="77777777" w:rsidR="00F112F7" w:rsidRPr="0071454C" w:rsidRDefault="00F112F7" w:rsidP="00EE21DC">
            <w:pPr>
              <w:jc w:val="center"/>
              <w:rPr>
                <w:color w:val="000000"/>
                <w:sz w:val="18"/>
                <w:szCs w:val="18"/>
              </w:rPr>
            </w:pPr>
            <w:r w:rsidRPr="0071454C">
              <w:rPr>
                <w:color w:val="000000"/>
                <w:sz w:val="18"/>
                <w:szCs w:val="18"/>
              </w:rPr>
              <w:t>4.14</w:t>
            </w:r>
          </w:p>
        </w:tc>
        <w:tc>
          <w:tcPr>
            <w:tcW w:w="480" w:type="pct"/>
            <w:tcBorders>
              <w:top w:val="nil"/>
              <w:left w:val="nil"/>
              <w:bottom w:val="nil"/>
              <w:right w:val="single" w:sz="4" w:space="0" w:color="auto"/>
            </w:tcBorders>
            <w:shd w:val="clear" w:color="auto" w:fill="auto"/>
            <w:vAlign w:val="bottom"/>
            <w:hideMark/>
          </w:tcPr>
          <w:p w14:paraId="2F64966E" w14:textId="77777777" w:rsidR="00F112F7" w:rsidRPr="0071454C" w:rsidRDefault="00F112F7" w:rsidP="00EE21DC">
            <w:pPr>
              <w:jc w:val="center"/>
              <w:rPr>
                <w:color w:val="000000"/>
                <w:sz w:val="18"/>
                <w:szCs w:val="18"/>
              </w:rPr>
            </w:pPr>
            <w:r w:rsidRPr="0071454C">
              <w:rPr>
                <w:color w:val="000000"/>
                <w:sz w:val="18"/>
                <w:szCs w:val="18"/>
              </w:rPr>
              <w:t>4.18</w:t>
            </w:r>
          </w:p>
        </w:tc>
        <w:tc>
          <w:tcPr>
            <w:tcW w:w="717" w:type="pct"/>
            <w:tcBorders>
              <w:top w:val="nil"/>
              <w:left w:val="nil"/>
              <w:bottom w:val="nil"/>
              <w:right w:val="nil"/>
            </w:tcBorders>
            <w:shd w:val="clear" w:color="auto" w:fill="auto"/>
            <w:vAlign w:val="bottom"/>
            <w:hideMark/>
          </w:tcPr>
          <w:p w14:paraId="40EBCD22" w14:textId="77777777" w:rsidR="00F112F7" w:rsidRPr="0071454C" w:rsidRDefault="00F112F7" w:rsidP="00EE21DC">
            <w:pPr>
              <w:jc w:val="center"/>
              <w:rPr>
                <w:color w:val="000000"/>
                <w:sz w:val="18"/>
                <w:szCs w:val="18"/>
              </w:rPr>
            </w:pPr>
            <w:r w:rsidRPr="0071454C">
              <w:rPr>
                <w:color w:val="000000"/>
                <w:sz w:val="18"/>
                <w:szCs w:val="18"/>
              </w:rPr>
              <w:t>4.2</w:t>
            </w:r>
          </w:p>
        </w:tc>
        <w:tc>
          <w:tcPr>
            <w:tcW w:w="677" w:type="pct"/>
            <w:tcBorders>
              <w:top w:val="nil"/>
              <w:left w:val="single" w:sz="4" w:space="0" w:color="auto"/>
              <w:bottom w:val="nil"/>
              <w:right w:val="single" w:sz="4" w:space="0" w:color="auto"/>
            </w:tcBorders>
            <w:shd w:val="clear" w:color="auto" w:fill="auto"/>
            <w:vAlign w:val="bottom"/>
            <w:hideMark/>
          </w:tcPr>
          <w:p w14:paraId="31295CA8" w14:textId="77777777" w:rsidR="00F112F7" w:rsidRPr="0071454C" w:rsidRDefault="00F112F7" w:rsidP="00EE21DC">
            <w:pPr>
              <w:jc w:val="center"/>
              <w:rPr>
                <w:color w:val="000000"/>
                <w:sz w:val="18"/>
                <w:szCs w:val="18"/>
              </w:rPr>
            </w:pPr>
            <w:r w:rsidRPr="0071454C">
              <w:rPr>
                <w:color w:val="000000"/>
                <w:sz w:val="18"/>
                <w:szCs w:val="18"/>
              </w:rPr>
              <w:t>3.96</w:t>
            </w:r>
          </w:p>
        </w:tc>
        <w:tc>
          <w:tcPr>
            <w:tcW w:w="615" w:type="pct"/>
            <w:tcBorders>
              <w:top w:val="nil"/>
              <w:left w:val="nil"/>
              <w:bottom w:val="nil"/>
              <w:right w:val="nil"/>
            </w:tcBorders>
            <w:shd w:val="clear" w:color="auto" w:fill="auto"/>
            <w:vAlign w:val="bottom"/>
            <w:hideMark/>
          </w:tcPr>
          <w:p w14:paraId="1AD46190" w14:textId="77777777" w:rsidR="00F112F7" w:rsidRPr="0071454C" w:rsidRDefault="00F112F7" w:rsidP="00EE21DC">
            <w:pPr>
              <w:jc w:val="center"/>
              <w:rPr>
                <w:color w:val="000000"/>
                <w:sz w:val="18"/>
                <w:szCs w:val="18"/>
              </w:rPr>
            </w:pPr>
            <w:r w:rsidRPr="0071454C">
              <w:rPr>
                <w:color w:val="000000"/>
                <w:sz w:val="18"/>
                <w:szCs w:val="18"/>
              </w:rPr>
              <w:t>4.09</w:t>
            </w:r>
          </w:p>
        </w:tc>
        <w:tc>
          <w:tcPr>
            <w:tcW w:w="507" w:type="pct"/>
            <w:tcBorders>
              <w:top w:val="nil"/>
              <w:left w:val="single" w:sz="4" w:space="0" w:color="auto"/>
              <w:bottom w:val="nil"/>
              <w:right w:val="single" w:sz="4" w:space="0" w:color="auto"/>
            </w:tcBorders>
            <w:shd w:val="clear" w:color="auto" w:fill="auto"/>
            <w:vAlign w:val="bottom"/>
            <w:hideMark/>
          </w:tcPr>
          <w:p w14:paraId="60AFA48E" w14:textId="77777777" w:rsidR="00F112F7" w:rsidRPr="0071454C" w:rsidRDefault="00F112F7" w:rsidP="00EE21DC">
            <w:pPr>
              <w:jc w:val="center"/>
              <w:rPr>
                <w:color w:val="000000"/>
                <w:sz w:val="18"/>
                <w:szCs w:val="18"/>
              </w:rPr>
            </w:pPr>
            <w:r w:rsidRPr="0071454C">
              <w:rPr>
                <w:color w:val="000000"/>
                <w:sz w:val="18"/>
                <w:szCs w:val="18"/>
              </w:rPr>
              <w:t>4.05</w:t>
            </w:r>
          </w:p>
        </w:tc>
        <w:tc>
          <w:tcPr>
            <w:tcW w:w="567" w:type="pct"/>
            <w:tcBorders>
              <w:top w:val="nil"/>
              <w:left w:val="nil"/>
              <w:bottom w:val="nil"/>
              <w:right w:val="single" w:sz="4" w:space="0" w:color="auto"/>
            </w:tcBorders>
            <w:shd w:val="clear" w:color="auto" w:fill="auto"/>
            <w:vAlign w:val="bottom"/>
            <w:hideMark/>
          </w:tcPr>
          <w:p w14:paraId="4D48D438" w14:textId="77777777" w:rsidR="00F112F7" w:rsidRPr="0071454C" w:rsidRDefault="00F112F7" w:rsidP="00EE21DC">
            <w:pPr>
              <w:jc w:val="center"/>
              <w:rPr>
                <w:color w:val="000000"/>
                <w:sz w:val="18"/>
                <w:szCs w:val="18"/>
              </w:rPr>
            </w:pPr>
            <w:r w:rsidRPr="0071454C">
              <w:rPr>
                <w:color w:val="000000"/>
                <w:sz w:val="18"/>
                <w:szCs w:val="18"/>
              </w:rPr>
              <w:t>4.4</w:t>
            </w:r>
          </w:p>
        </w:tc>
      </w:tr>
      <w:tr w:rsidR="00F112F7" w:rsidRPr="00647951" w14:paraId="6F109CEF" w14:textId="77777777" w:rsidTr="00EE21DC">
        <w:trPr>
          <w:trHeight w:val="225"/>
        </w:trPr>
        <w:tc>
          <w:tcPr>
            <w:tcW w:w="703" w:type="pct"/>
            <w:tcBorders>
              <w:top w:val="nil"/>
              <w:left w:val="single" w:sz="4" w:space="0" w:color="auto"/>
              <w:bottom w:val="nil"/>
              <w:right w:val="single" w:sz="4" w:space="0" w:color="auto"/>
            </w:tcBorders>
            <w:shd w:val="clear" w:color="auto" w:fill="auto"/>
            <w:vAlign w:val="bottom"/>
            <w:hideMark/>
          </w:tcPr>
          <w:p w14:paraId="3A3B7985" w14:textId="77777777" w:rsidR="00F112F7" w:rsidRPr="0071454C" w:rsidRDefault="00F112F7" w:rsidP="00EE21DC">
            <w:pPr>
              <w:rPr>
                <w:b/>
                <w:bCs/>
                <w:color w:val="000000"/>
                <w:sz w:val="18"/>
                <w:szCs w:val="18"/>
              </w:rPr>
            </w:pPr>
            <w:r w:rsidRPr="0071454C">
              <w:rPr>
                <w:b/>
                <w:bCs/>
                <w:color w:val="000000"/>
                <w:sz w:val="18"/>
                <w:szCs w:val="18"/>
              </w:rPr>
              <w:t>South Korea</w:t>
            </w:r>
          </w:p>
        </w:tc>
        <w:tc>
          <w:tcPr>
            <w:tcW w:w="385" w:type="pct"/>
            <w:tcBorders>
              <w:top w:val="nil"/>
              <w:left w:val="nil"/>
              <w:bottom w:val="nil"/>
              <w:right w:val="single" w:sz="4" w:space="0" w:color="auto"/>
            </w:tcBorders>
            <w:shd w:val="clear" w:color="auto" w:fill="auto"/>
            <w:vAlign w:val="bottom"/>
            <w:hideMark/>
          </w:tcPr>
          <w:p w14:paraId="16B1B212" w14:textId="77777777" w:rsidR="00F112F7" w:rsidRPr="0071454C" w:rsidRDefault="00F112F7" w:rsidP="00EE21DC">
            <w:pPr>
              <w:jc w:val="center"/>
              <w:rPr>
                <w:color w:val="000000"/>
                <w:sz w:val="18"/>
                <w:szCs w:val="18"/>
              </w:rPr>
            </w:pPr>
            <w:r w:rsidRPr="0071454C">
              <w:rPr>
                <w:color w:val="000000"/>
                <w:sz w:val="18"/>
                <w:szCs w:val="18"/>
              </w:rPr>
              <w:t>24</w:t>
            </w:r>
          </w:p>
        </w:tc>
        <w:tc>
          <w:tcPr>
            <w:tcW w:w="349" w:type="pct"/>
            <w:tcBorders>
              <w:top w:val="nil"/>
              <w:left w:val="nil"/>
              <w:bottom w:val="nil"/>
              <w:right w:val="single" w:sz="4" w:space="0" w:color="auto"/>
            </w:tcBorders>
            <w:shd w:val="clear" w:color="auto" w:fill="auto"/>
            <w:vAlign w:val="bottom"/>
            <w:hideMark/>
          </w:tcPr>
          <w:p w14:paraId="3A090C58" w14:textId="77777777" w:rsidR="00F112F7" w:rsidRPr="0071454C" w:rsidRDefault="00F112F7" w:rsidP="00EE21DC">
            <w:pPr>
              <w:jc w:val="center"/>
              <w:rPr>
                <w:color w:val="000000"/>
                <w:sz w:val="18"/>
                <w:szCs w:val="18"/>
              </w:rPr>
            </w:pPr>
            <w:r w:rsidRPr="0071454C">
              <w:rPr>
                <w:color w:val="000000"/>
                <w:sz w:val="18"/>
                <w:szCs w:val="18"/>
              </w:rPr>
              <w:t>3.72</w:t>
            </w:r>
          </w:p>
        </w:tc>
        <w:tc>
          <w:tcPr>
            <w:tcW w:w="480" w:type="pct"/>
            <w:tcBorders>
              <w:top w:val="nil"/>
              <w:left w:val="nil"/>
              <w:bottom w:val="nil"/>
              <w:right w:val="single" w:sz="4" w:space="0" w:color="auto"/>
            </w:tcBorders>
            <w:shd w:val="clear" w:color="auto" w:fill="auto"/>
            <w:vAlign w:val="bottom"/>
            <w:hideMark/>
          </w:tcPr>
          <w:p w14:paraId="082B6177" w14:textId="77777777" w:rsidR="00F112F7" w:rsidRPr="0071454C" w:rsidRDefault="00F112F7" w:rsidP="00EE21DC">
            <w:pPr>
              <w:jc w:val="center"/>
              <w:rPr>
                <w:color w:val="000000"/>
                <w:sz w:val="18"/>
                <w:szCs w:val="18"/>
              </w:rPr>
            </w:pPr>
            <w:r w:rsidRPr="0071454C">
              <w:rPr>
                <w:color w:val="000000"/>
                <w:sz w:val="18"/>
                <w:szCs w:val="18"/>
              </w:rPr>
              <w:t>3.45</w:t>
            </w:r>
          </w:p>
        </w:tc>
        <w:tc>
          <w:tcPr>
            <w:tcW w:w="717" w:type="pct"/>
            <w:tcBorders>
              <w:top w:val="nil"/>
              <w:left w:val="nil"/>
              <w:bottom w:val="nil"/>
              <w:right w:val="nil"/>
            </w:tcBorders>
            <w:shd w:val="clear" w:color="auto" w:fill="auto"/>
            <w:vAlign w:val="bottom"/>
            <w:hideMark/>
          </w:tcPr>
          <w:p w14:paraId="0346CF60" w14:textId="77777777" w:rsidR="00F112F7" w:rsidRPr="0071454C" w:rsidRDefault="00F112F7" w:rsidP="00EE21DC">
            <w:pPr>
              <w:jc w:val="center"/>
              <w:rPr>
                <w:color w:val="000000"/>
                <w:sz w:val="18"/>
                <w:szCs w:val="18"/>
              </w:rPr>
            </w:pPr>
            <w:r w:rsidRPr="0071454C">
              <w:rPr>
                <w:color w:val="000000"/>
                <w:sz w:val="18"/>
                <w:szCs w:val="18"/>
              </w:rPr>
              <w:t>3.79</w:t>
            </w:r>
          </w:p>
        </w:tc>
        <w:tc>
          <w:tcPr>
            <w:tcW w:w="677" w:type="pct"/>
            <w:tcBorders>
              <w:top w:val="nil"/>
              <w:left w:val="single" w:sz="4" w:space="0" w:color="auto"/>
              <w:bottom w:val="nil"/>
              <w:right w:val="single" w:sz="4" w:space="0" w:color="auto"/>
            </w:tcBorders>
            <w:shd w:val="clear" w:color="auto" w:fill="auto"/>
            <w:vAlign w:val="bottom"/>
            <w:hideMark/>
          </w:tcPr>
          <w:p w14:paraId="4E8E51BE" w14:textId="77777777" w:rsidR="00F112F7" w:rsidRPr="0071454C" w:rsidRDefault="00F112F7" w:rsidP="00EE21DC">
            <w:pPr>
              <w:jc w:val="center"/>
              <w:rPr>
                <w:color w:val="000000"/>
                <w:sz w:val="18"/>
                <w:szCs w:val="18"/>
              </w:rPr>
            </w:pPr>
            <w:r w:rsidRPr="0071454C">
              <w:rPr>
                <w:color w:val="000000"/>
                <w:sz w:val="18"/>
                <w:szCs w:val="18"/>
              </w:rPr>
              <w:t>3.58</w:t>
            </w:r>
          </w:p>
        </w:tc>
        <w:tc>
          <w:tcPr>
            <w:tcW w:w="615" w:type="pct"/>
            <w:tcBorders>
              <w:top w:val="nil"/>
              <w:left w:val="nil"/>
              <w:bottom w:val="nil"/>
              <w:right w:val="nil"/>
            </w:tcBorders>
            <w:shd w:val="clear" w:color="auto" w:fill="auto"/>
            <w:vAlign w:val="bottom"/>
            <w:hideMark/>
          </w:tcPr>
          <w:p w14:paraId="44E2C4E3" w14:textId="77777777" w:rsidR="00F112F7" w:rsidRPr="0071454C" w:rsidRDefault="00F112F7" w:rsidP="00EE21DC">
            <w:pPr>
              <w:jc w:val="center"/>
              <w:rPr>
                <w:color w:val="000000"/>
                <w:sz w:val="18"/>
                <w:szCs w:val="18"/>
              </w:rPr>
            </w:pPr>
            <w:r w:rsidRPr="0071454C">
              <w:rPr>
                <w:color w:val="000000"/>
                <w:sz w:val="18"/>
                <w:szCs w:val="18"/>
              </w:rPr>
              <w:t>3.69</w:t>
            </w:r>
          </w:p>
        </w:tc>
        <w:tc>
          <w:tcPr>
            <w:tcW w:w="507" w:type="pct"/>
            <w:tcBorders>
              <w:top w:val="nil"/>
              <w:left w:val="single" w:sz="4" w:space="0" w:color="auto"/>
              <w:bottom w:val="nil"/>
              <w:right w:val="single" w:sz="4" w:space="0" w:color="auto"/>
            </w:tcBorders>
            <w:shd w:val="clear" w:color="auto" w:fill="auto"/>
            <w:vAlign w:val="bottom"/>
            <w:hideMark/>
          </w:tcPr>
          <w:p w14:paraId="4AA8014B" w14:textId="77777777" w:rsidR="00F112F7" w:rsidRPr="0071454C" w:rsidRDefault="00F112F7" w:rsidP="00EE21DC">
            <w:pPr>
              <w:jc w:val="center"/>
              <w:rPr>
                <w:color w:val="000000"/>
                <w:sz w:val="18"/>
                <w:szCs w:val="18"/>
              </w:rPr>
            </w:pPr>
            <w:r w:rsidRPr="0071454C">
              <w:rPr>
                <w:color w:val="000000"/>
                <w:sz w:val="18"/>
                <w:szCs w:val="18"/>
              </w:rPr>
              <w:t>3.78</w:t>
            </w:r>
          </w:p>
        </w:tc>
        <w:tc>
          <w:tcPr>
            <w:tcW w:w="567" w:type="pct"/>
            <w:tcBorders>
              <w:top w:val="nil"/>
              <w:left w:val="nil"/>
              <w:bottom w:val="nil"/>
              <w:right w:val="single" w:sz="4" w:space="0" w:color="auto"/>
            </w:tcBorders>
            <w:shd w:val="clear" w:color="auto" w:fill="auto"/>
            <w:vAlign w:val="bottom"/>
            <w:hideMark/>
          </w:tcPr>
          <w:p w14:paraId="2A46895E" w14:textId="77777777" w:rsidR="00F112F7" w:rsidRPr="0071454C" w:rsidRDefault="00F112F7" w:rsidP="00EE21DC">
            <w:pPr>
              <w:jc w:val="center"/>
              <w:rPr>
                <w:color w:val="000000"/>
                <w:sz w:val="18"/>
                <w:szCs w:val="18"/>
              </w:rPr>
            </w:pPr>
            <w:r w:rsidRPr="0071454C">
              <w:rPr>
                <w:color w:val="000000"/>
                <w:sz w:val="18"/>
                <w:szCs w:val="18"/>
              </w:rPr>
              <w:t>4.03</w:t>
            </w:r>
          </w:p>
        </w:tc>
      </w:tr>
      <w:tr w:rsidR="00F112F7" w:rsidRPr="00647951" w14:paraId="36B95082" w14:textId="77777777" w:rsidTr="00EE21DC">
        <w:trPr>
          <w:trHeight w:val="255"/>
        </w:trPr>
        <w:tc>
          <w:tcPr>
            <w:tcW w:w="703" w:type="pct"/>
            <w:tcBorders>
              <w:top w:val="nil"/>
              <w:left w:val="single" w:sz="4" w:space="0" w:color="auto"/>
              <w:bottom w:val="nil"/>
              <w:right w:val="single" w:sz="4" w:space="0" w:color="auto"/>
            </w:tcBorders>
            <w:shd w:val="clear" w:color="auto" w:fill="auto"/>
            <w:vAlign w:val="bottom"/>
            <w:hideMark/>
          </w:tcPr>
          <w:p w14:paraId="6B616918" w14:textId="77777777" w:rsidR="00F112F7" w:rsidRPr="0071454C" w:rsidRDefault="00F112F7" w:rsidP="00EE21DC">
            <w:pPr>
              <w:rPr>
                <w:b/>
                <w:bCs/>
                <w:color w:val="000000"/>
                <w:sz w:val="18"/>
                <w:szCs w:val="18"/>
              </w:rPr>
            </w:pPr>
            <w:r w:rsidRPr="0071454C">
              <w:rPr>
                <w:b/>
                <w:bCs/>
                <w:color w:val="000000"/>
                <w:sz w:val="18"/>
                <w:szCs w:val="18"/>
              </w:rPr>
              <w:t>China</w:t>
            </w:r>
          </w:p>
        </w:tc>
        <w:tc>
          <w:tcPr>
            <w:tcW w:w="385" w:type="pct"/>
            <w:tcBorders>
              <w:top w:val="nil"/>
              <w:left w:val="nil"/>
              <w:bottom w:val="nil"/>
              <w:right w:val="single" w:sz="4" w:space="0" w:color="auto"/>
            </w:tcBorders>
            <w:shd w:val="clear" w:color="auto" w:fill="auto"/>
            <w:vAlign w:val="bottom"/>
            <w:hideMark/>
          </w:tcPr>
          <w:p w14:paraId="1309A9B2" w14:textId="77777777" w:rsidR="00F112F7" w:rsidRPr="0071454C" w:rsidRDefault="00F112F7" w:rsidP="00EE21DC">
            <w:pPr>
              <w:jc w:val="center"/>
              <w:rPr>
                <w:color w:val="000000"/>
                <w:sz w:val="18"/>
                <w:szCs w:val="18"/>
              </w:rPr>
            </w:pPr>
            <w:r w:rsidRPr="0071454C">
              <w:rPr>
                <w:color w:val="000000"/>
                <w:sz w:val="18"/>
                <w:szCs w:val="18"/>
              </w:rPr>
              <w:t>27</w:t>
            </w:r>
          </w:p>
        </w:tc>
        <w:tc>
          <w:tcPr>
            <w:tcW w:w="349" w:type="pct"/>
            <w:tcBorders>
              <w:top w:val="nil"/>
              <w:left w:val="nil"/>
              <w:bottom w:val="nil"/>
              <w:right w:val="single" w:sz="4" w:space="0" w:color="auto"/>
            </w:tcBorders>
            <w:shd w:val="clear" w:color="auto" w:fill="auto"/>
            <w:vAlign w:val="bottom"/>
            <w:hideMark/>
          </w:tcPr>
          <w:p w14:paraId="74BFBB65" w14:textId="77777777" w:rsidR="00F112F7" w:rsidRPr="0071454C" w:rsidRDefault="00F112F7" w:rsidP="00EE21DC">
            <w:pPr>
              <w:jc w:val="center"/>
              <w:rPr>
                <w:color w:val="000000"/>
                <w:sz w:val="18"/>
                <w:szCs w:val="18"/>
              </w:rPr>
            </w:pPr>
            <w:r w:rsidRPr="0071454C">
              <w:rPr>
                <w:color w:val="000000"/>
                <w:sz w:val="18"/>
                <w:szCs w:val="18"/>
              </w:rPr>
              <w:t>3.66</w:t>
            </w:r>
          </w:p>
        </w:tc>
        <w:tc>
          <w:tcPr>
            <w:tcW w:w="480" w:type="pct"/>
            <w:tcBorders>
              <w:top w:val="nil"/>
              <w:left w:val="nil"/>
              <w:bottom w:val="nil"/>
              <w:right w:val="single" w:sz="4" w:space="0" w:color="auto"/>
            </w:tcBorders>
            <w:shd w:val="clear" w:color="auto" w:fill="auto"/>
            <w:vAlign w:val="bottom"/>
            <w:hideMark/>
          </w:tcPr>
          <w:p w14:paraId="7A85188F" w14:textId="77777777" w:rsidR="00F112F7" w:rsidRPr="0071454C" w:rsidRDefault="00F112F7" w:rsidP="00EE21DC">
            <w:pPr>
              <w:jc w:val="center"/>
              <w:rPr>
                <w:color w:val="000000"/>
                <w:sz w:val="18"/>
                <w:szCs w:val="18"/>
              </w:rPr>
            </w:pPr>
            <w:r w:rsidRPr="0071454C">
              <w:rPr>
                <w:color w:val="000000"/>
                <w:sz w:val="18"/>
                <w:szCs w:val="18"/>
              </w:rPr>
              <w:t>3.32</w:t>
            </w:r>
          </w:p>
        </w:tc>
        <w:tc>
          <w:tcPr>
            <w:tcW w:w="717" w:type="pct"/>
            <w:tcBorders>
              <w:top w:val="nil"/>
              <w:left w:val="nil"/>
              <w:bottom w:val="nil"/>
              <w:right w:val="nil"/>
            </w:tcBorders>
            <w:shd w:val="clear" w:color="auto" w:fill="auto"/>
            <w:vAlign w:val="bottom"/>
            <w:hideMark/>
          </w:tcPr>
          <w:p w14:paraId="5F0C245A" w14:textId="77777777" w:rsidR="00F112F7" w:rsidRPr="0071454C" w:rsidRDefault="00F112F7" w:rsidP="00EE21DC">
            <w:pPr>
              <w:jc w:val="center"/>
              <w:rPr>
                <w:color w:val="000000"/>
                <w:sz w:val="18"/>
                <w:szCs w:val="18"/>
              </w:rPr>
            </w:pPr>
            <w:r w:rsidRPr="0071454C">
              <w:rPr>
                <w:color w:val="000000"/>
                <w:sz w:val="18"/>
                <w:szCs w:val="18"/>
              </w:rPr>
              <w:t>3.75</w:t>
            </w:r>
          </w:p>
        </w:tc>
        <w:tc>
          <w:tcPr>
            <w:tcW w:w="677" w:type="pct"/>
            <w:tcBorders>
              <w:top w:val="nil"/>
              <w:left w:val="single" w:sz="4" w:space="0" w:color="auto"/>
              <w:bottom w:val="nil"/>
              <w:right w:val="single" w:sz="4" w:space="0" w:color="auto"/>
            </w:tcBorders>
            <w:shd w:val="clear" w:color="auto" w:fill="auto"/>
            <w:vAlign w:val="bottom"/>
            <w:hideMark/>
          </w:tcPr>
          <w:p w14:paraId="6FDB7B04" w14:textId="77777777" w:rsidR="00F112F7" w:rsidRPr="0071454C" w:rsidRDefault="00F112F7" w:rsidP="00EE21DC">
            <w:pPr>
              <w:jc w:val="center"/>
              <w:rPr>
                <w:color w:val="000000"/>
                <w:sz w:val="18"/>
                <w:szCs w:val="18"/>
              </w:rPr>
            </w:pPr>
            <w:r w:rsidRPr="0071454C">
              <w:rPr>
                <w:color w:val="000000"/>
                <w:sz w:val="18"/>
                <w:szCs w:val="18"/>
              </w:rPr>
              <w:t>3.7</w:t>
            </w:r>
          </w:p>
        </w:tc>
        <w:tc>
          <w:tcPr>
            <w:tcW w:w="615" w:type="pct"/>
            <w:tcBorders>
              <w:top w:val="nil"/>
              <w:left w:val="nil"/>
              <w:bottom w:val="nil"/>
              <w:right w:val="nil"/>
            </w:tcBorders>
            <w:shd w:val="clear" w:color="auto" w:fill="auto"/>
            <w:vAlign w:val="bottom"/>
            <w:hideMark/>
          </w:tcPr>
          <w:p w14:paraId="520B3EFD" w14:textId="77777777" w:rsidR="00F112F7" w:rsidRPr="0071454C" w:rsidRDefault="00F112F7" w:rsidP="00EE21DC">
            <w:pPr>
              <w:jc w:val="center"/>
              <w:rPr>
                <w:color w:val="000000"/>
                <w:sz w:val="18"/>
                <w:szCs w:val="18"/>
              </w:rPr>
            </w:pPr>
            <w:r w:rsidRPr="0071454C">
              <w:rPr>
                <w:color w:val="000000"/>
                <w:sz w:val="18"/>
                <w:szCs w:val="18"/>
              </w:rPr>
              <w:t>3.62</w:t>
            </w:r>
          </w:p>
        </w:tc>
        <w:tc>
          <w:tcPr>
            <w:tcW w:w="507" w:type="pct"/>
            <w:tcBorders>
              <w:top w:val="nil"/>
              <w:left w:val="single" w:sz="4" w:space="0" w:color="auto"/>
              <w:bottom w:val="nil"/>
              <w:right w:val="single" w:sz="4" w:space="0" w:color="auto"/>
            </w:tcBorders>
            <w:shd w:val="clear" w:color="auto" w:fill="auto"/>
            <w:vAlign w:val="bottom"/>
            <w:hideMark/>
          </w:tcPr>
          <w:p w14:paraId="147C578A" w14:textId="77777777" w:rsidR="00F112F7" w:rsidRPr="0071454C" w:rsidRDefault="00F112F7" w:rsidP="00EE21DC">
            <w:pPr>
              <w:jc w:val="center"/>
              <w:rPr>
                <w:color w:val="000000"/>
                <w:sz w:val="18"/>
                <w:szCs w:val="18"/>
              </w:rPr>
            </w:pPr>
            <w:r w:rsidRPr="0071454C">
              <w:rPr>
                <w:color w:val="000000"/>
                <w:sz w:val="18"/>
                <w:szCs w:val="18"/>
              </w:rPr>
              <w:t>3.68</w:t>
            </w:r>
          </w:p>
        </w:tc>
        <w:tc>
          <w:tcPr>
            <w:tcW w:w="567" w:type="pct"/>
            <w:tcBorders>
              <w:top w:val="nil"/>
              <w:left w:val="nil"/>
              <w:bottom w:val="nil"/>
              <w:right w:val="single" w:sz="4" w:space="0" w:color="auto"/>
            </w:tcBorders>
            <w:shd w:val="clear" w:color="auto" w:fill="auto"/>
            <w:vAlign w:val="bottom"/>
            <w:hideMark/>
          </w:tcPr>
          <w:p w14:paraId="013704A1" w14:textId="77777777" w:rsidR="00F112F7" w:rsidRPr="0071454C" w:rsidRDefault="00F112F7" w:rsidP="00EE21DC">
            <w:pPr>
              <w:jc w:val="center"/>
              <w:rPr>
                <w:color w:val="000000"/>
                <w:sz w:val="18"/>
                <w:szCs w:val="18"/>
              </w:rPr>
            </w:pPr>
            <w:r w:rsidRPr="0071454C">
              <w:rPr>
                <w:color w:val="000000"/>
                <w:sz w:val="18"/>
                <w:szCs w:val="18"/>
              </w:rPr>
              <w:t>3.9</w:t>
            </w:r>
          </w:p>
        </w:tc>
      </w:tr>
      <w:tr w:rsidR="00F112F7" w:rsidRPr="00647951" w14:paraId="7DFC3DE9" w14:textId="77777777" w:rsidTr="00EE21DC">
        <w:trPr>
          <w:trHeight w:val="255"/>
        </w:trPr>
        <w:tc>
          <w:tcPr>
            <w:tcW w:w="703" w:type="pct"/>
            <w:tcBorders>
              <w:top w:val="nil"/>
              <w:left w:val="single" w:sz="4" w:space="0" w:color="auto"/>
              <w:bottom w:val="nil"/>
              <w:right w:val="single" w:sz="4" w:space="0" w:color="auto"/>
            </w:tcBorders>
            <w:shd w:val="clear" w:color="auto" w:fill="auto"/>
            <w:vAlign w:val="bottom"/>
            <w:hideMark/>
          </w:tcPr>
          <w:p w14:paraId="7E5251A8" w14:textId="77777777" w:rsidR="00F112F7" w:rsidRPr="0071454C" w:rsidRDefault="00F112F7" w:rsidP="00EE21DC">
            <w:pPr>
              <w:rPr>
                <w:b/>
                <w:bCs/>
                <w:color w:val="000000"/>
                <w:sz w:val="18"/>
                <w:szCs w:val="18"/>
              </w:rPr>
            </w:pPr>
            <w:r w:rsidRPr="0071454C">
              <w:rPr>
                <w:b/>
                <w:bCs/>
                <w:color w:val="000000"/>
                <w:sz w:val="18"/>
                <w:szCs w:val="18"/>
              </w:rPr>
              <w:t>Malaysia</w:t>
            </w:r>
          </w:p>
        </w:tc>
        <w:tc>
          <w:tcPr>
            <w:tcW w:w="385" w:type="pct"/>
            <w:tcBorders>
              <w:top w:val="nil"/>
              <w:left w:val="nil"/>
              <w:bottom w:val="nil"/>
              <w:right w:val="single" w:sz="4" w:space="0" w:color="auto"/>
            </w:tcBorders>
            <w:shd w:val="clear" w:color="auto" w:fill="auto"/>
            <w:vAlign w:val="bottom"/>
            <w:hideMark/>
          </w:tcPr>
          <w:p w14:paraId="37139BCF" w14:textId="77777777" w:rsidR="00F112F7" w:rsidRPr="0071454C" w:rsidRDefault="00F112F7" w:rsidP="00EE21DC">
            <w:pPr>
              <w:jc w:val="center"/>
              <w:rPr>
                <w:color w:val="000000"/>
                <w:sz w:val="18"/>
                <w:szCs w:val="18"/>
              </w:rPr>
            </w:pPr>
            <w:r w:rsidRPr="0071454C">
              <w:rPr>
                <w:color w:val="000000"/>
                <w:sz w:val="18"/>
                <w:szCs w:val="18"/>
              </w:rPr>
              <w:t>32</w:t>
            </w:r>
          </w:p>
        </w:tc>
        <w:tc>
          <w:tcPr>
            <w:tcW w:w="349" w:type="pct"/>
            <w:tcBorders>
              <w:top w:val="nil"/>
              <w:left w:val="nil"/>
              <w:bottom w:val="nil"/>
              <w:right w:val="single" w:sz="4" w:space="0" w:color="auto"/>
            </w:tcBorders>
            <w:shd w:val="clear" w:color="auto" w:fill="auto"/>
            <w:vAlign w:val="bottom"/>
            <w:hideMark/>
          </w:tcPr>
          <w:p w14:paraId="064D1EC2" w14:textId="77777777" w:rsidR="00F112F7" w:rsidRPr="0071454C" w:rsidRDefault="00F112F7" w:rsidP="00EE21DC">
            <w:pPr>
              <w:jc w:val="center"/>
              <w:rPr>
                <w:color w:val="000000"/>
                <w:sz w:val="18"/>
                <w:szCs w:val="18"/>
              </w:rPr>
            </w:pPr>
            <w:r w:rsidRPr="0071454C">
              <w:rPr>
                <w:color w:val="000000"/>
                <w:sz w:val="18"/>
                <w:szCs w:val="18"/>
              </w:rPr>
              <w:t>3.43</w:t>
            </w:r>
          </w:p>
        </w:tc>
        <w:tc>
          <w:tcPr>
            <w:tcW w:w="480" w:type="pct"/>
            <w:tcBorders>
              <w:top w:val="nil"/>
              <w:left w:val="nil"/>
              <w:bottom w:val="nil"/>
              <w:right w:val="single" w:sz="4" w:space="0" w:color="auto"/>
            </w:tcBorders>
            <w:shd w:val="clear" w:color="auto" w:fill="auto"/>
            <w:vAlign w:val="bottom"/>
            <w:hideMark/>
          </w:tcPr>
          <w:p w14:paraId="57A1A1B0" w14:textId="77777777" w:rsidR="00F112F7" w:rsidRPr="0071454C" w:rsidRDefault="00F112F7" w:rsidP="00EE21DC">
            <w:pPr>
              <w:jc w:val="center"/>
              <w:rPr>
                <w:color w:val="000000"/>
                <w:sz w:val="18"/>
                <w:szCs w:val="18"/>
              </w:rPr>
            </w:pPr>
            <w:r w:rsidRPr="0071454C">
              <w:rPr>
                <w:color w:val="000000"/>
                <w:sz w:val="18"/>
                <w:szCs w:val="18"/>
              </w:rPr>
              <w:t>3.17</w:t>
            </w:r>
          </w:p>
        </w:tc>
        <w:tc>
          <w:tcPr>
            <w:tcW w:w="717" w:type="pct"/>
            <w:tcBorders>
              <w:top w:val="nil"/>
              <w:left w:val="nil"/>
              <w:bottom w:val="nil"/>
              <w:right w:val="nil"/>
            </w:tcBorders>
            <w:shd w:val="clear" w:color="auto" w:fill="auto"/>
            <w:vAlign w:val="bottom"/>
            <w:hideMark/>
          </w:tcPr>
          <w:p w14:paraId="6EC4B307" w14:textId="77777777" w:rsidR="00F112F7" w:rsidRPr="0071454C" w:rsidRDefault="00F112F7" w:rsidP="00EE21DC">
            <w:pPr>
              <w:jc w:val="center"/>
              <w:rPr>
                <w:color w:val="000000"/>
                <w:sz w:val="18"/>
                <w:szCs w:val="18"/>
              </w:rPr>
            </w:pPr>
            <w:r w:rsidRPr="0071454C">
              <w:rPr>
                <w:color w:val="000000"/>
                <w:sz w:val="18"/>
                <w:szCs w:val="18"/>
              </w:rPr>
              <w:t>3.45</w:t>
            </w:r>
          </w:p>
        </w:tc>
        <w:tc>
          <w:tcPr>
            <w:tcW w:w="677" w:type="pct"/>
            <w:tcBorders>
              <w:top w:val="nil"/>
              <w:left w:val="single" w:sz="4" w:space="0" w:color="auto"/>
              <w:bottom w:val="nil"/>
              <w:right w:val="single" w:sz="4" w:space="0" w:color="auto"/>
            </w:tcBorders>
            <w:shd w:val="clear" w:color="auto" w:fill="auto"/>
            <w:vAlign w:val="bottom"/>
            <w:hideMark/>
          </w:tcPr>
          <w:p w14:paraId="0B15086F" w14:textId="77777777" w:rsidR="00F112F7" w:rsidRPr="0071454C" w:rsidRDefault="00F112F7" w:rsidP="00EE21DC">
            <w:pPr>
              <w:jc w:val="center"/>
              <w:rPr>
                <w:color w:val="000000"/>
                <w:sz w:val="18"/>
                <w:szCs w:val="18"/>
              </w:rPr>
            </w:pPr>
            <w:r w:rsidRPr="0071454C">
              <w:rPr>
                <w:color w:val="000000"/>
                <w:sz w:val="18"/>
                <w:szCs w:val="18"/>
              </w:rPr>
              <w:t>3.48</w:t>
            </w:r>
          </w:p>
        </w:tc>
        <w:tc>
          <w:tcPr>
            <w:tcW w:w="615" w:type="pct"/>
            <w:tcBorders>
              <w:top w:val="nil"/>
              <w:left w:val="nil"/>
              <w:bottom w:val="nil"/>
              <w:right w:val="nil"/>
            </w:tcBorders>
            <w:shd w:val="clear" w:color="auto" w:fill="auto"/>
            <w:vAlign w:val="bottom"/>
            <w:hideMark/>
          </w:tcPr>
          <w:p w14:paraId="40F14B96" w14:textId="77777777" w:rsidR="00F112F7" w:rsidRPr="0071454C" w:rsidRDefault="00F112F7" w:rsidP="00EE21DC">
            <w:pPr>
              <w:jc w:val="center"/>
              <w:rPr>
                <w:color w:val="000000"/>
                <w:sz w:val="18"/>
                <w:szCs w:val="18"/>
              </w:rPr>
            </w:pPr>
            <w:r w:rsidRPr="0071454C">
              <w:rPr>
                <w:color w:val="000000"/>
                <w:sz w:val="18"/>
                <w:szCs w:val="18"/>
              </w:rPr>
              <w:t>3.34</w:t>
            </w:r>
          </w:p>
        </w:tc>
        <w:tc>
          <w:tcPr>
            <w:tcW w:w="507" w:type="pct"/>
            <w:tcBorders>
              <w:top w:val="nil"/>
              <w:left w:val="single" w:sz="4" w:space="0" w:color="auto"/>
              <w:bottom w:val="nil"/>
              <w:right w:val="single" w:sz="4" w:space="0" w:color="auto"/>
            </w:tcBorders>
            <w:shd w:val="clear" w:color="auto" w:fill="auto"/>
            <w:vAlign w:val="bottom"/>
            <w:hideMark/>
          </w:tcPr>
          <w:p w14:paraId="03ED9B5A" w14:textId="77777777" w:rsidR="00F112F7" w:rsidRPr="0071454C" w:rsidRDefault="00F112F7" w:rsidP="00EE21DC">
            <w:pPr>
              <w:jc w:val="center"/>
              <w:rPr>
                <w:color w:val="000000"/>
                <w:sz w:val="18"/>
                <w:szCs w:val="18"/>
              </w:rPr>
            </w:pPr>
            <w:r w:rsidRPr="0071454C">
              <w:rPr>
                <w:color w:val="000000"/>
                <w:sz w:val="18"/>
                <w:szCs w:val="18"/>
              </w:rPr>
              <w:t>3.46</w:t>
            </w:r>
          </w:p>
        </w:tc>
        <w:tc>
          <w:tcPr>
            <w:tcW w:w="567" w:type="pct"/>
            <w:tcBorders>
              <w:top w:val="nil"/>
              <w:left w:val="nil"/>
              <w:bottom w:val="nil"/>
              <w:right w:val="single" w:sz="4" w:space="0" w:color="auto"/>
            </w:tcBorders>
            <w:shd w:val="clear" w:color="auto" w:fill="auto"/>
            <w:vAlign w:val="bottom"/>
            <w:hideMark/>
          </w:tcPr>
          <w:p w14:paraId="4D6D87B6" w14:textId="77777777" w:rsidR="00F112F7" w:rsidRPr="0071454C" w:rsidRDefault="00F112F7" w:rsidP="00EE21DC">
            <w:pPr>
              <w:jc w:val="center"/>
              <w:rPr>
                <w:color w:val="000000"/>
                <w:sz w:val="18"/>
                <w:szCs w:val="18"/>
              </w:rPr>
            </w:pPr>
            <w:r w:rsidRPr="0071454C">
              <w:rPr>
                <w:color w:val="000000"/>
                <w:sz w:val="18"/>
                <w:szCs w:val="18"/>
              </w:rPr>
              <w:t>3.65</w:t>
            </w:r>
          </w:p>
        </w:tc>
      </w:tr>
      <w:tr w:rsidR="00F112F7" w:rsidRPr="00647951" w14:paraId="28D19796" w14:textId="77777777" w:rsidTr="00EE21DC">
        <w:trPr>
          <w:trHeight w:val="255"/>
        </w:trPr>
        <w:tc>
          <w:tcPr>
            <w:tcW w:w="703" w:type="pct"/>
            <w:tcBorders>
              <w:top w:val="nil"/>
              <w:left w:val="single" w:sz="4" w:space="0" w:color="auto"/>
              <w:bottom w:val="nil"/>
              <w:right w:val="single" w:sz="4" w:space="0" w:color="auto"/>
            </w:tcBorders>
            <w:shd w:val="clear" w:color="auto" w:fill="auto"/>
            <w:vAlign w:val="bottom"/>
            <w:hideMark/>
          </w:tcPr>
          <w:p w14:paraId="50E009F5" w14:textId="77777777" w:rsidR="00F112F7" w:rsidRPr="0071454C" w:rsidRDefault="00F112F7" w:rsidP="00EE21DC">
            <w:pPr>
              <w:rPr>
                <w:b/>
                <w:bCs/>
                <w:color w:val="000000"/>
                <w:sz w:val="18"/>
                <w:szCs w:val="18"/>
              </w:rPr>
            </w:pPr>
            <w:r w:rsidRPr="0071454C">
              <w:rPr>
                <w:b/>
                <w:bCs/>
                <w:color w:val="000000"/>
                <w:sz w:val="18"/>
                <w:szCs w:val="18"/>
              </w:rPr>
              <w:t>India</w:t>
            </w:r>
          </w:p>
        </w:tc>
        <w:tc>
          <w:tcPr>
            <w:tcW w:w="385" w:type="pct"/>
            <w:tcBorders>
              <w:top w:val="nil"/>
              <w:left w:val="nil"/>
              <w:bottom w:val="nil"/>
              <w:right w:val="single" w:sz="4" w:space="0" w:color="auto"/>
            </w:tcBorders>
            <w:shd w:val="clear" w:color="auto" w:fill="auto"/>
            <w:vAlign w:val="bottom"/>
            <w:hideMark/>
          </w:tcPr>
          <w:p w14:paraId="3DEACEA6" w14:textId="77777777" w:rsidR="00F112F7" w:rsidRPr="0071454C" w:rsidRDefault="00F112F7" w:rsidP="00EE21DC">
            <w:pPr>
              <w:jc w:val="center"/>
              <w:rPr>
                <w:color w:val="000000"/>
                <w:sz w:val="18"/>
                <w:szCs w:val="18"/>
              </w:rPr>
            </w:pPr>
            <w:r w:rsidRPr="0071454C">
              <w:rPr>
                <w:color w:val="000000"/>
                <w:sz w:val="18"/>
                <w:szCs w:val="18"/>
              </w:rPr>
              <w:t>35</w:t>
            </w:r>
          </w:p>
        </w:tc>
        <w:tc>
          <w:tcPr>
            <w:tcW w:w="349" w:type="pct"/>
            <w:tcBorders>
              <w:top w:val="nil"/>
              <w:left w:val="nil"/>
              <w:bottom w:val="nil"/>
              <w:right w:val="single" w:sz="4" w:space="0" w:color="auto"/>
            </w:tcBorders>
            <w:shd w:val="clear" w:color="auto" w:fill="auto"/>
            <w:vAlign w:val="bottom"/>
            <w:hideMark/>
          </w:tcPr>
          <w:p w14:paraId="74069D8E" w14:textId="77777777" w:rsidR="00F112F7" w:rsidRPr="0071454C" w:rsidRDefault="00F112F7" w:rsidP="00EE21DC">
            <w:pPr>
              <w:jc w:val="center"/>
              <w:rPr>
                <w:color w:val="000000"/>
                <w:sz w:val="18"/>
                <w:szCs w:val="18"/>
              </w:rPr>
            </w:pPr>
            <w:r w:rsidRPr="0071454C">
              <w:rPr>
                <w:color w:val="000000"/>
                <w:sz w:val="18"/>
                <w:szCs w:val="18"/>
              </w:rPr>
              <w:t>3.42</w:t>
            </w:r>
          </w:p>
        </w:tc>
        <w:tc>
          <w:tcPr>
            <w:tcW w:w="480" w:type="pct"/>
            <w:tcBorders>
              <w:top w:val="nil"/>
              <w:left w:val="nil"/>
              <w:bottom w:val="nil"/>
              <w:right w:val="single" w:sz="4" w:space="0" w:color="auto"/>
            </w:tcBorders>
            <w:shd w:val="clear" w:color="auto" w:fill="auto"/>
            <w:vAlign w:val="bottom"/>
            <w:hideMark/>
          </w:tcPr>
          <w:p w14:paraId="3CD735F7" w14:textId="77777777" w:rsidR="00F112F7" w:rsidRPr="0071454C" w:rsidRDefault="00F112F7" w:rsidP="00EE21DC">
            <w:pPr>
              <w:jc w:val="center"/>
              <w:rPr>
                <w:color w:val="000000"/>
                <w:sz w:val="18"/>
                <w:szCs w:val="18"/>
              </w:rPr>
            </w:pPr>
            <w:r w:rsidRPr="0071454C">
              <w:rPr>
                <w:color w:val="000000"/>
                <w:sz w:val="18"/>
                <w:szCs w:val="18"/>
              </w:rPr>
              <w:t>3.17</w:t>
            </w:r>
          </w:p>
        </w:tc>
        <w:tc>
          <w:tcPr>
            <w:tcW w:w="717" w:type="pct"/>
            <w:tcBorders>
              <w:top w:val="nil"/>
              <w:left w:val="nil"/>
              <w:bottom w:val="nil"/>
              <w:right w:val="nil"/>
            </w:tcBorders>
            <w:shd w:val="clear" w:color="auto" w:fill="auto"/>
            <w:vAlign w:val="bottom"/>
            <w:hideMark/>
          </w:tcPr>
          <w:p w14:paraId="273E156E" w14:textId="77777777" w:rsidR="00F112F7" w:rsidRPr="0071454C" w:rsidRDefault="00F112F7" w:rsidP="00EE21DC">
            <w:pPr>
              <w:jc w:val="center"/>
              <w:rPr>
                <w:color w:val="000000"/>
                <w:sz w:val="18"/>
                <w:szCs w:val="18"/>
              </w:rPr>
            </w:pPr>
            <w:r w:rsidRPr="0071454C">
              <w:rPr>
                <w:color w:val="000000"/>
                <w:sz w:val="18"/>
                <w:szCs w:val="18"/>
              </w:rPr>
              <w:t>3.34</w:t>
            </w:r>
          </w:p>
        </w:tc>
        <w:tc>
          <w:tcPr>
            <w:tcW w:w="677" w:type="pct"/>
            <w:tcBorders>
              <w:top w:val="nil"/>
              <w:left w:val="single" w:sz="4" w:space="0" w:color="auto"/>
              <w:bottom w:val="nil"/>
              <w:right w:val="single" w:sz="4" w:space="0" w:color="auto"/>
            </w:tcBorders>
            <w:shd w:val="clear" w:color="auto" w:fill="auto"/>
            <w:vAlign w:val="bottom"/>
            <w:hideMark/>
          </w:tcPr>
          <w:p w14:paraId="13C8E87E" w14:textId="77777777" w:rsidR="00F112F7" w:rsidRPr="0071454C" w:rsidRDefault="00F112F7" w:rsidP="00EE21DC">
            <w:pPr>
              <w:jc w:val="center"/>
              <w:rPr>
                <w:color w:val="000000"/>
                <w:sz w:val="18"/>
                <w:szCs w:val="18"/>
              </w:rPr>
            </w:pPr>
            <w:r w:rsidRPr="0071454C">
              <w:rPr>
                <w:color w:val="000000"/>
                <w:sz w:val="18"/>
                <w:szCs w:val="18"/>
              </w:rPr>
              <w:t>3.36</w:t>
            </w:r>
          </w:p>
        </w:tc>
        <w:tc>
          <w:tcPr>
            <w:tcW w:w="615" w:type="pct"/>
            <w:tcBorders>
              <w:top w:val="nil"/>
              <w:left w:val="nil"/>
              <w:bottom w:val="nil"/>
              <w:right w:val="nil"/>
            </w:tcBorders>
            <w:shd w:val="clear" w:color="auto" w:fill="auto"/>
            <w:vAlign w:val="bottom"/>
            <w:hideMark/>
          </w:tcPr>
          <w:p w14:paraId="1D8BE0D9" w14:textId="77777777" w:rsidR="00F112F7" w:rsidRPr="0071454C" w:rsidRDefault="00F112F7" w:rsidP="00EE21DC">
            <w:pPr>
              <w:jc w:val="center"/>
              <w:rPr>
                <w:color w:val="000000"/>
                <w:sz w:val="18"/>
                <w:szCs w:val="18"/>
              </w:rPr>
            </w:pPr>
            <w:r w:rsidRPr="0071454C">
              <w:rPr>
                <w:color w:val="000000"/>
                <w:sz w:val="18"/>
                <w:szCs w:val="18"/>
              </w:rPr>
              <w:t>3.39</w:t>
            </w:r>
          </w:p>
        </w:tc>
        <w:tc>
          <w:tcPr>
            <w:tcW w:w="507" w:type="pct"/>
            <w:tcBorders>
              <w:top w:val="nil"/>
              <w:left w:val="single" w:sz="4" w:space="0" w:color="auto"/>
              <w:bottom w:val="nil"/>
              <w:right w:val="single" w:sz="4" w:space="0" w:color="auto"/>
            </w:tcBorders>
            <w:shd w:val="clear" w:color="auto" w:fill="auto"/>
            <w:vAlign w:val="bottom"/>
            <w:hideMark/>
          </w:tcPr>
          <w:p w14:paraId="1A3DABB8" w14:textId="77777777" w:rsidR="00F112F7" w:rsidRPr="0071454C" w:rsidRDefault="00F112F7" w:rsidP="00EE21DC">
            <w:pPr>
              <w:jc w:val="center"/>
              <w:rPr>
                <w:color w:val="000000"/>
                <w:sz w:val="18"/>
                <w:szCs w:val="18"/>
              </w:rPr>
            </w:pPr>
            <w:r w:rsidRPr="0071454C">
              <w:rPr>
                <w:color w:val="000000"/>
                <w:sz w:val="18"/>
                <w:szCs w:val="18"/>
              </w:rPr>
              <w:t>3.52</w:t>
            </w:r>
          </w:p>
        </w:tc>
        <w:tc>
          <w:tcPr>
            <w:tcW w:w="567" w:type="pct"/>
            <w:tcBorders>
              <w:top w:val="nil"/>
              <w:left w:val="nil"/>
              <w:bottom w:val="nil"/>
              <w:right w:val="single" w:sz="4" w:space="0" w:color="auto"/>
            </w:tcBorders>
            <w:shd w:val="clear" w:color="auto" w:fill="auto"/>
            <w:vAlign w:val="bottom"/>
            <w:hideMark/>
          </w:tcPr>
          <w:p w14:paraId="4AF15EE0" w14:textId="77777777" w:rsidR="00F112F7" w:rsidRPr="0071454C" w:rsidRDefault="00F112F7" w:rsidP="00EE21DC">
            <w:pPr>
              <w:jc w:val="center"/>
              <w:rPr>
                <w:color w:val="000000"/>
                <w:sz w:val="18"/>
                <w:szCs w:val="18"/>
              </w:rPr>
            </w:pPr>
            <w:r w:rsidRPr="0071454C">
              <w:rPr>
                <w:color w:val="000000"/>
                <w:sz w:val="18"/>
                <w:szCs w:val="18"/>
              </w:rPr>
              <w:t>3.74</w:t>
            </w:r>
          </w:p>
        </w:tc>
      </w:tr>
      <w:tr w:rsidR="00F112F7" w:rsidRPr="00647951" w14:paraId="15239CEC" w14:textId="77777777" w:rsidTr="00EE21DC">
        <w:trPr>
          <w:trHeight w:val="255"/>
        </w:trPr>
        <w:tc>
          <w:tcPr>
            <w:tcW w:w="703" w:type="pct"/>
            <w:tcBorders>
              <w:top w:val="nil"/>
              <w:left w:val="single" w:sz="4" w:space="0" w:color="auto"/>
              <w:bottom w:val="nil"/>
              <w:right w:val="single" w:sz="4" w:space="0" w:color="auto"/>
            </w:tcBorders>
            <w:shd w:val="clear" w:color="auto" w:fill="auto"/>
            <w:vAlign w:val="bottom"/>
            <w:hideMark/>
          </w:tcPr>
          <w:p w14:paraId="0BB111AA" w14:textId="77777777" w:rsidR="00F112F7" w:rsidRPr="0071454C" w:rsidRDefault="00F112F7" w:rsidP="00EE21DC">
            <w:pPr>
              <w:rPr>
                <w:b/>
                <w:bCs/>
                <w:color w:val="000000"/>
                <w:sz w:val="18"/>
                <w:szCs w:val="18"/>
              </w:rPr>
            </w:pPr>
            <w:r w:rsidRPr="0071454C">
              <w:rPr>
                <w:b/>
                <w:bCs/>
                <w:color w:val="000000"/>
                <w:sz w:val="18"/>
                <w:szCs w:val="18"/>
              </w:rPr>
              <w:t>Thailand</w:t>
            </w:r>
          </w:p>
        </w:tc>
        <w:tc>
          <w:tcPr>
            <w:tcW w:w="385" w:type="pct"/>
            <w:tcBorders>
              <w:top w:val="nil"/>
              <w:left w:val="nil"/>
              <w:bottom w:val="nil"/>
              <w:right w:val="single" w:sz="4" w:space="0" w:color="auto"/>
            </w:tcBorders>
            <w:shd w:val="clear" w:color="auto" w:fill="auto"/>
            <w:vAlign w:val="bottom"/>
            <w:hideMark/>
          </w:tcPr>
          <w:p w14:paraId="22FF54C4" w14:textId="77777777" w:rsidR="00F112F7" w:rsidRPr="0071454C" w:rsidRDefault="00F112F7" w:rsidP="00EE21DC">
            <w:pPr>
              <w:jc w:val="center"/>
              <w:rPr>
                <w:color w:val="000000"/>
                <w:sz w:val="18"/>
                <w:szCs w:val="18"/>
              </w:rPr>
            </w:pPr>
            <w:r w:rsidRPr="0071454C">
              <w:rPr>
                <w:color w:val="000000"/>
                <w:sz w:val="18"/>
                <w:szCs w:val="18"/>
              </w:rPr>
              <w:t>45</w:t>
            </w:r>
          </w:p>
        </w:tc>
        <w:tc>
          <w:tcPr>
            <w:tcW w:w="349" w:type="pct"/>
            <w:tcBorders>
              <w:top w:val="nil"/>
              <w:left w:val="nil"/>
              <w:bottom w:val="nil"/>
              <w:right w:val="single" w:sz="4" w:space="0" w:color="auto"/>
            </w:tcBorders>
            <w:shd w:val="clear" w:color="auto" w:fill="auto"/>
            <w:vAlign w:val="bottom"/>
            <w:hideMark/>
          </w:tcPr>
          <w:p w14:paraId="3863AAE9" w14:textId="77777777" w:rsidR="00F112F7" w:rsidRPr="0071454C" w:rsidRDefault="00F112F7" w:rsidP="00EE21DC">
            <w:pPr>
              <w:jc w:val="center"/>
              <w:rPr>
                <w:color w:val="000000"/>
                <w:sz w:val="18"/>
                <w:szCs w:val="18"/>
              </w:rPr>
            </w:pPr>
            <w:r w:rsidRPr="0071454C">
              <w:rPr>
                <w:color w:val="000000"/>
                <w:sz w:val="18"/>
                <w:szCs w:val="18"/>
              </w:rPr>
              <w:t>3.26</w:t>
            </w:r>
          </w:p>
        </w:tc>
        <w:tc>
          <w:tcPr>
            <w:tcW w:w="480" w:type="pct"/>
            <w:tcBorders>
              <w:top w:val="nil"/>
              <w:left w:val="nil"/>
              <w:bottom w:val="nil"/>
              <w:right w:val="single" w:sz="4" w:space="0" w:color="auto"/>
            </w:tcBorders>
            <w:shd w:val="clear" w:color="auto" w:fill="auto"/>
            <w:vAlign w:val="bottom"/>
            <w:hideMark/>
          </w:tcPr>
          <w:p w14:paraId="62A07FF7" w14:textId="77777777" w:rsidR="00F112F7" w:rsidRPr="0071454C" w:rsidRDefault="00F112F7" w:rsidP="00EE21DC">
            <w:pPr>
              <w:jc w:val="center"/>
              <w:rPr>
                <w:color w:val="000000"/>
                <w:sz w:val="18"/>
                <w:szCs w:val="18"/>
              </w:rPr>
            </w:pPr>
            <w:r w:rsidRPr="0071454C">
              <w:rPr>
                <w:color w:val="000000"/>
                <w:sz w:val="18"/>
                <w:szCs w:val="18"/>
              </w:rPr>
              <w:t>3.11</w:t>
            </w:r>
          </w:p>
        </w:tc>
        <w:tc>
          <w:tcPr>
            <w:tcW w:w="717" w:type="pct"/>
            <w:tcBorders>
              <w:top w:val="nil"/>
              <w:left w:val="nil"/>
              <w:bottom w:val="nil"/>
              <w:right w:val="nil"/>
            </w:tcBorders>
            <w:shd w:val="clear" w:color="auto" w:fill="auto"/>
            <w:vAlign w:val="bottom"/>
            <w:hideMark/>
          </w:tcPr>
          <w:p w14:paraId="4259FFF8" w14:textId="77777777" w:rsidR="00F112F7" w:rsidRPr="0071454C" w:rsidRDefault="00F112F7" w:rsidP="00EE21DC">
            <w:pPr>
              <w:jc w:val="center"/>
              <w:rPr>
                <w:color w:val="000000"/>
                <w:sz w:val="18"/>
                <w:szCs w:val="18"/>
              </w:rPr>
            </w:pPr>
            <w:r w:rsidRPr="0071454C">
              <w:rPr>
                <w:color w:val="000000"/>
                <w:sz w:val="18"/>
                <w:szCs w:val="18"/>
              </w:rPr>
              <w:t>3.12</w:t>
            </w:r>
          </w:p>
        </w:tc>
        <w:tc>
          <w:tcPr>
            <w:tcW w:w="677" w:type="pct"/>
            <w:tcBorders>
              <w:top w:val="nil"/>
              <w:left w:val="single" w:sz="4" w:space="0" w:color="auto"/>
              <w:bottom w:val="nil"/>
              <w:right w:val="single" w:sz="4" w:space="0" w:color="auto"/>
            </w:tcBorders>
            <w:shd w:val="clear" w:color="auto" w:fill="auto"/>
            <w:vAlign w:val="bottom"/>
            <w:hideMark/>
          </w:tcPr>
          <w:p w14:paraId="11BDB3C0" w14:textId="77777777" w:rsidR="00F112F7" w:rsidRPr="0071454C" w:rsidRDefault="00F112F7" w:rsidP="00EE21DC">
            <w:pPr>
              <w:jc w:val="center"/>
              <w:rPr>
                <w:color w:val="000000"/>
                <w:sz w:val="18"/>
                <w:szCs w:val="18"/>
              </w:rPr>
            </w:pPr>
            <w:r w:rsidRPr="0071454C">
              <w:rPr>
                <w:color w:val="000000"/>
                <w:sz w:val="18"/>
                <w:szCs w:val="18"/>
              </w:rPr>
              <w:t>3.37</w:t>
            </w:r>
          </w:p>
        </w:tc>
        <w:tc>
          <w:tcPr>
            <w:tcW w:w="615" w:type="pct"/>
            <w:tcBorders>
              <w:top w:val="nil"/>
              <w:left w:val="nil"/>
              <w:bottom w:val="nil"/>
              <w:right w:val="nil"/>
            </w:tcBorders>
            <w:shd w:val="clear" w:color="auto" w:fill="auto"/>
            <w:vAlign w:val="bottom"/>
            <w:hideMark/>
          </w:tcPr>
          <w:p w14:paraId="35A57A62" w14:textId="77777777" w:rsidR="00F112F7" w:rsidRPr="0071454C" w:rsidRDefault="00F112F7" w:rsidP="00EE21DC">
            <w:pPr>
              <w:jc w:val="center"/>
              <w:rPr>
                <w:color w:val="000000"/>
                <w:sz w:val="18"/>
                <w:szCs w:val="18"/>
              </w:rPr>
            </w:pPr>
            <w:r w:rsidRPr="0071454C">
              <w:rPr>
                <w:color w:val="000000"/>
                <w:sz w:val="18"/>
                <w:szCs w:val="18"/>
              </w:rPr>
              <w:t>3.14</w:t>
            </w:r>
          </w:p>
        </w:tc>
        <w:tc>
          <w:tcPr>
            <w:tcW w:w="507" w:type="pct"/>
            <w:tcBorders>
              <w:top w:val="nil"/>
              <w:left w:val="single" w:sz="4" w:space="0" w:color="auto"/>
              <w:bottom w:val="nil"/>
              <w:right w:val="single" w:sz="4" w:space="0" w:color="auto"/>
            </w:tcBorders>
            <w:shd w:val="clear" w:color="auto" w:fill="auto"/>
            <w:vAlign w:val="bottom"/>
            <w:hideMark/>
          </w:tcPr>
          <w:p w14:paraId="2854CCD5" w14:textId="77777777" w:rsidR="00F112F7" w:rsidRPr="0071454C" w:rsidRDefault="00F112F7" w:rsidP="00EE21DC">
            <w:pPr>
              <w:jc w:val="center"/>
              <w:rPr>
                <w:color w:val="000000"/>
                <w:sz w:val="18"/>
                <w:szCs w:val="18"/>
              </w:rPr>
            </w:pPr>
            <w:r w:rsidRPr="0071454C">
              <w:rPr>
                <w:color w:val="000000"/>
                <w:sz w:val="18"/>
                <w:szCs w:val="18"/>
              </w:rPr>
              <w:t>3.2</w:t>
            </w:r>
          </w:p>
        </w:tc>
        <w:tc>
          <w:tcPr>
            <w:tcW w:w="567" w:type="pct"/>
            <w:tcBorders>
              <w:top w:val="nil"/>
              <w:left w:val="nil"/>
              <w:bottom w:val="nil"/>
              <w:right w:val="single" w:sz="4" w:space="0" w:color="auto"/>
            </w:tcBorders>
            <w:shd w:val="clear" w:color="auto" w:fill="auto"/>
            <w:vAlign w:val="bottom"/>
            <w:hideMark/>
          </w:tcPr>
          <w:p w14:paraId="5842C8F1" w14:textId="77777777" w:rsidR="00F112F7" w:rsidRPr="0071454C" w:rsidRDefault="00F112F7" w:rsidP="00EE21DC">
            <w:pPr>
              <w:jc w:val="center"/>
              <w:rPr>
                <w:color w:val="000000"/>
                <w:sz w:val="18"/>
                <w:szCs w:val="18"/>
              </w:rPr>
            </w:pPr>
            <w:r w:rsidRPr="0071454C">
              <w:rPr>
                <w:color w:val="000000"/>
                <w:sz w:val="18"/>
                <w:szCs w:val="18"/>
              </w:rPr>
              <w:t>3.56</w:t>
            </w:r>
          </w:p>
        </w:tc>
      </w:tr>
      <w:tr w:rsidR="00F112F7" w:rsidRPr="00647951" w14:paraId="6A4D1DA6" w14:textId="77777777" w:rsidTr="00EE21DC">
        <w:trPr>
          <w:trHeight w:val="255"/>
        </w:trPr>
        <w:tc>
          <w:tcPr>
            <w:tcW w:w="703" w:type="pct"/>
            <w:tcBorders>
              <w:top w:val="nil"/>
              <w:left w:val="single" w:sz="4" w:space="0" w:color="auto"/>
              <w:bottom w:val="nil"/>
              <w:right w:val="single" w:sz="4" w:space="0" w:color="auto"/>
            </w:tcBorders>
            <w:shd w:val="clear" w:color="auto" w:fill="auto"/>
            <w:vAlign w:val="bottom"/>
            <w:hideMark/>
          </w:tcPr>
          <w:p w14:paraId="1247B545" w14:textId="77777777" w:rsidR="00F112F7" w:rsidRPr="0071454C" w:rsidRDefault="00F112F7" w:rsidP="00EE21DC">
            <w:pPr>
              <w:rPr>
                <w:b/>
                <w:bCs/>
                <w:color w:val="000000"/>
                <w:sz w:val="18"/>
                <w:szCs w:val="18"/>
              </w:rPr>
            </w:pPr>
            <w:r w:rsidRPr="0071454C">
              <w:rPr>
                <w:b/>
                <w:bCs/>
                <w:color w:val="000000"/>
                <w:sz w:val="18"/>
                <w:szCs w:val="18"/>
              </w:rPr>
              <w:t>Indonesia</w:t>
            </w:r>
          </w:p>
        </w:tc>
        <w:tc>
          <w:tcPr>
            <w:tcW w:w="385" w:type="pct"/>
            <w:tcBorders>
              <w:top w:val="nil"/>
              <w:left w:val="nil"/>
              <w:bottom w:val="nil"/>
              <w:right w:val="single" w:sz="4" w:space="0" w:color="auto"/>
            </w:tcBorders>
            <w:shd w:val="clear" w:color="auto" w:fill="auto"/>
            <w:vAlign w:val="bottom"/>
            <w:hideMark/>
          </w:tcPr>
          <w:p w14:paraId="6401DFFF" w14:textId="77777777" w:rsidR="00F112F7" w:rsidRPr="0071454C" w:rsidRDefault="00F112F7" w:rsidP="00EE21DC">
            <w:pPr>
              <w:jc w:val="center"/>
              <w:rPr>
                <w:color w:val="000000"/>
                <w:sz w:val="18"/>
                <w:szCs w:val="18"/>
              </w:rPr>
            </w:pPr>
            <w:r w:rsidRPr="0071454C">
              <w:rPr>
                <w:color w:val="000000"/>
                <w:sz w:val="18"/>
                <w:szCs w:val="18"/>
              </w:rPr>
              <w:t>63</w:t>
            </w:r>
          </w:p>
        </w:tc>
        <w:tc>
          <w:tcPr>
            <w:tcW w:w="349" w:type="pct"/>
            <w:tcBorders>
              <w:top w:val="nil"/>
              <w:left w:val="nil"/>
              <w:bottom w:val="nil"/>
              <w:right w:val="single" w:sz="4" w:space="0" w:color="auto"/>
            </w:tcBorders>
            <w:shd w:val="clear" w:color="auto" w:fill="auto"/>
            <w:vAlign w:val="bottom"/>
            <w:hideMark/>
          </w:tcPr>
          <w:p w14:paraId="36FB21DD" w14:textId="77777777" w:rsidR="00F112F7" w:rsidRPr="0071454C" w:rsidRDefault="00F112F7" w:rsidP="00EE21DC">
            <w:pPr>
              <w:jc w:val="center"/>
              <w:rPr>
                <w:color w:val="000000"/>
                <w:sz w:val="18"/>
                <w:szCs w:val="18"/>
              </w:rPr>
            </w:pPr>
            <w:r w:rsidRPr="0071454C">
              <w:rPr>
                <w:color w:val="000000"/>
                <w:sz w:val="18"/>
                <w:szCs w:val="18"/>
              </w:rPr>
              <w:t>2.98</w:t>
            </w:r>
          </w:p>
        </w:tc>
        <w:tc>
          <w:tcPr>
            <w:tcW w:w="480" w:type="pct"/>
            <w:tcBorders>
              <w:top w:val="nil"/>
              <w:left w:val="nil"/>
              <w:bottom w:val="nil"/>
              <w:right w:val="single" w:sz="4" w:space="0" w:color="auto"/>
            </w:tcBorders>
            <w:shd w:val="clear" w:color="auto" w:fill="auto"/>
            <w:vAlign w:val="bottom"/>
            <w:hideMark/>
          </w:tcPr>
          <w:p w14:paraId="5B4EE829" w14:textId="77777777" w:rsidR="00F112F7" w:rsidRPr="0071454C" w:rsidRDefault="00F112F7" w:rsidP="00EE21DC">
            <w:pPr>
              <w:jc w:val="center"/>
              <w:rPr>
                <w:color w:val="000000"/>
                <w:sz w:val="18"/>
                <w:szCs w:val="18"/>
              </w:rPr>
            </w:pPr>
            <w:r w:rsidRPr="0071454C">
              <w:rPr>
                <w:color w:val="000000"/>
                <w:sz w:val="18"/>
                <w:szCs w:val="18"/>
              </w:rPr>
              <w:t>2.69</w:t>
            </w:r>
          </w:p>
        </w:tc>
        <w:tc>
          <w:tcPr>
            <w:tcW w:w="717" w:type="pct"/>
            <w:tcBorders>
              <w:top w:val="nil"/>
              <w:left w:val="nil"/>
              <w:bottom w:val="nil"/>
              <w:right w:val="nil"/>
            </w:tcBorders>
            <w:shd w:val="clear" w:color="auto" w:fill="auto"/>
            <w:vAlign w:val="bottom"/>
            <w:hideMark/>
          </w:tcPr>
          <w:p w14:paraId="7D2D54AB" w14:textId="77777777" w:rsidR="00F112F7" w:rsidRPr="0071454C" w:rsidRDefault="00F112F7" w:rsidP="00EE21DC">
            <w:pPr>
              <w:jc w:val="center"/>
              <w:rPr>
                <w:color w:val="000000"/>
                <w:sz w:val="18"/>
                <w:szCs w:val="18"/>
              </w:rPr>
            </w:pPr>
            <w:r w:rsidRPr="0071454C">
              <w:rPr>
                <w:color w:val="000000"/>
                <w:sz w:val="18"/>
                <w:szCs w:val="18"/>
              </w:rPr>
              <w:t>2.65</w:t>
            </w:r>
          </w:p>
        </w:tc>
        <w:tc>
          <w:tcPr>
            <w:tcW w:w="677" w:type="pct"/>
            <w:tcBorders>
              <w:top w:val="nil"/>
              <w:left w:val="single" w:sz="4" w:space="0" w:color="auto"/>
              <w:bottom w:val="nil"/>
              <w:right w:val="single" w:sz="4" w:space="0" w:color="auto"/>
            </w:tcBorders>
            <w:shd w:val="clear" w:color="auto" w:fill="auto"/>
            <w:vAlign w:val="bottom"/>
            <w:hideMark/>
          </w:tcPr>
          <w:p w14:paraId="4F1613EA" w14:textId="77777777" w:rsidR="00F112F7" w:rsidRPr="0071454C" w:rsidRDefault="00F112F7" w:rsidP="00EE21DC">
            <w:pPr>
              <w:jc w:val="center"/>
              <w:rPr>
                <w:color w:val="000000"/>
                <w:sz w:val="18"/>
                <w:szCs w:val="18"/>
              </w:rPr>
            </w:pPr>
            <w:r w:rsidRPr="0071454C">
              <w:rPr>
                <w:color w:val="000000"/>
                <w:sz w:val="18"/>
                <w:szCs w:val="18"/>
              </w:rPr>
              <w:t>2.9</w:t>
            </w:r>
          </w:p>
        </w:tc>
        <w:tc>
          <w:tcPr>
            <w:tcW w:w="615" w:type="pct"/>
            <w:tcBorders>
              <w:top w:val="nil"/>
              <w:left w:val="nil"/>
              <w:bottom w:val="nil"/>
              <w:right w:val="nil"/>
            </w:tcBorders>
            <w:shd w:val="clear" w:color="auto" w:fill="auto"/>
            <w:vAlign w:val="bottom"/>
            <w:hideMark/>
          </w:tcPr>
          <w:p w14:paraId="1D06D226" w14:textId="77777777" w:rsidR="00F112F7" w:rsidRPr="0071454C" w:rsidRDefault="00F112F7" w:rsidP="00EE21DC">
            <w:pPr>
              <w:jc w:val="center"/>
              <w:rPr>
                <w:color w:val="000000"/>
                <w:sz w:val="18"/>
                <w:szCs w:val="18"/>
              </w:rPr>
            </w:pPr>
            <w:r w:rsidRPr="0071454C">
              <w:rPr>
                <w:color w:val="000000"/>
                <w:sz w:val="18"/>
                <w:szCs w:val="18"/>
              </w:rPr>
              <w:t>3</w:t>
            </w:r>
          </w:p>
        </w:tc>
        <w:tc>
          <w:tcPr>
            <w:tcW w:w="507" w:type="pct"/>
            <w:tcBorders>
              <w:top w:val="nil"/>
              <w:left w:val="single" w:sz="4" w:space="0" w:color="auto"/>
              <w:bottom w:val="nil"/>
              <w:right w:val="single" w:sz="4" w:space="0" w:color="auto"/>
            </w:tcBorders>
            <w:shd w:val="clear" w:color="auto" w:fill="auto"/>
            <w:vAlign w:val="bottom"/>
            <w:hideMark/>
          </w:tcPr>
          <w:p w14:paraId="29B8C2FD" w14:textId="77777777" w:rsidR="00F112F7" w:rsidRPr="0071454C" w:rsidRDefault="00F112F7" w:rsidP="00EE21DC">
            <w:pPr>
              <w:jc w:val="center"/>
              <w:rPr>
                <w:color w:val="000000"/>
                <w:sz w:val="18"/>
                <w:szCs w:val="18"/>
              </w:rPr>
            </w:pPr>
            <w:r w:rsidRPr="0071454C">
              <w:rPr>
                <w:color w:val="000000"/>
                <w:sz w:val="18"/>
                <w:szCs w:val="18"/>
              </w:rPr>
              <w:t>3.19</w:t>
            </w:r>
          </w:p>
        </w:tc>
        <w:tc>
          <w:tcPr>
            <w:tcW w:w="567" w:type="pct"/>
            <w:tcBorders>
              <w:top w:val="nil"/>
              <w:left w:val="nil"/>
              <w:bottom w:val="nil"/>
              <w:right w:val="single" w:sz="4" w:space="0" w:color="auto"/>
            </w:tcBorders>
            <w:shd w:val="clear" w:color="auto" w:fill="auto"/>
            <w:vAlign w:val="bottom"/>
            <w:hideMark/>
          </w:tcPr>
          <w:p w14:paraId="301D2CD1" w14:textId="77777777" w:rsidR="00F112F7" w:rsidRPr="0071454C" w:rsidRDefault="00F112F7" w:rsidP="00EE21DC">
            <w:pPr>
              <w:jc w:val="center"/>
              <w:rPr>
                <w:color w:val="000000"/>
                <w:sz w:val="18"/>
                <w:szCs w:val="18"/>
              </w:rPr>
            </w:pPr>
            <w:r w:rsidRPr="0071454C">
              <w:rPr>
                <w:color w:val="000000"/>
                <w:sz w:val="18"/>
                <w:szCs w:val="18"/>
              </w:rPr>
              <w:t>3.46</w:t>
            </w:r>
          </w:p>
        </w:tc>
      </w:tr>
      <w:tr w:rsidR="00F112F7" w:rsidRPr="00647951" w14:paraId="3F53B666" w14:textId="77777777" w:rsidTr="00EE21DC">
        <w:trPr>
          <w:trHeight w:val="255"/>
        </w:trPr>
        <w:tc>
          <w:tcPr>
            <w:tcW w:w="703" w:type="pct"/>
            <w:tcBorders>
              <w:top w:val="nil"/>
              <w:left w:val="single" w:sz="4" w:space="0" w:color="auto"/>
              <w:bottom w:val="nil"/>
              <w:right w:val="single" w:sz="4" w:space="0" w:color="auto"/>
            </w:tcBorders>
            <w:shd w:val="clear" w:color="auto" w:fill="auto"/>
            <w:vAlign w:val="bottom"/>
            <w:hideMark/>
          </w:tcPr>
          <w:p w14:paraId="2B774D56" w14:textId="77777777" w:rsidR="00F112F7" w:rsidRPr="0071454C" w:rsidRDefault="00F112F7" w:rsidP="00EE21DC">
            <w:pPr>
              <w:rPr>
                <w:b/>
                <w:bCs/>
                <w:color w:val="000000"/>
                <w:sz w:val="18"/>
                <w:szCs w:val="18"/>
              </w:rPr>
            </w:pPr>
            <w:r w:rsidRPr="0071454C">
              <w:rPr>
                <w:b/>
                <w:bCs/>
                <w:color w:val="000000"/>
                <w:sz w:val="18"/>
                <w:szCs w:val="18"/>
              </w:rPr>
              <w:t>Vietnam</w:t>
            </w:r>
          </w:p>
        </w:tc>
        <w:tc>
          <w:tcPr>
            <w:tcW w:w="385" w:type="pct"/>
            <w:tcBorders>
              <w:top w:val="nil"/>
              <w:left w:val="nil"/>
              <w:bottom w:val="nil"/>
              <w:right w:val="single" w:sz="4" w:space="0" w:color="auto"/>
            </w:tcBorders>
            <w:shd w:val="clear" w:color="auto" w:fill="auto"/>
            <w:vAlign w:val="bottom"/>
            <w:hideMark/>
          </w:tcPr>
          <w:p w14:paraId="1ADEA287" w14:textId="77777777" w:rsidR="00F112F7" w:rsidRPr="0071454C" w:rsidRDefault="00F112F7" w:rsidP="00EE21DC">
            <w:pPr>
              <w:jc w:val="center"/>
              <w:rPr>
                <w:color w:val="000000"/>
                <w:sz w:val="18"/>
                <w:szCs w:val="18"/>
              </w:rPr>
            </w:pPr>
            <w:r w:rsidRPr="0071454C">
              <w:rPr>
                <w:color w:val="000000"/>
                <w:sz w:val="18"/>
                <w:szCs w:val="18"/>
              </w:rPr>
              <w:t>64</w:t>
            </w:r>
          </w:p>
        </w:tc>
        <w:tc>
          <w:tcPr>
            <w:tcW w:w="349" w:type="pct"/>
            <w:tcBorders>
              <w:top w:val="nil"/>
              <w:left w:val="nil"/>
              <w:bottom w:val="nil"/>
              <w:right w:val="single" w:sz="4" w:space="0" w:color="auto"/>
            </w:tcBorders>
            <w:shd w:val="clear" w:color="auto" w:fill="auto"/>
            <w:vAlign w:val="bottom"/>
            <w:hideMark/>
          </w:tcPr>
          <w:p w14:paraId="6A0DD70D" w14:textId="77777777" w:rsidR="00F112F7" w:rsidRPr="0071454C" w:rsidRDefault="00F112F7" w:rsidP="00EE21DC">
            <w:pPr>
              <w:jc w:val="center"/>
              <w:rPr>
                <w:color w:val="000000"/>
                <w:sz w:val="18"/>
                <w:szCs w:val="18"/>
              </w:rPr>
            </w:pPr>
            <w:r w:rsidRPr="0071454C">
              <w:rPr>
                <w:color w:val="000000"/>
                <w:sz w:val="18"/>
                <w:szCs w:val="18"/>
              </w:rPr>
              <w:t>2.98</w:t>
            </w:r>
          </w:p>
        </w:tc>
        <w:tc>
          <w:tcPr>
            <w:tcW w:w="480" w:type="pct"/>
            <w:tcBorders>
              <w:top w:val="nil"/>
              <w:left w:val="nil"/>
              <w:bottom w:val="nil"/>
              <w:right w:val="single" w:sz="4" w:space="0" w:color="auto"/>
            </w:tcBorders>
            <w:shd w:val="clear" w:color="auto" w:fill="auto"/>
            <w:vAlign w:val="bottom"/>
            <w:hideMark/>
          </w:tcPr>
          <w:p w14:paraId="30000EE6" w14:textId="77777777" w:rsidR="00F112F7" w:rsidRPr="0071454C" w:rsidRDefault="00F112F7" w:rsidP="00EE21DC">
            <w:pPr>
              <w:jc w:val="center"/>
              <w:rPr>
                <w:color w:val="000000"/>
                <w:sz w:val="18"/>
                <w:szCs w:val="18"/>
              </w:rPr>
            </w:pPr>
            <w:r w:rsidRPr="0071454C">
              <w:rPr>
                <w:color w:val="000000"/>
                <w:sz w:val="18"/>
                <w:szCs w:val="18"/>
              </w:rPr>
              <w:t>2.75</w:t>
            </w:r>
          </w:p>
        </w:tc>
        <w:tc>
          <w:tcPr>
            <w:tcW w:w="717" w:type="pct"/>
            <w:tcBorders>
              <w:top w:val="nil"/>
              <w:left w:val="nil"/>
              <w:bottom w:val="nil"/>
              <w:right w:val="nil"/>
            </w:tcBorders>
            <w:shd w:val="clear" w:color="auto" w:fill="auto"/>
            <w:vAlign w:val="bottom"/>
            <w:hideMark/>
          </w:tcPr>
          <w:p w14:paraId="0D486D17" w14:textId="77777777" w:rsidR="00F112F7" w:rsidRPr="0071454C" w:rsidRDefault="00F112F7" w:rsidP="00EE21DC">
            <w:pPr>
              <w:jc w:val="center"/>
              <w:rPr>
                <w:color w:val="000000"/>
                <w:sz w:val="18"/>
                <w:szCs w:val="18"/>
              </w:rPr>
            </w:pPr>
            <w:r w:rsidRPr="0071454C">
              <w:rPr>
                <w:color w:val="000000"/>
                <w:sz w:val="18"/>
                <w:szCs w:val="18"/>
              </w:rPr>
              <w:t>2.7</w:t>
            </w:r>
          </w:p>
        </w:tc>
        <w:tc>
          <w:tcPr>
            <w:tcW w:w="677" w:type="pct"/>
            <w:tcBorders>
              <w:top w:val="nil"/>
              <w:left w:val="single" w:sz="4" w:space="0" w:color="auto"/>
              <w:bottom w:val="nil"/>
              <w:right w:val="single" w:sz="4" w:space="0" w:color="auto"/>
            </w:tcBorders>
            <w:shd w:val="clear" w:color="auto" w:fill="auto"/>
            <w:vAlign w:val="bottom"/>
            <w:hideMark/>
          </w:tcPr>
          <w:p w14:paraId="2E8DD589" w14:textId="77777777" w:rsidR="00F112F7" w:rsidRPr="0071454C" w:rsidRDefault="00F112F7" w:rsidP="00EE21DC">
            <w:pPr>
              <w:jc w:val="center"/>
              <w:rPr>
                <w:color w:val="000000"/>
                <w:sz w:val="18"/>
                <w:szCs w:val="18"/>
              </w:rPr>
            </w:pPr>
            <w:r w:rsidRPr="0071454C">
              <w:rPr>
                <w:color w:val="000000"/>
                <w:sz w:val="18"/>
                <w:szCs w:val="18"/>
              </w:rPr>
              <w:t>3.12</w:t>
            </w:r>
          </w:p>
        </w:tc>
        <w:tc>
          <w:tcPr>
            <w:tcW w:w="615" w:type="pct"/>
            <w:tcBorders>
              <w:top w:val="nil"/>
              <w:left w:val="nil"/>
              <w:bottom w:val="nil"/>
              <w:right w:val="nil"/>
            </w:tcBorders>
            <w:shd w:val="clear" w:color="auto" w:fill="auto"/>
            <w:vAlign w:val="bottom"/>
            <w:hideMark/>
          </w:tcPr>
          <w:p w14:paraId="1245BBDE" w14:textId="77777777" w:rsidR="00F112F7" w:rsidRPr="0071454C" w:rsidRDefault="00F112F7" w:rsidP="00EE21DC">
            <w:pPr>
              <w:jc w:val="center"/>
              <w:rPr>
                <w:color w:val="000000"/>
                <w:sz w:val="18"/>
                <w:szCs w:val="18"/>
              </w:rPr>
            </w:pPr>
            <w:r w:rsidRPr="0071454C">
              <w:rPr>
                <w:color w:val="000000"/>
                <w:sz w:val="18"/>
                <w:szCs w:val="18"/>
              </w:rPr>
              <w:t>2.88</w:t>
            </w:r>
          </w:p>
        </w:tc>
        <w:tc>
          <w:tcPr>
            <w:tcW w:w="507" w:type="pct"/>
            <w:tcBorders>
              <w:top w:val="nil"/>
              <w:left w:val="single" w:sz="4" w:space="0" w:color="auto"/>
              <w:bottom w:val="nil"/>
              <w:right w:val="single" w:sz="4" w:space="0" w:color="auto"/>
            </w:tcBorders>
            <w:shd w:val="clear" w:color="auto" w:fill="auto"/>
            <w:vAlign w:val="bottom"/>
            <w:hideMark/>
          </w:tcPr>
          <w:p w14:paraId="1844F7FC" w14:textId="77777777" w:rsidR="00F112F7" w:rsidRPr="0071454C" w:rsidRDefault="00F112F7" w:rsidP="00EE21DC">
            <w:pPr>
              <w:jc w:val="center"/>
              <w:rPr>
                <w:color w:val="000000"/>
                <w:sz w:val="18"/>
                <w:szCs w:val="18"/>
              </w:rPr>
            </w:pPr>
            <w:r w:rsidRPr="0071454C">
              <w:rPr>
                <w:color w:val="000000"/>
                <w:sz w:val="18"/>
                <w:szCs w:val="18"/>
              </w:rPr>
              <w:t>2.84</w:t>
            </w:r>
          </w:p>
        </w:tc>
        <w:tc>
          <w:tcPr>
            <w:tcW w:w="567" w:type="pct"/>
            <w:tcBorders>
              <w:top w:val="nil"/>
              <w:left w:val="nil"/>
              <w:bottom w:val="nil"/>
              <w:right w:val="single" w:sz="4" w:space="0" w:color="auto"/>
            </w:tcBorders>
            <w:shd w:val="clear" w:color="auto" w:fill="auto"/>
            <w:vAlign w:val="bottom"/>
            <w:hideMark/>
          </w:tcPr>
          <w:p w14:paraId="28EA4B33" w14:textId="77777777" w:rsidR="00F112F7" w:rsidRPr="0071454C" w:rsidRDefault="00F112F7" w:rsidP="00EE21DC">
            <w:pPr>
              <w:jc w:val="center"/>
              <w:rPr>
                <w:color w:val="000000"/>
                <w:sz w:val="18"/>
                <w:szCs w:val="18"/>
              </w:rPr>
            </w:pPr>
            <w:r w:rsidRPr="0071454C">
              <w:rPr>
                <w:color w:val="000000"/>
                <w:sz w:val="18"/>
                <w:szCs w:val="18"/>
              </w:rPr>
              <w:t>3.5</w:t>
            </w:r>
          </w:p>
        </w:tc>
      </w:tr>
      <w:tr w:rsidR="00F112F7" w:rsidRPr="00647951" w14:paraId="31F99AFA" w14:textId="77777777" w:rsidTr="00EE21DC">
        <w:trPr>
          <w:trHeight w:val="255"/>
        </w:trPr>
        <w:tc>
          <w:tcPr>
            <w:tcW w:w="703" w:type="pct"/>
            <w:tcBorders>
              <w:top w:val="nil"/>
              <w:left w:val="single" w:sz="4" w:space="0" w:color="auto"/>
              <w:bottom w:val="single" w:sz="4" w:space="0" w:color="auto"/>
              <w:right w:val="single" w:sz="4" w:space="0" w:color="auto"/>
            </w:tcBorders>
            <w:shd w:val="clear" w:color="auto" w:fill="auto"/>
            <w:vAlign w:val="bottom"/>
            <w:hideMark/>
          </w:tcPr>
          <w:p w14:paraId="09893CDA" w14:textId="77777777" w:rsidR="00F112F7" w:rsidRPr="0071454C" w:rsidRDefault="00F112F7" w:rsidP="00EE21DC">
            <w:pPr>
              <w:rPr>
                <w:b/>
                <w:bCs/>
                <w:color w:val="000000"/>
                <w:sz w:val="18"/>
                <w:szCs w:val="18"/>
              </w:rPr>
            </w:pPr>
            <w:r w:rsidRPr="0071454C">
              <w:rPr>
                <w:b/>
                <w:bCs/>
                <w:color w:val="000000"/>
                <w:sz w:val="18"/>
                <w:szCs w:val="18"/>
              </w:rPr>
              <w:t>Pakistan</w:t>
            </w:r>
          </w:p>
        </w:tc>
        <w:tc>
          <w:tcPr>
            <w:tcW w:w="385" w:type="pct"/>
            <w:tcBorders>
              <w:top w:val="nil"/>
              <w:left w:val="nil"/>
              <w:bottom w:val="single" w:sz="4" w:space="0" w:color="auto"/>
              <w:right w:val="single" w:sz="4" w:space="0" w:color="auto"/>
            </w:tcBorders>
            <w:shd w:val="clear" w:color="auto" w:fill="auto"/>
            <w:vAlign w:val="bottom"/>
            <w:hideMark/>
          </w:tcPr>
          <w:p w14:paraId="70F029D8" w14:textId="77777777" w:rsidR="00F112F7" w:rsidRPr="0071454C" w:rsidRDefault="00F112F7" w:rsidP="00EE21DC">
            <w:pPr>
              <w:jc w:val="center"/>
              <w:rPr>
                <w:color w:val="000000"/>
                <w:sz w:val="18"/>
                <w:szCs w:val="18"/>
              </w:rPr>
            </w:pPr>
            <w:r w:rsidRPr="0071454C">
              <w:rPr>
                <w:color w:val="000000"/>
                <w:sz w:val="18"/>
                <w:szCs w:val="18"/>
              </w:rPr>
              <w:t>68</w:t>
            </w:r>
          </w:p>
        </w:tc>
        <w:tc>
          <w:tcPr>
            <w:tcW w:w="349" w:type="pct"/>
            <w:tcBorders>
              <w:top w:val="nil"/>
              <w:left w:val="nil"/>
              <w:bottom w:val="single" w:sz="4" w:space="0" w:color="auto"/>
              <w:right w:val="single" w:sz="4" w:space="0" w:color="auto"/>
            </w:tcBorders>
            <w:shd w:val="clear" w:color="auto" w:fill="auto"/>
            <w:vAlign w:val="bottom"/>
            <w:hideMark/>
          </w:tcPr>
          <w:p w14:paraId="48823B94" w14:textId="77777777" w:rsidR="00F112F7" w:rsidRPr="0071454C" w:rsidRDefault="00F112F7" w:rsidP="00EE21DC">
            <w:pPr>
              <w:jc w:val="center"/>
              <w:rPr>
                <w:color w:val="000000"/>
                <w:sz w:val="18"/>
                <w:szCs w:val="18"/>
              </w:rPr>
            </w:pPr>
            <w:r w:rsidRPr="0071454C">
              <w:rPr>
                <w:color w:val="000000"/>
                <w:sz w:val="18"/>
                <w:szCs w:val="18"/>
              </w:rPr>
              <w:t>2.92</w:t>
            </w:r>
          </w:p>
        </w:tc>
        <w:tc>
          <w:tcPr>
            <w:tcW w:w="480" w:type="pct"/>
            <w:tcBorders>
              <w:top w:val="nil"/>
              <w:left w:val="nil"/>
              <w:bottom w:val="single" w:sz="4" w:space="0" w:color="auto"/>
              <w:right w:val="single" w:sz="4" w:space="0" w:color="auto"/>
            </w:tcBorders>
            <w:shd w:val="clear" w:color="auto" w:fill="auto"/>
            <w:vAlign w:val="bottom"/>
            <w:hideMark/>
          </w:tcPr>
          <w:p w14:paraId="47347D33" w14:textId="77777777" w:rsidR="00F112F7" w:rsidRPr="0071454C" w:rsidRDefault="00F112F7" w:rsidP="00EE21DC">
            <w:pPr>
              <w:jc w:val="center"/>
              <w:rPr>
                <w:color w:val="000000"/>
                <w:sz w:val="18"/>
                <w:szCs w:val="18"/>
              </w:rPr>
            </w:pPr>
            <w:r w:rsidRPr="0071454C">
              <w:rPr>
                <w:color w:val="000000"/>
                <w:sz w:val="18"/>
                <w:szCs w:val="18"/>
              </w:rPr>
              <w:t>2.66</w:t>
            </w:r>
          </w:p>
        </w:tc>
        <w:tc>
          <w:tcPr>
            <w:tcW w:w="717" w:type="pct"/>
            <w:tcBorders>
              <w:top w:val="nil"/>
              <w:left w:val="nil"/>
              <w:bottom w:val="single" w:sz="4" w:space="0" w:color="auto"/>
              <w:right w:val="nil"/>
            </w:tcBorders>
            <w:shd w:val="clear" w:color="auto" w:fill="auto"/>
            <w:vAlign w:val="bottom"/>
            <w:hideMark/>
          </w:tcPr>
          <w:p w14:paraId="43B3DE9A" w14:textId="77777777" w:rsidR="00F112F7" w:rsidRPr="0071454C" w:rsidRDefault="00F112F7" w:rsidP="00EE21DC">
            <w:pPr>
              <w:jc w:val="center"/>
              <w:rPr>
                <w:color w:val="000000"/>
                <w:sz w:val="18"/>
                <w:szCs w:val="18"/>
              </w:rPr>
            </w:pPr>
            <w:r w:rsidRPr="0071454C">
              <w:rPr>
                <w:color w:val="000000"/>
                <w:sz w:val="18"/>
                <w:szCs w:val="18"/>
              </w:rPr>
              <w:t>2.7</w:t>
            </w:r>
          </w:p>
        </w:tc>
        <w:tc>
          <w:tcPr>
            <w:tcW w:w="677" w:type="pct"/>
            <w:tcBorders>
              <w:top w:val="nil"/>
              <w:left w:val="single" w:sz="4" w:space="0" w:color="auto"/>
              <w:bottom w:val="single" w:sz="4" w:space="0" w:color="auto"/>
              <w:right w:val="single" w:sz="4" w:space="0" w:color="auto"/>
            </w:tcBorders>
            <w:shd w:val="clear" w:color="auto" w:fill="auto"/>
            <w:vAlign w:val="bottom"/>
            <w:hideMark/>
          </w:tcPr>
          <w:p w14:paraId="666F81F3" w14:textId="77777777" w:rsidR="00F112F7" w:rsidRPr="0071454C" w:rsidRDefault="00F112F7" w:rsidP="00EE21DC">
            <w:pPr>
              <w:jc w:val="center"/>
              <w:rPr>
                <w:color w:val="000000"/>
                <w:sz w:val="18"/>
                <w:szCs w:val="18"/>
              </w:rPr>
            </w:pPr>
            <w:r w:rsidRPr="0071454C">
              <w:rPr>
                <w:color w:val="000000"/>
                <w:sz w:val="18"/>
                <w:szCs w:val="18"/>
              </w:rPr>
              <w:t>2.93</w:t>
            </w:r>
          </w:p>
        </w:tc>
        <w:tc>
          <w:tcPr>
            <w:tcW w:w="615" w:type="pct"/>
            <w:tcBorders>
              <w:top w:val="nil"/>
              <w:left w:val="nil"/>
              <w:bottom w:val="single" w:sz="4" w:space="0" w:color="auto"/>
              <w:right w:val="nil"/>
            </w:tcBorders>
            <w:shd w:val="clear" w:color="auto" w:fill="auto"/>
            <w:vAlign w:val="bottom"/>
            <w:hideMark/>
          </w:tcPr>
          <w:p w14:paraId="5ED93678" w14:textId="77777777" w:rsidR="00F112F7" w:rsidRPr="0071454C" w:rsidRDefault="00F112F7" w:rsidP="00EE21DC">
            <w:pPr>
              <w:jc w:val="center"/>
              <w:rPr>
                <w:color w:val="000000"/>
                <w:sz w:val="18"/>
                <w:szCs w:val="18"/>
              </w:rPr>
            </w:pPr>
            <w:r w:rsidRPr="0071454C">
              <w:rPr>
                <w:color w:val="000000"/>
                <w:sz w:val="18"/>
                <w:szCs w:val="18"/>
              </w:rPr>
              <w:t>2.82</w:t>
            </w:r>
          </w:p>
        </w:tc>
        <w:tc>
          <w:tcPr>
            <w:tcW w:w="507" w:type="pct"/>
            <w:tcBorders>
              <w:top w:val="nil"/>
              <w:left w:val="single" w:sz="4" w:space="0" w:color="auto"/>
              <w:bottom w:val="single" w:sz="4" w:space="0" w:color="auto"/>
              <w:right w:val="single" w:sz="4" w:space="0" w:color="auto"/>
            </w:tcBorders>
            <w:shd w:val="clear" w:color="auto" w:fill="auto"/>
            <w:vAlign w:val="bottom"/>
            <w:hideMark/>
          </w:tcPr>
          <w:p w14:paraId="4E0B88B6" w14:textId="77777777" w:rsidR="00F112F7" w:rsidRPr="0071454C" w:rsidRDefault="00F112F7" w:rsidP="00EE21DC">
            <w:pPr>
              <w:jc w:val="center"/>
              <w:rPr>
                <w:color w:val="000000"/>
                <w:sz w:val="18"/>
                <w:szCs w:val="18"/>
              </w:rPr>
            </w:pPr>
            <w:r w:rsidRPr="0071454C">
              <w:rPr>
                <w:color w:val="000000"/>
                <w:sz w:val="18"/>
                <w:szCs w:val="18"/>
              </w:rPr>
              <w:t>2.91</w:t>
            </w:r>
          </w:p>
        </w:tc>
        <w:tc>
          <w:tcPr>
            <w:tcW w:w="567" w:type="pct"/>
            <w:tcBorders>
              <w:top w:val="nil"/>
              <w:left w:val="nil"/>
              <w:bottom w:val="single" w:sz="4" w:space="0" w:color="auto"/>
              <w:right w:val="single" w:sz="4" w:space="0" w:color="auto"/>
            </w:tcBorders>
            <w:shd w:val="clear" w:color="auto" w:fill="auto"/>
            <w:vAlign w:val="bottom"/>
            <w:hideMark/>
          </w:tcPr>
          <w:p w14:paraId="2B889645" w14:textId="77777777" w:rsidR="00F112F7" w:rsidRPr="0071454C" w:rsidRDefault="00F112F7" w:rsidP="00EE21DC">
            <w:pPr>
              <w:jc w:val="center"/>
              <w:rPr>
                <w:color w:val="000000"/>
                <w:sz w:val="18"/>
                <w:szCs w:val="18"/>
              </w:rPr>
            </w:pPr>
            <w:r w:rsidRPr="0071454C">
              <w:rPr>
                <w:color w:val="000000"/>
                <w:sz w:val="18"/>
                <w:szCs w:val="18"/>
              </w:rPr>
              <w:t>3.48</w:t>
            </w:r>
          </w:p>
        </w:tc>
      </w:tr>
    </w:tbl>
    <w:p w14:paraId="5DDA8D44" w14:textId="2D4BCA32" w:rsidR="00F112F7" w:rsidRPr="00EE21DC" w:rsidRDefault="00F112F7" w:rsidP="00EE21DC">
      <w:pPr>
        <w:rPr>
          <w:b/>
          <w:i/>
          <w:sz w:val="20"/>
          <w:szCs w:val="20"/>
        </w:rPr>
      </w:pPr>
      <w:r w:rsidRPr="00647951">
        <w:rPr>
          <w:b/>
          <w:i/>
          <w:sz w:val="20"/>
          <w:szCs w:val="20"/>
        </w:rPr>
        <w:t>Source: Logistics Performance Index (LPI) 2016, World Bank</w:t>
      </w:r>
    </w:p>
    <w:p w14:paraId="38895F24" w14:textId="77777777" w:rsidR="00EE21DC" w:rsidRDefault="00EE21DC" w:rsidP="009F570C">
      <w:pPr>
        <w:spacing w:line="276" w:lineRule="auto"/>
        <w:jc w:val="both"/>
      </w:pPr>
    </w:p>
    <w:p w14:paraId="23C869F6" w14:textId="72B70159" w:rsidR="007C2215" w:rsidRPr="00BF1B56" w:rsidRDefault="007C2215" w:rsidP="00BF1B56">
      <w:pPr>
        <w:widowControl w:val="0"/>
        <w:autoSpaceDE w:val="0"/>
        <w:autoSpaceDN w:val="0"/>
        <w:adjustRightInd w:val="0"/>
        <w:spacing w:line="276" w:lineRule="auto"/>
      </w:pPr>
      <w:r w:rsidRPr="00BF1B56">
        <w:t>If we look at the breakdown o</w:t>
      </w:r>
      <w:r w:rsidR="00D62C97">
        <w:t>f scores as presented in Table 7</w:t>
      </w:r>
      <w:r w:rsidRPr="00BF1B56">
        <w:t xml:space="preserve"> above, we find Bangladesh behind all countries listed in the table in each of the categories.  It is also apparent that for Bangladesh to improve the situation in each of the above categories there has to marked improvements in Customs and Port related efficiency.   This, of course includes regulatory, procedural, and related infrastructure related efficiency.</w:t>
      </w:r>
    </w:p>
    <w:p w14:paraId="4033C5B0" w14:textId="77777777" w:rsidR="007C2215" w:rsidRPr="00BF1B56" w:rsidRDefault="007C2215" w:rsidP="00BF1B56">
      <w:pPr>
        <w:widowControl w:val="0"/>
        <w:autoSpaceDE w:val="0"/>
        <w:autoSpaceDN w:val="0"/>
        <w:adjustRightInd w:val="0"/>
        <w:spacing w:line="276" w:lineRule="auto"/>
      </w:pPr>
    </w:p>
    <w:p w14:paraId="58705BB4" w14:textId="307F8C93" w:rsidR="00C469DE" w:rsidRPr="00BF1B56" w:rsidRDefault="007C2215" w:rsidP="00BF1B56">
      <w:pPr>
        <w:widowControl w:val="0"/>
        <w:autoSpaceDE w:val="0"/>
        <w:autoSpaceDN w:val="0"/>
        <w:adjustRightInd w:val="0"/>
        <w:spacing w:line="276" w:lineRule="auto"/>
      </w:pPr>
      <w:r w:rsidRPr="00BF1B56">
        <w:t xml:space="preserve">Improving </w:t>
      </w:r>
      <w:r w:rsidR="007A29B5" w:rsidRPr="00BF1B56">
        <w:t xml:space="preserve">Customs and port efficiency </w:t>
      </w:r>
      <w:r w:rsidRPr="00BF1B56">
        <w:t xml:space="preserve">could also positively impact Bangladesh’s Doing Business rankings as this will help in </w:t>
      </w:r>
      <w:r w:rsidR="007A29B5" w:rsidRPr="00BF1B56">
        <w:t xml:space="preserve">improving on Trade Across Border Index.  </w:t>
      </w:r>
      <w:r w:rsidR="00C469DE" w:rsidRPr="00BF1B56">
        <w:t>Research (</w:t>
      </w:r>
      <w:proofErr w:type="spellStart"/>
      <w:r w:rsidR="00C469DE" w:rsidRPr="00BF1B56">
        <w:t>Djankov</w:t>
      </w:r>
      <w:proofErr w:type="spellEnd"/>
      <w:r w:rsidR="00C469DE" w:rsidRPr="00BF1B56">
        <w:t>, Freund and Pham 2010.  Doing Business 2014) has found that for each additional day that a product is delayed before being shipped, trade volume falls by more than 1%.  As reported in Doing Business report, globally the most common feature of trade facilitation reforms in all regions has been the introduction or improvement of electronic submission and processing of customs declarations. Improving customs administration and enhancing port procedures were the second and third most common features. The introduction or improvement of risk-based inspection systems has also facilitated trade.</w:t>
      </w:r>
      <w:r w:rsidR="007A29B5" w:rsidRPr="00BF1B56">
        <w:t xml:space="preserve"> As reported in Doing Business 2014, Economies </w:t>
      </w:r>
      <w:r w:rsidR="00DF7507" w:rsidRPr="00BF1B56">
        <w:t>are virtually</w:t>
      </w:r>
      <w:r w:rsidR="007A29B5" w:rsidRPr="00BF1B56">
        <w:t xml:space="preserve"> linking traders and agencies involved in trade and transport through electronic single windows, and successfully implemented in many countries.</w:t>
      </w:r>
    </w:p>
    <w:p w14:paraId="12181A40" w14:textId="77777777" w:rsidR="007A29B5" w:rsidRPr="00BF1B56" w:rsidRDefault="007A29B5" w:rsidP="009875DD">
      <w:pPr>
        <w:widowControl w:val="0"/>
        <w:autoSpaceDE w:val="0"/>
        <w:autoSpaceDN w:val="0"/>
        <w:adjustRightInd w:val="0"/>
        <w:spacing w:line="276" w:lineRule="auto"/>
      </w:pPr>
    </w:p>
    <w:p w14:paraId="49D305CC" w14:textId="468A7DAE" w:rsidR="009875DD" w:rsidRPr="009875DD" w:rsidRDefault="007A29B5" w:rsidP="009875DD">
      <w:pPr>
        <w:spacing w:line="276" w:lineRule="auto"/>
      </w:pPr>
      <w:r w:rsidRPr="00BF1B56">
        <w:t>To shed light on the bureaucratic and logistical hindrances facing traders, Doing Business measures the time and cost (excluding tariffs) of exporting and importing a standard containerized cargo by sea transport and the number of documents needed to complete the transaction.  The indicators cover documentation requirements and procedures at customs and other regulatory agencies as well as at ports. They also cover logistical aspects, including the time and cost of inland transport between the largest business city and the main port used by traders.  Of the 4 components of trade covered by Doing Business— document preparation, port and terminal handling, customs clearance and inland transport—the 2 biggest obstacles for traders in low-ranking economies are document preparation and inland transport because of administrative hurdles and poor infrastructure.  It is easier, less time-consuming and cheaper to trade in economies following good practices.</w:t>
      </w:r>
      <w:r w:rsidR="00A12F43" w:rsidRPr="00BF1B56">
        <w:t xml:space="preserve"> </w:t>
      </w:r>
      <w:r w:rsidR="00D62C97">
        <w:t xml:space="preserve"> The logistic challenge that Bangladesh faces as reflected by its LGI ranking also gets reflected </w:t>
      </w:r>
      <w:r w:rsidR="009875DD">
        <w:t xml:space="preserve">through the Enabling Trade Index presented in the </w:t>
      </w:r>
      <w:r w:rsidR="009875DD" w:rsidRPr="00BF1B56">
        <w:t>Global</w:t>
      </w:r>
      <w:r w:rsidR="009875DD">
        <w:t xml:space="preserve"> Enabling Trade Report 2016 of </w:t>
      </w:r>
      <w:r w:rsidR="009B6A12">
        <w:t xml:space="preserve">the </w:t>
      </w:r>
      <w:r w:rsidR="009B6A12" w:rsidRPr="009875DD">
        <w:t>World</w:t>
      </w:r>
      <w:r w:rsidR="009875DD" w:rsidRPr="009875DD">
        <w:t xml:space="preserve"> Economic Forum</w:t>
      </w:r>
    </w:p>
    <w:p w14:paraId="3F9242A5" w14:textId="77777777" w:rsidR="009875DD" w:rsidRPr="009875DD" w:rsidRDefault="009875DD" w:rsidP="009875DD">
      <w:pPr>
        <w:spacing w:line="276" w:lineRule="auto"/>
      </w:pPr>
    </w:p>
    <w:p w14:paraId="46F993AC" w14:textId="3F61ED5A" w:rsidR="00A12F43" w:rsidRPr="00BF1B56" w:rsidRDefault="009875DD" w:rsidP="00BF1B56">
      <w:pPr>
        <w:widowControl w:val="0"/>
        <w:autoSpaceDE w:val="0"/>
        <w:autoSpaceDN w:val="0"/>
        <w:adjustRightInd w:val="0"/>
        <w:spacing w:line="276" w:lineRule="auto"/>
      </w:pPr>
      <w:r>
        <w:t>It is apparent from Table 8</w:t>
      </w:r>
      <w:r w:rsidR="00A12F43" w:rsidRPr="00BF1B56">
        <w:t xml:space="preserve"> below that Bangladesh is </w:t>
      </w:r>
      <w:r>
        <w:t xml:space="preserve">also </w:t>
      </w:r>
      <w:r w:rsidR="00A12F43" w:rsidRPr="00BF1B56">
        <w:t xml:space="preserve">low-level performer in the Enabling Trade Index.  The only segment it does well is </w:t>
      </w:r>
      <w:r w:rsidR="00A12F43" w:rsidRPr="00BF1B56">
        <w:rPr>
          <w:i/>
        </w:rPr>
        <w:t>“Foreign market Access’</w:t>
      </w:r>
      <w:r w:rsidR="00A12F43" w:rsidRPr="00BF1B56">
        <w:t xml:space="preserve"> where it has a high rank of 12 and a score above 5.  It also shows that the Enabling Trade Index is low for Bangladesh because its Customs’ and Port related services is of poorer quality relative to other countries of the world.  This conclusion is supported by all the other data that has been presented in this paper.   </w:t>
      </w:r>
    </w:p>
    <w:p w14:paraId="6FA2F543" w14:textId="77777777" w:rsidR="00A12F43" w:rsidRDefault="00A12F43" w:rsidP="00A12F43">
      <w:pPr>
        <w:widowControl w:val="0"/>
        <w:autoSpaceDE w:val="0"/>
        <w:autoSpaceDN w:val="0"/>
        <w:adjustRightInd w:val="0"/>
        <w:spacing w:line="276" w:lineRule="auto"/>
      </w:pPr>
    </w:p>
    <w:p w14:paraId="192999CC" w14:textId="009CF2B3" w:rsidR="00C469DE" w:rsidRDefault="009875DD" w:rsidP="00A12F43">
      <w:pPr>
        <w:jc w:val="center"/>
        <w:rPr>
          <w:b/>
        </w:rPr>
      </w:pPr>
      <w:r w:rsidRPr="009875DD">
        <w:rPr>
          <w:b/>
        </w:rPr>
        <w:t>Table 8</w:t>
      </w:r>
      <w:r>
        <w:rPr>
          <w:b/>
        </w:rPr>
        <w:t xml:space="preserve">: </w:t>
      </w:r>
      <w:r w:rsidR="00C469DE" w:rsidRPr="00DA14F2">
        <w:rPr>
          <w:b/>
        </w:rPr>
        <w:t xml:space="preserve"> Enabling Trade Index </w:t>
      </w:r>
      <w:r w:rsidR="00C469DE">
        <w:rPr>
          <w:b/>
        </w:rPr>
        <w:t xml:space="preserve">of Bangladesh, </w:t>
      </w:r>
      <w:r w:rsidR="00C469DE" w:rsidRPr="00DA14F2">
        <w:rPr>
          <w:b/>
        </w:rPr>
        <w:t>2016</w:t>
      </w:r>
    </w:p>
    <w:p w14:paraId="572085CF" w14:textId="77777777" w:rsidR="00A12F43" w:rsidRPr="00DA14F2" w:rsidRDefault="00A12F43" w:rsidP="00A12F43">
      <w:pPr>
        <w:jc w:val="center"/>
        <w:rPr>
          <w:b/>
        </w:rPr>
      </w:pPr>
    </w:p>
    <w:tbl>
      <w:tblPr>
        <w:tblW w:w="8060" w:type="dxa"/>
        <w:tblInd w:w="93" w:type="dxa"/>
        <w:tblLook w:val="04A0" w:firstRow="1" w:lastRow="0" w:firstColumn="1" w:lastColumn="0" w:noHBand="0" w:noVBand="1"/>
      </w:tblPr>
      <w:tblGrid>
        <w:gridCol w:w="6140"/>
        <w:gridCol w:w="960"/>
        <w:gridCol w:w="960"/>
      </w:tblGrid>
      <w:tr w:rsidR="00C469DE" w:rsidRPr="00D96BF4" w14:paraId="5BD67D52" w14:textId="77777777" w:rsidTr="00C469DE">
        <w:trPr>
          <w:trHeight w:val="300"/>
        </w:trPr>
        <w:tc>
          <w:tcPr>
            <w:tcW w:w="6140" w:type="dxa"/>
            <w:tcBorders>
              <w:top w:val="single" w:sz="4" w:space="0" w:color="auto"/>
              <w:left w:val="single" w:sz="4" w:space="0" w:color="auto"/>
              <w:bottom w:val="nil"/>
              <w:right w:val="single" w:sz="4" w:space="0" w:color="auto"/>
            </w:tcBorders>
            <w:shd w:val="clear" w:color="auto" w:fill="auto"/>
            <w:noWrap/>
          </w:tcPr>
          <w:p w14:paraId="6BFDF70E" w14:textId="77777777" w:rsidR="00C469DE" w:rsidRPr="00D96BF4" w:rsidRDefault="00C469DE" w:rsidP="00C469DE">
            <w:pPr>
              <w:rPr>
                <w:b/>
                <w:bCs/>
                <w:color w:val="000000"/>
              </w:rPr>
            </w:pPr>
          </w:p>
        </w:tc>
        <w:tc>
          <w:tcPr>
            <w:tcW w:w="960" w:type="dxa"/>
            <w:tcBorders>
              <w:top w:val="single" w:sz="4" w:space="0" w:color="auto"/>
              <w:left w:val="nil"/>
              <w:bottom w:val="nil"/>
              <w:right w:val="single" w:sz="4" w:space="0" w:color="auto"/>
            </w:tcBorders>
            <w:shd w:val="clear" w:color="auto" w:fill="auto"/>
            <w:noWrap/>
            <w:vAlign w:val="bottom"/>
          </w:tcPr>
          <w:p w14:paraId="08FBCD06" w14:textId="77777777" w:rsidR="00C469DE" w:rsidRPr="00D96BF4" w:rsidRDefault="00C469DE" w:rsidP="00C469DE">
            <w:pPr>
              <w:jc w:val="right"/>
              <w:rPr>
                <w:color w:val="000000"/>
              </w:rPr>
            </w:pPr>
            <w:r>
              <w:rPr>
                <w:color w:val="000000"/>
              </w:rPr>
              <w:t>Rank</w:t>
            </w:r>
          </w:p>
        </w:tc>
        <w:tc>
          <w:tcPr>
            <w:tcW w:w="960" w:type="dxa"/>
            <w:tcBorders>
              <w:top w:val="single" w:sz="4" w:space="0" w:color="auto"/>
              <w:left w:val="nil"/>
              <w:bottom w:val="nil"/>
              <w:right w:val="single" w:sz="4" w:space="0" w:color="auto"/>
            </w:tcBorders>
            <w:shd w:val="clear" w:color="auto" w:fill="auto"/>
            <w:noWrap/>
            <w:vAlign w:val="bottom"/>
          </w:tcPr>
          <w:p w14:paraId="3EF51940" w14:textId="77777777" w:rsidR="00C469DE" w:rsidRPr="00D96BF4" w:rsidRDefault="00C469DE" w:rsidP="00C469DE">
            <w:pPr>
              <w:jc w:val="right"/>
              <w:rPr>
                <w:color w:val="000000"/>
              </w:rPr>
            </w:pPr>
            <w:r>
              <w:rPr>
                <w:color w:val="000000"/>
              </w:rPr>
              <w:t>Score</w:t>
            </w:r>
          </w:p>
        </w:tc>
      </w:tr>
      <w:tr w:rsidR="00C469DE" w:rsidRPr="00D96BF4" w14:paraId="59489A4D" w14:textId="77777777" w:rsidTr="00C469DE">
        <w:trPr>
          <w:trHeight w:val="300"/>
        </w:trPr>
        <w:tc>
          <w:tcPr>
            <w:tcW w:w="6140" w:type="dxa"/>
            <w:tcBorders>
              <w:top w:val="single" w:sz="4" w:space="0" w:color="auto"/>
              <w:left w:val="single" w:sz="4" w:space="0" w:color="auto"/>
              <w:bottom w:val="nil"/>
              <w:right w:val="single" w:sz="4" w:space="0" w:color="auto"/>
            </w:tcBorders>
            <w:shd w:val="clear" w:color="auto" w:fill="auto"/>
            <w:noWrap/>
            <w:hideMark/>
          </w:tcPr>
          <w:p w14:paraId="4E92A128" w14:textId="77777777" w:rsidR="00C469DE" w:rsidRPr="00D96BF4" w:rsidRDefault="00C469DE" w:rsidP="00C469DE">
            <w:pPr>
              <w:rPr>
                <w:b/>
                <w:bCs/>
                <w:color w:val="000000"/>
              </w:rPr>
            </w:pPr>
            <w:r w:rsidRPr="00D96BF4">
              <w:rPr>
                <w:b/>
                <w:bCs/>
                <w:color w:val="000000"/>
              </w:rPr>
              <w:t>Domestic market access</w:t>
            </w:r>
          </w:p>
        </w:tc>
        <w:tc>
          <w:tcPr>
            <w:tcW w:w="960" w:type="dxa"/>
            <w:tcBorders>
              <w:top w:val="single" w:sz="4" w:space="0" w:color="auto"/>
              <w:left w:val="nil"/>
              <w:bottom w:val="nil"/>
              <w:right w:val="single" w:sz="4" w:space="0" w:color="auto"/>
            </w:tcBorders>
            <w:shd w:val="clear" w:color="auto" w:fill="auto"/>
            <w:noWrap/>
            <w:vAlign w:val="bottom"/>
            <w:hideMark/>
          </w:tcPr>
          <w:p w14:paraId="6A3D6AB9" w14:textId="77777777" w:rsidR="00C469DE" w:rsidRPr="00D96BF4" w:rsidRDefault="00C469DE" w:rsidP="00C469DE">
            <w:pPr>
              <w:jc w:val="right"/>
              <w:rPr>
                <w:color w:val="000000"/>
              </w:rPr>
            </w:pPr>
            <w:r w:rsidRPr="00D96BF4">
              <w:rPr>
                <w:color w:val="000000"/>
              </w:rPr>
              <w:t>127</w:t>
            </w:r>
          </w:p>
        </w:tc>
        <w:tc>
          <w:tcPr>
            <w:tcW w:w="960" w:type="dxa"/>
            <w:tcBorders>
              <w:top w:val="single" w:sz="4" w:space="0" w:color="auto"/>
              <w:left w:val="nil"/>
              <w:bottom w:val="nil"/>
              <w:right w:val="single" w:sz="4" w:space="0" w:color="auto"/>
            </w:tcBorders>
            <w:shd w:val="clear" w:color="auto" w:fill="auto"/>
            <w:noWrap/>
            <w:vAlign w:val="bottom"/>
            <w:hideMark/>
          </w:tcPr>
          <w:p w14:paraId="51342A53" w14:textId="77777777" w:rsidR="00C469DE" w:rsidRPr="00D96BF4" w:rsidRDefault="00C469DE" w:rsidP="00C469DE">
            <w:pPr>
              <w:jc w:val="right"/>
              <w:rPr>
                <w:color w:val="000000"/>
              </w:rPr>
            </w:pPr>
            <w:r w:rsidRPr="00D96BF4">
              <w:rPr>
                <w:color w:val="000000"/>
              </w:rPr>
              <w:t>3.4</w:t>
            </w:r>
          </w:p>
        </w:tc>
      </w:tr>
      <w:tr w:rsidR="00C469DE" w:rsidRPr="00D96BF4" w14:paraId="75A27A8A" w14:textId="77777777" w:rsidTr="00C469DE">
        <w:trPr>
          <w:trHeight w:val="300"/>
        </w:trPr>
        <w:tc>
          <w:tcPr>
            <w:tcW w:w="6140" w:type="dxa"/>
            <w:tcBorders>
              <w:top w:val="nil"/>
              <w:left w:val="single" w:sz="4" w:space="0" w:color="auto"/>
              <w:bottom w:val="nil"/>
              <w:right w:val="single" w:sz="4" w:space="0" w:color="auto"/>
            </w:tcBorders>
            <w:shd w:val="clear" w:color="auto" w:fill="auto"/>
            <w:noWrap/>
            <w:hideMark/>
          </w:tcPr>
          <w:p w14:paraId="5154683E" w14:textId="77777777" w:rsidR="00C469DE" w:rsidRPr="00D96BF4" w:rsidRDefault="00C469DE" w:rsidP="00C469DE">
            <w:pPr>
              <w:rPr>
                <w:b/>
                <w:bCs/>
                <w:color w:val="000000"/>
              </w:rPr>
            </w:pPr>
            <w:r w:rsidRPr="00D96BF4">
              <w:rPr>
                <w:b/>
                <w:bCs/>
                <w:color w:val="000000"/>
              </w:rPr>
              <w:t>Foreign market access</w:t>
            </w:r>
          </w:p>
        </w:tc>
        <w:tc>
          <w:tcPr>
            <w:tcW w:w="960" w:type="dxa"/>
            <w:tcBorders>
              <w:top w:val="nil"/>
              <w:left w:val="nil"/>
              <w:bottom w:val="nil"/>
              <w:right w:val="single" w:sz="4" w:space="0" w:color="auto"/>
            </w:tcBorders>
            <w:shd w:val="clear" w:color="auto" w:fill="auto"/>
            <w:noWrap/>
            <w:vAlign w:val="bottom"/>
            <w:hideMark/>
          </w:tcPr>
          <w:p w14:paraId="2E2FFE6C" w14:textId="77777777" w:rsidR="00C469DE" w:rsidRPr="00D96BF4" w:rsidRDefault="00C469DE" w:rsidP="00C469DE">
            <w:pPr>
              <w:jc w:val="right"/>
              <w:rPr>
                <w:color w:val="000000"/>
              </w:rPr>
            </w:pPr>
            <w:r w:rsidRPr="00D96BF4">
              <w:rPr>
                <w:color w:val="000000"/>
              </w:rPr>
              <w:t>12</w:t>
            </w:r>
          </w:p>
        </w:tc>
        <w:tc>
          <w:tcPr>
            <w:tcW w:w="960" w:type="dxa"/>
            <w:tcBorders>
              <w:top w:val="nil"/>
              <w:left w:val="nil"/>
              <w:bottom w:val="nil"/>
              <w:right w:val="single" w:sz="4" w:space="0" w:color="auto"/>
            </w:tcBorders>
            <w:shd w:val="clear" w:color="auto" w:fill="auto"/>
            <w:noWrap/>
            <w:vAlign w:val="bottom"/>
            <w:hideMark/>
          </w:tcPr>
          <w:p w14:paraId="02403E4B" w14:textId="77777777" w:rsidR="00C469DE" w:rsidRPr="00D96BF4" w:rsidRDefault="00C469DE" w:rsidP="00C469DE">
            <w:pPr>
              <w:jc w:val="right"/>
              <w:rPr>
                <w:color w:val="000000"/>
              </w:rPr>
            </w:pPr>
            <w:r w:rsidRPr="00D96BF4">
              <w:rPr>
                <w:color w:val="000000"/>
              </w:rPr>
              <w:t>5.3</w:t>
            </w:r>
          </w:p>
        </w:tc>
      </w:tr>
      <w:tr w:rsidR="00C469DE" w:rsidRPr="00D96BF4" w14:paraId="23DA6EDC" w14:textId="77777777" w:rsidTr="00C469DE">
        <w:trPr>
          <w:trHeight w:val="300"/>
        </w:trPr>
        <w:tc>
          <w:tcPr>
            <w:tcW w:w="6140" w:type="dxa"/>
            <w:tcBorders>
              <w:top w:val="nil"/>
              <w:left w:val="single" w:sz="4" w:space="0" w:color="auto"/>
              <w:bottom w:val="nil"/>
              <w:right w:val="single" w:sz="4" w:space="0" w:color="auto"/>
            </w:tcBorders>
            <w:shd w:val="clear" w:color="auto" w:fill="auto"/>
            <w:noWrap/>
            <w:hideMark/>
          </w:tcPr>
          <w:p w14:paraId="75440248" w14:textId="77777777" w:rsidR="00C469DE" w:rsidRPr="00D96BF4" w:rsidRDefault="00C469DE" w:rsidP="00C469DE">
            <w:pPr>
              <w:rPr>
                <w:b/>
                <w:bCs/>
                <w:color w:val="000000"/>
              </w:rPr>
            </w:pPr>
            <w:r w:rsidRPr="00D96BF4">
              <w:rPr>
                <w:b/>
                <w:bCs/>
                <w:color w:val="000000"/>
              </w:rPr>
              <w:t>Efficiency and transparency of border administration</w:t>
            </w:r>
          </w:p>
        </w:tc>
        <w:tc>
          <w:tcPr>
            <w:tcW w:w="960" w:type="dxa"/>
            <w:tcBorders>
              <w:top w:val="nil"/>
              <w:left w:val="nil"/>
              <w:bottom w:val="nil"/>
              <w:right w:val="single" w:sz="4" w:space="0" w:color="auto"/>
            </w:tcBorders>
            <w:shd w:val="clear" w:color="auto" w:fill="auto"/>
            <w:noWrap/>
            <w:vAlign w:val="bottom"/>
            <w:hideMark/>
          </w:tcPr>
          <w:p w14:paraId="4D18888E" w14:textId="77777777" w:rsidR="00C469DE" w:rsidRPr="00D96BF4" w:rsidRDefault="00C469DE" w:rsidP="00C469DE">
            <w:pPr>
              <w:jc w:val="right"/>
              <w:rPr>
                <w:color w:val="000000"/>
              </w:rPr>
            </w:pPr>
            <w:r w:rsidRPr="00D96BF4">
              <w:rPr>
                <w:color w:val="000000"/>
              </w:rPr>
              <w:t>130</w:t>
            </w:r>
          </w:p>
        </w:tc>
        <w:tc>
          <w:tcPr>
            <w:tcW w:w="960" w:type="dxa"/>
            <w:tcBorders>
              <w:top w:val="nil"/>
              <w:left w:val="nil"/>
              <w:bottom w:val="nil"/>
              <w:right w:val="single" w:sz="4" w:space="0" w:color="auto"/>
            </w:tcBorders>
            <w:shd w:val="clear" w:color="auto" w:fill="auto"/>
            <w:noWrap/>
            <w:vAlign w:val="bottom"/>
            <w:hideMark/>
          </w:tcPr>
          <w:p w14:paraId="413B87ED" w14:textId="77777777" w:rsidR="00C469DE" w:rsidRPr="00D96BF4" w:rsidRDefault="00C469DE" w:rsidP="00C469DE">
            <w:pPr>
              <w:jc w:val="right"/>
              <w:rPr>
                <w:color w:val="000000"/>
              </w:rPr>
            </w:pPr>
            <w:r w:rsidRPr="00D96BF4">
              <w:rPr>
                <w:color w:val="000000"/>
              </w:rPr>
              <w:t>3</w:t>
            </w:r>
          </w:p>
        </w:tc>
      </w:tr>
      <w:tr w:rsidR="00C469DE" w:rsidRPr="00D96BF4" w14:paraId="677F00C9" w14:textId="77777777" w:rsidTr="00C469DE">
        <w:trPr>
          <w:trHeight w:val="300"/>
        </w:trPr>
        <w:tc>
          <w:tcPr>
            <w:tcW w:w="6140" w:type="dxa"/>
            <w:tcBorders>
              <w:top w:val="nil"/>
              <w:left w:val="single" w:sz="4" w:space="0" w:color="auto"/>
              <w:bottom w:val="nil"/>
              <w:right w:val="single" w:sz="4" w:space="0" w:color="auto"/>
            </w:tcBorders>
            <w:shd w:val="clear" w:color="auto" w:fill="auto"/>
            <w:noWrap/>
            <w:hideMark/>
          </w:tcPr>
          <w:p w14:paraId="0DDBA6A5" w14:textId="77777777" w:rsidR="00C469DE" w:rsidRPr="00D96BF4" w:rsidRDefault="00C469DE" w:rsidP="00C469DE">
            <w:pPr>
              <w:rPr>
                <w:b/>
                <w:bCs/>
                <w:color w:val="000000"/>
              </w:rPr>
            </w:pPr>
            <w:r w:rsidRPr="00D96BF4">
              <w:rPr>
                <w:b/>
                <w:bCs/>
                <w:color w:val="000000"/>
              </w:rPr>
              <w:t>Availability and quality of transport infrastructure</w:t>
            </w:r>
          </w:p>
        </w:tc>
        <w:tc>
          <w:tcPr>
            <w:tcW w:w="960" w:type="dxa"/>
            <w:tcBorders>
              <w:top w:val="nil"/>
              <w:left w:val="nil"/>
              <w:bottom w:val="nil"/>
              <w:right w:val="single" w:sz="4" w:space="0" w:color="auto"/>
            </w:tcBorders>
            <w:shd w:val="clear" w:color="auto" w:fill="auto"/>
            <w:noWrap/>
            <w:vAlign w:val="bottom"/>
            <w:hideMark/>
          </w:tcPr>
          <w:p w14:paraId="3E94CEAD" w14:textId="77777777" w:rsidR="00C469DE" w:rsidRPr="00D96BF4" w:rsidRDefault="00C469DE" w:rsidP="00C469DE">
            <w:pPr>
              <w:jc w:val="right"/>
              <w:rPr>
                <w:color w:val="000000"/>
              </w:rPr>
            </w:pPr>
            <w:r w:rsidRPr="00D96BF4">
              <w:rPr>
                <w:color w:val="000000"/>
              </w:rPr>
              <w:t>109</w:t>
            </w:r>
          </w:p>
        </w:tc>
        <w:tc>
          <w:tcPr>
            <w:tcW w:w="960" w:type="dxa"/>
            <w:tcBorders>
              <w:top w:val="nil"/>
              <w:left w:val="nil"/>
              <w:bottom w:val="nil"/>
              <w:right w:val="single" w:sz="4" w:space="0" w:color="auto"/>
            </w:tcBorders>
            <w:shd w:val="clear" w:color="auto" w:fill="auto"/>
            <w:noWrap/>
            <w:vAlign w:val="bottom"/>
            <w:hideMark/>
          </w:tcPr>
          <w:p w14:paraId="6DC9884E" w14:textId="77777777" w:rsidR="00C469DE" w:rsidRPr="00D96BF4" w:rsidRDefault="00C469DE" w:rsidP="00C469DE">
            <w:pPr>
              <w:jc w:val="right"/>
              <w:rPr>
                <w:color w:val="000000"/>
              </w:rPr>
            </w:pPr>
            <w:r w:rsidRPr="00D96BF4">
              <w:rPr>
                <w:color w:val="000000"/>
              </w:rPr>
              <w:t>2.7</w:t>
            </w:r>
          </w:p>
        </w:tc>
      </w:tr>
      <w:tr w:rsidR="00C469DE" w:rsidRPr="00D96BF4" w14:paraId="59A4CDCB" w14:textId="77777777" w:rsidTr="00C469DE">
        <w:trPr>
          <w:trHeight w:val="300"/>
        </w:trPr>
        <w:tc>
          <w:tcPr>
            <w:tcW w:w="6140" w:type="dxa"/>
            <w:tcBorders>
              <w:top w:val="nil"/>
              <w:left w:val="single" w:sz="4" w:space="0" w:color="auto"/>
              <w:bottom w:val="nil"/>
              <w:right w:val="single" w:sz="4" w:space="0" w:color="auto"/>
            </w:tcBorders>
            <w:shd w:val="clear" w:color="auto" w:fill="auto"/>
            <w:noWrap/>
            <w:hideMark/>
          </w:tcPr>
          <w:p w14:paraId="0E4E00F4" w14:textId="77777777" w:rsidR="00C469DE" w:rsidRPr="00D96BF4" w:rsidRDefault="00C469DE" w:rsidP="00C469DE">
            <w:pPr>
              <w:rPr>
                <w:b/>
                <w:bCs/>
                <w:color w:val="000000"/>
              </w:rPr>
            </w:pPr>
            <w:r w:rsidRPr="00D96BF4">
              <w:rPr>
                <w:b/>
                <w:bCs/>
                <w:color w:val="000000"/>
              </w:rPr>
              <w:t>Availability and quality of transport services</w:t>
            </w:r>
          </w:p>
        </w:tc>
        <w:tc>
          <w:tcPr>
            <w:tcW w:w="960" w:type="dxa"/>
            <w:tcBorders>
              <w:top w:val="nil"/>
              <w:left w:val="nil"/>
              <w:bottom w:val="nil"/>
              <w:right w:val="single" w:sz="4" w:space="0" w:color="auto"/>
            </w:tcBorders>
            <w:shd w:val="clear" w:color="auto" w:fill="auto"/>
            <w:noWrap/>
            <w:vAlign w:val="bottom"/>
            <w:hideMark/>
          </w:tcPr>
          <w:p w14:paraId="618753A0" w14:textId="77777777" w:rsidR="00C469DE" w:rsidRPr="00D96BF4" w:rsidRDefault="00C469DE" w:rsidP="00C469DE">
            <w:pPr>
              <w:jc w:val="right"/>
              <w:rPr>
                <w:color w:val="000000"/>
              </w:rPr>
            </w:pPr>
            <w:r w:rsidRPr="00D96BF4">
              <w:rPr>
                <w:color w:val="000000"/>
              </w:rPr>
              <w:t>100</w:t>
            </w:r>
          </w:p>
        </w:tc>
        <w:tc>
          <w:tcPr>
            <w:tcW w:w="960" w:type="dxa"/>
            <w:tcBorders>
              <w:top w:val="nil"/>
              <w:left w:val="nil"/>
              <w:bottom w:val="nil"/>
              <w:right w:val="single" w:sz="4" w:space="0" w:color="auto"/>
            </w:tcBorders>
            <w:shd w:val="clear" w:color="auto" w:fill="auto"/>
            <w:noWrap/>
            <w:vAlign w:val="bottom"/>
            <w:hideMark/>
          </w:tcPr>
          <w:p w14:paraId="1FA009CD" w14:textId="77777777" w:rsidR="00C469DE" w:rsidRPr="00D96BF4" w:rsidRDefault="00C469DE" w:rsidP="00C469DE">
            <w:pPr>
              <w:jc w:val="right"/>
              <w:rPr>
                <w:color w:val="000000"/>
              </w:rPr>
            </w:pPr>
            <w:r w:rsidRPr="00D96BF4">
              <w:rPr>
                <w:color w:val="000000"/>
              </w:rPr>
              <w:t>3.5</w:t>
            </w:r>
          </w:p>
        </w:tc>
      </w:tr>
      <w:tr w:rsidR="00C469DE" w:rsidRPr="00D96BF4" w14:paraId="6ABE6F38" w14:textId="77777777" w:rsidTr="00C469DE">
        <w:trPr>
          <w:trHeight w:val="300"/>
        </w:trPr>
        <w:tc>
          <w:tcPr>
            <w:tcW w:w="6140" w:type="dxa"/>
            <w:tcBorders>
              <w:top w:val="nil"/>
              <w:left w:val="single" w:sz="4" w:space="0" w:color="auto"/>
              <w:bottom w:val="nil"/>
              <w:right w:val="single" w:sz="4" w:space="0" w:color="auto"/>
            </w:tcBorders>
            <w:shd w:val="clear" w:color="auto" w:fill="auto"/>
            <w:noWrap/>
            <w:hideMark/>
          </w:tcPr>
          <w:p w14:paraId="2277DA29" w14:textId="77777777" w:rsidR="00C469DE" w:rsidRPr="00D96BF4" w:rsidRDefault="00C469DE" w:rsidP="00C469DE">
            <w:pPr>
              <w:rPr>
                <w:b/>
                <w:bCs/>
                <w:color w:val="000000"/>
              </w:rPr>
            </w:pPr>
            <w:r w:rsidRPr="00D96BF4">
              <w:rPr>
                <w:b/>
                <w:bCs/>
                <w:color w:val="000000"/>
              </w:rPr>
              <w:t>Availability and use of ICTs</w:t>
            </w:r>
          </w:p>
        </w:tc>
        <w:tc>
          <w:tcPr>
            <w:tcW w:w="960" w:type="dxa"/>
            <w:tcBorders>
              <w:top w:val="nil"/>
              <w:left w:val="nil"/>
              <w:bottom w:val="nil"/>
              <w:right w:val="single" w:sz="4" w:space="0" w:color="auto"/>
            </w:tcBorders>
            <w:shd w:val="clear" w:color="auto" w:fill="auto"/>
            <w:noWrap/>
            <w:vAlign w:val="bottom"/>
            <w:hideMark/>
          </w:tcPr>
          <w:p w14:paraId="6AF92292" w14:textId="77777777" w:rsidR="00C469DE" w:rsidRPr="00D96BF4" w:rsidRDefault="00C469DE" w:rsidP="00C469DE">
            <w:pPr>
              <w:jc w:val="right"/>
              <w:rPr>
                <w:color w:val="000000"/>
              </w:rPr>
            </w:pPr>
            <w:r w:rsidRPr="00D96BF4">
              <w:rPr>
                <w:color w:val="000000"/>
              </w:rPr>
              <w:t>112</w:t>
            </w:r>
          </w:p>
        </w:tc>
        <w:tc>
          <w:tcPr>
            <w:tcW w:w="960" w:type="dxa"/>
            <w:tcBorders>
              <w:top w:val="nil"/>
              <w:left w:val="nil"/>
              <w:bottom w:val="nil"/>
              <w:right w:val="single" w:sz="4" w:space="0" w:color="auto"/>
            </w:tcBorders>
            <w:shd w:val="clear" w:color="auto" w:fill="auto"/>
            <w:noWrap/>
            <w:vAlign w:val="bottom"/>
            <w:hideMark/>
          </w:tcPr>
          <w:p w14:paraId="72B02669" w14:textId="77777777" w:rsidR="00C469DE" w:rsidRPr="00D96BF4" w:rsidRDefault="00C469DE" w:rsidP="00C469DE">
            <w:pPr>
              <w:jc w:val="right"/>
              <w:rPr>
                <w:color w:val="000000"/>
              </w:rPr>
            </w:pPr>
            <w:r w:rsidRPr="00D96BF4">
              <w:rPr>
                <w:color w:val="000000"/>
              </w:rPr>
              <w:t>3.1</w:t>
            </w:r>
          </w:p>
        </w:tc>
      </w:tr>
      <w:tr w:rsidR="00C469DE" w:rsidRPr="00D96BF4" w14:paraId="6308D4FC" w14:textId="77777777" w:rsidTr="00C469DE">
        <w:trPr>
          <w:trHeight w:val="300"/>
        </w:trPr>
        <w:tc>
          <w:tcPr>
            <w:tcW w:w="6140" w:type="dxa"/>
            <w:tcBorders>
              <w:top w:val="nil"/>
              <w:left w:val="single" w:sz="4" w:space="0" w:color="auto"/>
              <w:bottom w:val="single" w:sz="4" w:space="0" w:color="auto"/>
              <w:right w:val="single" w:sz="4" w:space="0" w:color="auto"/>
            </w:tcBorders>
            <w:shd w:val="clear" w:color="auto" w:fill="auto"/>
            <w:noWrap/>
            <w:hideMark/>
          </w:tcPr>
          <w:p w14:paraId="26BDB8E6" w14:textId="77777777" w:rsidR="00C469DE" w:rsidRPr="00D96BF4" w:rsidRDefault="00C469DE" w:rsidP="00C469DE">
            <w:pPr>
              <w:rPr>
                <w:b/>
                <w:bCs/>
                <w:color w:val="000000"/>
              </w:rPr>
            </w:pPr>
            <w:r w:rsidRPr="00D96BF4">
              <w:rPr>
                <w:b/>
                <w:bCs/>
                <w:color w:val="000000"/>
              </w:rPr>
              <w:t>Operating Environment</w:t>
            </w:r>
          </w:p>
        </w:tc>
        <w:tc>
          <w:tcPr>
            <w:tcW w:w="960" w:type="dxa"/>
            <w:tcBorders>
              <w:top w:val="nil"/>
              <w:left w:val="nil"/>
              <w:bottom w:val="single" w:sz="4" w:space="0" w:color="auto"/>
              <w:right w:val="single" w:sz="4" w:space="0" w:color="auto"/>
            </w:tcBorders>
            <w:shd w:val="clear" w:color="auto" w:fill="auto"/>
            <w:noWrap/>
            <w:vAlign w:val="bottom"/>
            <w:hideMark/>
          </w:tcPr>
          <w:p w14:paraId="576B0534" w14:textId="77777777" w:rsidR="00C469DE" w:rsidRPr="00D96BF4" w:rsidRDefault="00C469DE" w:rsidP="00C469DE">
            <w:pPr>
              <w:jc w:val="right"/>
              <w:rPr>
                <w:color w:val="000000"/>
              </w:rPr>
            </w:pPr>
            <w:r w:rsidRPr="00D96BF4">
              <w:rPr>
                <w:color w:val="000000"/>
              </w:rPr>
              <w:t>128</w:t>
            </w:r>
          </w:p>
        </w:tc>
        <w:tc>
          <w:tcPr>
            <w:tcW w:w="960" w:type="dxa"/>
            <w:tcBorders>
              <w:top w:val="nil"/>
              <w:left w:val="nil"/>
              <w:bottom w:val="single" w:sz="4" w:space="0" w:color="auto"/>
              <w:right w:val="single" w:sz="4" w:space="0" w:color="auto"/>
            </w:tcBorders>
            <w:shd w:val="clear" w:color="auto" w:fill="auto"/>
            <w:noWrap/>
            <w:vAlign w:val="bottom"/>
            <w:hideMark/>
          </w:tcPr>
          <w:p w14:paraId="3FB377D4" w14:textId="77777777" w:rsidR="00C469DE" w:rsidRPr="00D96BF4" w:rsidRDefault="00C469DE" w:rsidP="00C469DE">
            <w:pPr>
              <w:jc w:val="right"/>
              <w:rPr>
                <w:color w:val="000000"/>
              </w:rPr>
            </w:pPr>
            <w:r w:rsidRPr="00D96BF4">
              <w:rPr>
                <w:color w:val="000000"/>
              </w:rPr>
              <w:t>3.5</w:t>
            </w:r>
          </w:p>
        </w:tc>
      </w:tr>
    </w:tbl>
    <w:p w14:paraId="64DFA0A2" w14:textId="77777777" w:rsidR="00C469DE" w:rsidRPr="00647951" w:rsidRDefault="00C469DE" w:rsidP="00C469DE">
      <w:pPr>
        <w:rPr>
          <w:b/>
          <w:i/>
          <w:sz w:val="20"/>
          <w:szCs w:val="20"/>
        </w:rPr>
      </w:pPr>
      <w:r w:rsidRPr="00647951">
        <w:rPr>
          <w:b/>
          <w:i/>
          <w:sz w:val="20"/>
          <w:szCs w:val="20"/>
        </w:rPr>
        <w:t>Source: Global Enabling Trade Report 2016, World Economic Forum</w:t>
      </w:r>
    </w:p>
    <w:p w14:paraId="0AC13C4A" w14:textId="77777777" w:rsidR="007C2215" w:rsidRDefault="007C2215" w:rsidP="00C469DE"/>
    <w:p w14:paraId="39A9DEE4" w14:textId="62661E6E" w:rsidR="00DF7507" w:rsidRPr="00BF1B56" w:rsidRDefault="00A12F43" w:rsidP="00BF1B56">
      <w:pPr>
        <w:spacing w:line="276" w:lineRule="auto"/>
      </w:pPr>
      <w:r w:rsidRPr="00BF1B56">
        <w:t xml:space="preserve">Bangladesh has, of course, undertaken lots of reform measures in improving Customs Administration including regulatory, infrastructure, </w:t>
      </w:r>
      <w:r w:rsidR="00DF7507" w:rsidRPr="00BF1B56">
        <w:t xml:space="preserve">procedural reforms and </w:t>
      </w:r>
      <w:r w:rsidRPr="00BF1B56">
        <w:t xml:space="preserve">using of digital technology and automation.  </w:t>
      </w:r>
      <w:r w:rsidR="00DF7507" w:rsidRPr="00BF1B56">
        <w:t xml:space="preserve">While this has helped Bangladesh, evidenced by the growth in its volume of global trade, further trade facilitation related reforms improvement would be required given that its competitors are reforming.   Among other things, these trade facilitation reforms should include further improvement of electronic submission and processing of customs declarations, and the improvement of risk-based inspection systems.  Besides, there will also have to </w:t>
      </w:r>
      <w:r w:rsidR="00753910">
        <w:t xml:space="preserve">be </w:t>
      </w:r>
      <w:r w:rsidR="00DF7507" w:rsidRPr="00BF1B56">
        <w:t xml:space="preserve">improvement of customs administration.  </w:t>
      </w:r>
    </w:p>
    <w:p w14:paraId="440ACD5C" w14:textId="77777777" w:rsidR="00DF7507" w:rsidRPr="00BF1B56" w:rsidRDefault="00DF7507" w:rsidP="00BF1B56">
      <w:pPr>
        <w:spacing w:line="276" w:lineRule="auto"/>
      </w:pPr>
    </w:p>
    <w:p w14:paraId="00FBADB1" w14:textId="70813896" w:rsidR="0029703F" w:rsidRPr="00883845" w:rsidRDefault="00607C04" w:rsidP="00883845">
      <w:pPr>
        <w:spacing w:line="276" w:lineRule="auto"/>
      </w:pPr>
      <w:r w:rsidRPr="00753910">
        <w:rPr>
          <w:b/>
          <w:i/>
        </w:rPr>
        <w:t>Chittagong port performance raises cost of doing business.</w:t>
      </w:r>
      <w:r>
        <w:rPr>
          <w:b/>
          <w:i/>
        </w:rPr>
        <w:t xml:space="preserve"> </w:t>
      </w:r>
      <w:r w:rsidR="00DF7507" w:rsidRPr="00BF1B56">
        <w:t xml:space="preserve">Bangladesh has not been able to get full benefits of the Customs Administration </w:t>
      </w:r>
      <w:r>
        <w:t xml:space="preserve">reforms </w:t>
      </w:r>
      <w:r w:rsidR="00DF7507" w:rsidRPr="00BF1B56">
        <w:t xml:space="preserve">that had already taken place because of port related </w:t>
      </w:r>
      <w:r w:rsidR="00BF1B56" w:rsidRPr="00BF1B56">
        <w:t>infrastructural bottlenecks</w:t>
      </w:r>
      <w:r w:rsidR="00DF7507" w:rsidRPr="00BF1B56">
        <w:t xml:space="preserve">. </w:t>
      </w:r>
      <w:r w:rsidR="00BF1B56" w:rsidRPr="00BF1B56">
        <w:t xml:space="preserve"> </w:t>
      </w:r>
      <w:r w:rsidR="009E15CA" w:rsidRPr="00BF1B56">
        <w:t xml:space="preserve">Bangladesh lags behind in both the indices. </w:t>
      </w:r>
      <w:r w:rsidR="00753910">
        <w:t xml:space="preserve">As shown in Figure 18, </w:t>
      </w:r>
      <w:r w:rsidR="00EE21DC" w:rsidRPr="00BF1B56">
        <w:t>C</w:t>
      </w:r>
      <w:r w:rsidR="009E15CA" w:rsidRPr="00BF1B56">
        <w:t>hitt</w:t>
      </w:r>
      <w:r w:rsidR="001906DB">
        <w:t>a</w:t>
      </w:r>
      <w:r w:rsidR="009E15CA" w:rsidRPr="00BF1B56">
        <w:t xml:space="preserve">gong </w:t>
      </w:r>
      <w:r w:rsidR="00753910">
        <w:t xml:space="preserve">port </w:t>
      </w:r>
      <w:r w:rsidR="009E15CA" w:rsidRPr="00BF1B56">
        <w:t xml:space="preserve">has very high turnaround time (4.26 days).  It takes almost 1.70 more days than even neighboring Kolkata port. This automatically raises port related costs. This has to change and </w:t>
      </w:r>
      <w:r w:rsidR="00753910">
        <w:t xml:space="preserve">effort needs to be made to bring it </w:t>
      </w:r>
      <w:r w:rsidR="009E15CA" w:rsidRPr="00BF1B56">
        <w:t xml:space="preserve">at least </w:t>
      </w:r>
      <w:r w:rsidR="00753910">
        <w:t xml:space="preserve">to </w:t>
      </w:r>
      <w:r w:rsidR="009E15CA" w:rsidRPr="00BF1B56">
        <w:t xml:space="preserve">Colombo </w:t>
      </w:r>
      <w:r w:rsidR="00753910">
        <w:t xml:space="preserve">port </w:t>
      </w:r>
      <w:r w:rsidR="009E15CA" w:rsidRPr="00BF1B56">
        <w:t xml:space="preserve">level.  At the same </w:t>
      </w:r>
      <w:r w:rsidR="001906DB" w:rsidRPr="00BF1B56">
        <w:t>Chittagong</w:t>
      </w:r>
      <w:r w:rsidR="00753910">
        <w:t xml:space="preserve"> </w:t>
      </w:r>
      <w:r w:rsidR="00F27BC7">
        <w:t xml:space="preserve">port </w:t>
      </w:r>
      <w:r w:rsidR="00F27BC7" w:rsidRPr="00BF1B56">
        <w:t>Throughput</w:t>
      </w:r>
      <w:r w:rsidR="009E15CA" w:rsidRPr="00BF1B56">
        <w:t xml:space="preserve"> in 2015 was only 2.02 million of TEU compared to 36.54 million TEUs for Shanghai.  Bangladesh’s Throughput needs</w:t>
      </w:r>
      <w:r w:rsidR="00753910">
        <w:t xml:space="preserve"> to reach Shanghai level by 2041 (Figure 19)</w:t>
      </w:r>
    </w:p>
    <w:p w14:paraId="2E74813B" w14:textId="77777777" w:rsidR="00F27BC7" w:rsidRDefault="00F27BC7" w:rsidP="00DE63A5">
      <w:pPr>
        <w:jc w:val="center"/>
        <w:rPr>
          <w:b/>
        </w:rPr>
      </w:pPr>
    </w:p>
    <w:p w14:paraId="468E7E9D" w14:textId="77777777" w:rsidR="00F27BC7" w:rsidRDefault="00F27BC7" w:rsidP="00DE63A5">
      <w:pPr>
        <w:jc w:val="center"/>
        <w:rPr>
          <w:b/>
        </w:rPr>
      </w:pPr>
    </w:p>
    <w:p w14:paraId="3AED405C" w14:textId="3BE48B3B" w:rsidR="00EE21DC" w:rsidRDefault="00753910" w:rsidP="00DE63A5">
      <w:pPr>
        <w:jc w:val="center"/>
        <w:rPr>
          <w:b/>
        </w:rPr>
      </w:pPr>
      <w:r w:rsidRPr="00753910">
        <w:rPr>
          <w:b/>
        </w:rPr>
        <w:t>Figure 18:</w:t>
      </w:r>
      <w:r>
        <w:rPr>
          <w:b/>
        </w:rPr>
        <w:t xml:space="preserve"> </w:t>
      </w:r>
      <w:r w:rsidR="00EE21DC" w:rsidRPr="00E747AB">
        <w:rPr>
          <w:b/>
        </w:rPr>
        <w:t>Turnaround Times for Selected Ports</w:t>
      </w:r>
      <w:r w:rsidR="00EE21DC">
        <w:rPr>
          <w:b/>
        </w:rPr>
        <w:t>, 2016</w:t>
      </w:r>
    </w:p>
    <w:p w14:paraId="1EAFDFE5" w14:textId="77777777" w:rsidR="00DE63A5" w:rsidRDefault="00DE63A5" w:rsidP="009E15CA">
      <w:pPr>
        <w:rPr>
          <w:b/>
        </w:rPr>
      </w:pPr>
    </w:p>
    <w:p w14:paraId="6EA0300C" w14:textId="5E66268E" w:rsidR="00DE63A5" w:rsidRPr="001906DB" w:rsidRDefault="00EE21DC" w:rsidP="00EE21DC">
      <w:pPr>
        <w:rPr>
          <w:b/>
        </w:rPr>
      </w:pPr>
      <w:r>
        <w:rPr>
          <w:noProof/>
        </w:rPr>
        <w:drawing>
          <wp:inline distT="0" distB="0" distL="0" distR="0" wp14:anchorId="7715FBD5" wp14:editId="156F83AA">
            <wp:extent cx="5257800" cy="2443480"/>
            <wp:effectExtent l="0" t="0" r="25400" b="2032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5D083C1" w14:textId="77777777" w:rsidR="00EE21DC" w:rsidRPr="001906DB" w:rsidRDefault="00EE21DC" w:rsidP="00EE21DC">
      <w:pPr>
        <w:rPr>
          <w:b/>
          <w:i/>
          <w:sz w:val="20"/>
          <w:szCs w:val="20"/>
        </w:rPr>
      </w:pPr>
      <w:r w:rsidRPr="001906DB">
        <w:rPr>
          <w:b/>
          <w:i/>
          <w:sz w:val="20"/>
          <w:szCs w:val="20"/>
        </w:rPr>
        <w:t xml:space="preserve">Source: Ministry of Shipping, Government of India; Chittagong Port Authority; </w:t>
      </w:r>
    </w:p>
    <w:p w14:paraId="7B5B4293" w14:textId="77777777" w:rsidR="00EE21DC" w:rsidRPr="001906DB" w:rsidRDefault="00EE21DC" w:rsidP="00EE21DC">
      <w:pPr>
        <w:rPr>
          <w:b/>
          <w:i/>
          <w:sz w:val="20"/>
          <w:szCs w:val="20"/>
        </w:rPr>
      </w:pPr>
      <w:r w:rsidRPr="001906DB">
        <w:rPr>
          <w:b/>
          <w:i/>
          <w:sz w:val="20"/>
          <w:szCs w:val="20"/>
        </w:rPr>
        <w:t>Sri Lanka Ports Authority; Marine Department, Hong Kong</w:t>
      </w:r>
    </w:p>
    <w:p w14:paraId="22589232" w14:textId="77777777" w:rsidR="00EE21DC" w:rsidRDefault="00EE21DC" w:rsidP="009F570C">
      <w:pPr>
        <w:spacing w:line="276" w:lineRule="auto"/>
        <w:jc w:val="both"/>
      </w:pPr>
    </w:p>
    <w:p w14:paraId="5727B05F" w14:textId="77777777" w:rsidR="00EE21DC" w:rsidRDefault="00EE21DC" w:rsidP="009F570C">
      <w:pPr>
        <w:spacing w:line="276" w:lineRule="auto"/>
        <w:jc w:val="both"/>
      </w:pPr>
    </w:p>
    <w:p w14:paraId="258FE38B" w14:textId="262CDA61" w:rsidR="00EE21DC" w:rsidRDefault="00753910" w:rsidP="001906DB">
      <w:pPr>
        <w:jc w:val="center"/>
        <w:rPr>
          <w:b/>
        </w:rPr>
      </w:pPr>
      <w:r w:rsidRPr="00753910">
        <w:rPr>
          <w:b/>
        </w:rPr>
        <w:t>Figure 19:</w:t>
      </w:r>
      <w:r w:rsidR="00EE21DC">
        <w:rPr>
          <w:b/>
        </w:rPr>
        <w:t xml:space="preserve"> Global Port Throughput 2015 (in millions of TEUs)</w:t>
      </w:r>
    </w:p>
    <w:p w14:paraId="54BFADC9" w14:textId="77777777" w:rsidR="001906DB" w:rsidRPr="00DA14F2" w:rsidRDefault="001906DB" w:rsidP="00EE21DC">
      <w:pPr>
        <w:rPr>
          <w:b/>
        </w:rPr>
      </w:pPr>
    </w:p>
    <w:p w14:paraId="36653B76" w14:textId="52EA9F98" w:rsidR="001906DB" w:rsidRDefault="00EE21DC" w:rsidP="00EE21DC">
      <w:pPr>
        <w:rPr>
          <w:b/>
          <w:i/>
          <w:sz w:val="20"/>
          <w:szCs w:val="20"/>
        </w:rPr>
      </w:pPr>
      <w:r>
        <w:rPr>
          <w:noProof/>
        </w:rPr>
        <w:drawing>
          <wp:inline distT="0" distB="0" distL="0" distR="0" wp14:anchorId="17956973" wp14:editId="07409040">
            <wp:extent cx="5138420" cy="1971675"/>
            <wp:effectExtent l="0" t="0" r="17780" b="349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7D1D2EC" w14:textId="77777777" w:rsidR="00EE21DC" w:rsidRDefault="00EE21DC" w:rsidP="00EE21DC">
      <w:pPr>
        <w:rPr>
          <w:b/>
          <w:i/>
          <w:sz w:val="20"/>
          <w:szCs w:val="20"/>
        </w:rPr>
      </w:pPr>
      <w:r>
        <w:rPr>
          <w:b/>
          <w:i/>
          <w:sz w:val="20"/>
          <w:szCs w:val="20"/>
        </w:rPr>
        <w:t>Source: Lloyd’s List Maritime Intelligence</w:t>
      </w:r>
    </w:p>
    <w:p w14:paraId="3B430791" w14:textId="77777777" w:rsidR="00EE21DC" w:rsidRDefault="00EE21DC" w:rsidP="009F570C">
      <w:pPr>
        <w:spacing w:line="276" w:lineRule="auto"/>
        <w:jc w:val="both"/>
      </w:pPr>
    </w:p>
    <w:p w14:paraId="0F9193C6" w14:textId="776F52C5" w:rsidR="00BF1B56" w:rsidRPr="00BF1B56" w:rsidRDefault="00BF1B56" w:rsidP="00BF1B56">
      <w:pPr>
        <w:spacing w:line="276" w:lineRule="auto"/>
      </w:pPr>
      <w:r w:rsidRPr="00BF1B56">
        <w:t xml:space="preserve">Bangladesh will have to urgently address the Port related infrastructure </w:t>
      </w:r>
      <w:r w:rsidR="00607C04">
        <w:t xml:space="preserve">constraints including </w:t>
      </w:r>
      <w:r w:rsidRPr="00BF1B56">
        <w:t xml:space="preserve">road access issues. In addition, enhancing port procedures </w:t>
      </w:r>
      <w:r w:rsidR="00607C04">
        <w:t xml:space="preserve">capacity </w:t>
      </w:r>
      <w:r w:rsidRPr="00BF1B56">
        <w:t>will also have undertaken</w:t>
      </w:r>
      <w:r w:rsidR="00607C04">
        <w:t>, and moving towards</w:t>
      </w:r>
      <w:r w:rsidRPr="00BF1B56">
        <w:t xml:space="preserve"> automation wit</w:t>
      </w:r>
      <w:r w:rsidR="00607C04">
        <w:t xml:space="preserve">h proper interface with Customs and other logistic areas </w:t>
      </w:r>
      <w:r w:rsidR="00DE0E56">
        <w:t>will have</w:t>
      </w:r>
      <w:r w:rsidR="00607C04">
        <w:t xml:space="preserve"> to be ensured.</w:t>
      </w:r>
      <w:r w:rsidRPr="00BF1B56">
        <w:t xml:space="preserve"> </w:t>
      </w:r>
      <w:r w:rsidR="00607C04">
        <w:t xml:space="preserve">  With the rising volume of trade that will continue to accompany the rising incomes that Bangladesh traverses on its desired path to HIC, there will be need for additional port facilities. </w:t>
      </w:r>
      <w:r w:rsidRPr="00BF1B56">
        <w:t xml:space="preserve">The Government is in the process of setting up a </w:t>
      </w:r>
      <w:r w:rsidR="001906DB" w:rsidRPr="00BF1B56">
        <w:t>deep-sea</w:t>
      </w:r>
      <w:r w:rsidRPr="00BF1B56">
        <w:t xml:space="preserve"> port.  This agenda needs to move ahead </w:t>
      </w:r>
      <w:r w:rsidR="00607C04">
        <w:t xml:space="preserve">most </w:t>
      </w:r>
      <w:r w:rsidRPr="00BF1B56">
        <w:t xml:space="preserve">urgently.  </w:t>
      </w:r>
    </w:p>
    <w:p w14:paraId="21A9B0D4" w14:textId="77777777" w:rsidR="00BF1B56" w:rsidRPr="00BF1B56" w:rsidRDefault="00BF1B56" w:rsidP="00BF1B56">
      <w:pPr>
        <w:spacing w:line="276" w:lineRule="auto"/>
      </w:pPr>
    </w:p>
    <w:p w14:paraId="54ED4647" w14:textId="3EDBBDE2" w:rsidR="00BF1B56" w:rsidRDefault="00BF1B56" w:rsidP="001B7C64">
      <w:pPr>
        <w:spacing w:line="276" w:lineRule="auto"/>
      </w:pPr>
      <w:r w:rsidRPr="000F454B">
        <w:t>BIDA will have to work with both Customs and Port Authorities and their controlling Ministries in identifying procedural and regulatory steps/measures for urgent reforms and also facilitate private investments in related infrastructure through PPPs</w:t>
      </w:r>
      <w:r w:rsidR="00607C04" w:rsidRPr="000F454B">
        <w:t>, particularly in improving capacity of Chittagong port in the short to medium term, and the new deep sea port in the longer run.</w:t>
      </w:r>
    </w:p>
    <w:p w14:paraId="7B57B4C5" w14:textId="77777777" w:rsidR="001B7C64" w:rsidRPr="001B7C64" w:rsidRDefault="001B7C64" w:rsidP="001B7C64">
      <w:pPr>
        <w:spacing w:line="276" w:lineRule="auto"/>
      </w:pPr>
    </w:p>
    <w:p w14:paraId="0989EC3E" w14:textId="22C509A4" w:rsidR="00F31EA4" w:rsidRDefault="009B6A12" w:rsidP="00A401F5">
      <w:pPr>
        <w:widowControl w:val="0"/>
        <w:autoSpaceDE w:val="0"/>
        <w:autoSpaceDN w:val="0"/>
        <w:adjustRightInd w:val="0"/>
        <w:spacing w:after="240" w:line="276" w:lineRule="auto"/>
        <w:jc w:val="both"/>
      </w:pPr>
      <w:r>
        <w:rPr>
          <w:b/>
        </w:rPr>
        <w:t>3</w:t>
      </w:r>
      <w:r w:rsidR="00883845">
        <w:rPr>
          <w:b/>
        </w:rPr>
        <w:t>.7</w:t>
      </w:r>
      <w:r w:rsidR="00DE0E56">
        <w:rPr>
          <w:b/>
        </w:rPr>
        <w:t xml:space="preserve"> Modernizing</w:t>
      </w:r>
      <w:r w:rsidR="0070283B">
        <w:rPr>
          <w:b/>
        </w:rPr>
        <w:t xml:space="preserve"> </w:t>
      </w:r>
      <w:r w:rsidR="005A0B8C" w:rsidRPr="00A401F5">
        <w:rPr>
          <w:b/>
        </w:rPr>
        <w:t xml:space="preserve">Land Administration </w:t>
      </w:r>
      <w:r w:rsidR="005D64BE">
        <w:rPr>
          <w:b/>
        </w:rPr>
        <w:t xml:space="preserve">and setting up of Economic Zones can </w:t>
      </w:r>
      <w:r w:rsidR="0070283B">
        <w:rPr>
          <w:b/>
        </w:rPr>
        <w:t>lead to reduction of Cost of Doing B</w:t>
      </w:r>
      <w:r w:rsidR="005A0B8C" w:rsidRPr="00A401F5">
        <w:rPr>
          <w:b/>
        </w:rPr>
        <w:t>usiness</w:t>
      </w:r>
      <w:r w:rsidR="000F2EA7">
        <w:rPr>
          <w:b/>
        </w:rPr>
        <w:t xml:space="preserve"> – </w:t>
      </w:r>
      <w:r w:rsidR="000F2EA7" w:rsidRPr="00DE0E56">
        <w:rPr>
          <w:b/>
          <w:i/>
        </w:rPr>
        <w:t>its impact through reducing time in registering properties, getting building permit, and reducing land related case loads allowing courts more time for contract enforcement.</w:t>
      </w:r>
    </w:p>
    <w:p w14:paraId="196A65D3" w14:textId="2270A052" w:rsidR="00A60747" w:rsidRDefault="00492DC9" w:rsidP="00A401F5">
      <w:pPr>
        <w:widowControl w:val="0"/>
        <w:autoSpaceDE w:val="0"/>
        <w:autoSpaceDN w:val="0"/>
        <w:adjustRightInd w:val="0"/>
        <w:spacing w:after="240" w:line="276" w:lineRule="auto"/>
        <w:jc w:val="both"/>
        <w:rPr>
          <w:color w:val="FF0000"/>
        </w:rPr>
      </w:pPr>
      <w:r>
        <w:t xml:space="preserve">Bangladesh is a </w:t>
      </w:r>
      <w:r w:rsidR="002563EA">
        <w:t>land-constrained</w:t>
      </w:r>
      <w:r>
        <w:t xml:space="preserve"> country and has to cater to the different competing demands</w:t>
      </w:r>
      <w:r w:rsidR="002563EA">
        <w:t xml:space="preserve"> on land for housing, food, communication, and business needs.  Land is also the most valuable asset and a leading constraint to investments as has been reflected in different surveys</w:t>
      </w:r>
      <w:r w:rsidR="002563EA" w:rsidRPr="00C61A30">
        <w:t xml:space="preserve">. </w:t>
      </w:r>
      <w:r w:rsidR="00A60747" w:rsidRPr="00C61A30">
        <w:t xml:space="preserve">With efficient land management we could see improvements in three of the DB indicators – </w:t>
      </w:r>
      <w:r w:rsidR="00DE61CC" w:rsidRPr="00C61A30">
        <w:t xml:space="preserve">enforcing contracts, </w:t>
      </w:r>
      <w:r w:rsidR="00A60747" w:rsidRPr="00C61A30">
        <w:t>registering property,</w:t>
      </w:r>
      <w:r w:rsidR="00DE61CC" w:rsidRPr="00C61A30">
        <w:t xml:space="preserve"> and dealing construction</w:t>
      </w:r>
      <w:r w:rsidR="00A60747" w:rsidRPr="00C61A30">
        <w:t xml:space="preserve"> permits – where Bangladesh performs very poorly as had already been shown above.</w:t>
      </w:r>
      <w:r w:rsidR="00A60747" w:rsidRPr="00A60747">
        <w:rPr>
          <w:color w:val="FF0000"/>
        </w:rPr>
        <w:t xml:space="preserve">  </w:t>
      </w:r>
    </w:p>
    <w:p w14:paraId="0CC2DD00" w14:textId="55C337F0" w:rsidR="00DE61CC" w:rsidRPr="00C61A30" w:rsidRDefault="00A60747" w:rsidP="00A401F5">
      <w:pPr>
        <w:widowControl w:val="0"/>
        <w:autoSpaceDE w:val="0"/>
        <w:autoSpaceDN w:val="0"/>
        <w:adjustRightInd w:val="0"/>
        <w:spacing w:after="240" w:line="276" w:lineRule="auto"/>
        <w:jc w:val="both"/>
      </w:pPr>
      <w:r w:rsidRPr="00C61A30">
        <w:t>The courts are overloaded with cases that originate form disputes relating to title and registration. Land ownership/title related cases burdens the court system with the impact that on average it takes 1442 days to enforce a contract and the financial cost of enforcement is as high as 67% of the claim, compared to only 400 days in Vietnam and 453 days in China to enforce a contract; the financial cost being 29% and 16% respectively.    If this burden could be reduced then the courts could focus more in quick dispensation of commercial disputes</w:t>
      </w:r>
      <w:r w:rsidR="00DE61CC" w:rsidRPr="00C61A30">
        <w:t xml:space="preserve"> and enforcing contracts,</w:t>
      </w:r>
      <w:r w:rsidRPr="00C61A30">
        <w:t xml:space="preserve"> as would be expected when country moves to higher levels of development.</w:t>
      </w:r>
      <w:r w:rsidR="002563EA" w:rsidRPr="00C61A30">
        <w:t xml:space="preserve"> </w:t>
      </w:r>
    </w:p>
    <w:p w14:paraId="1672339E" w14:textId="20D75AE0" w:rsidR="00A60747" w:rsidRPr="00C61A30" w:rsidRDefault="00091C90" w:rsidP="00A401F5">
      <w:pPr>
        <w:widowControl w:val="0"/>
        <w:autoSpaceDE w:val="0"/>
        <w:autoSpaceDN w:val="0"/>
        <w:adjustRightInd w:val="0"/>
        <w:spacing w:after="240" w:line="276" w:lineRule="auto"/>
        <w:jc w:val="both"/>
      </w:pPr>
      <w:r w:rsidRPr="00C61A30">
        <w:t>The land titling related issue also makes property registration a long drawn process. Bangladesh takes 244 days to register property while it is only 20 days in China, 27 days in Indonesia and 47 days in India.</w:t>
      </w:r>
      <w:r w:rsidR="00012ED7" w:rsidRPr="00C61A30">
        <w:t xml:space="preserve"> </w:t>
      </w:r>
      <w:r w:rsidR="00DE61CC" w:rsidRPr="00C61A30">
        <w:t xml:space="preserve">Access to industrial land for manufacturing is made difficult by complexity in the process and time taken to register properties – this also has implications on getting building permits in shorter time. </w:t>
      </w:r>
    </w:p>
    <w:p w14:paraId="7B894202" w14:textId="50B35022" w:rsidR="00930EA1" w:rsidRPr="008C4135" w:rsidRDefault="00091C90" w:rsidP="008C4135">
      <w:pPr>
        <w:widowControl w:val="0"/>
        <w:autoSpaceDE w:val="0"/>
        <w:autoSpaceDN w:val="0"/>
        <w:adjustRightInd w:val="0"/>
        <w:spacing w:after="240" w:line="276" w:lineRule="auto"/>
        <w:jc w:val="both"/>
      </w:pPr>
      <w:r>
        <w:t>Because of the challenges relating to land title it becomes very difficult for entrepreneurs to purchase land.  This is even more challenging</w:t>
      </w:r>
      <w:r w:rsidR="00A60747">
        <w:t xml:space="preserve"> for foreign investors.</w:t>
      </w:r>
      <w:r>
        <w:t xml:space="preserve"> </w:t>
      </w:r>
      <w:r w:rsidR="002563EA">
        <w:t xml:space="preserve">So proper policies and regulatory measures needs to be in place that </w:t>
      </w:r>
      <w:r w:rsidR="002B1AB6">
        <w:t xml:space="preserve">puts in place an efficient land market that is able to cater to the alternate needs, including the growing demand for land to set up manufacturing and logistics related industry. </w:t>
      </w:r>
      <w:r w:rsidR="002563EA">
        <w:t>Since land touches every aspect of development and the lives of its people it needs to be handled with special emphasis so that objectives of Bangladesh’s development goal of</w:t>
      </w:r>
      <w:r w:rsidR="00C64844">
        <w:t xml:space="preserve"> reaching HIC status around 2041</w:t>
      </w:r>
      <w:r w:rsidR="002563EA">
        <w:t xml:space="preserve">. </w:t>
      </w:r>
    </w:p>
    <w:p w14:paraId="4665253F" w14:textId="364A87C5" w:rsidR="003D3936" w:rsidRPr="003D3936" w:rsidRDefault="00F27BC7" w:rsidP="003D3936">
      <w:pPr>
        <w:widowControl w:val="0"/>
        <w:autoSpaceDE w:val="0"/>
        <w:autoSpaceDN w:val="0"/>
        <w:adjustRightInd w:val="0"/>
        <w:spacing w:after="240" w:line="276" w:lineRule="auto"/>
        <w:jc w:val="both"/>
        <w:rPr>
          <w:rFonts w:eastAsia="Arial"/>
          <w:w w:val="101"/>
        </w:rPr>
      </w:pPr>
      <w:r>
        <w:rPr>
          <w:b/>
          <w:i/>
        </w:rPr>
        <w:t>Complex l</w:t>
      </w:r>
      <w:r w:rsidR="00965A81" w:rsidRPr="00A401F5">
        <w:rPr>
          <w:b/>
          <w:i/>
        </w:rPr>
        <w:t xml:space="preserve">and related </w:t>
      </w:r>
      <w:r>
        <w:rPr>
          <w:b/>
          <w:i/>
        </w:rPr>
        <w:t>r</w:t>
      </w:r>
      <w:r w:rsidR="00E369BA" w:rsidRPr="00A401F5">
        <w:rPr>
          <w:b/>
          <w:i/>
        </w:rPr>
        <w:t xml:space="preserve">egulatory </w:t>
      </w:r>
      <w:r>
        <w:rPr>
          <w:b/>
          <w:i/>
        </w:rPr>
        <w:t>s</w:t>
      </w:r>
      <w:r w:rsidR="00965A81" w:rsidRPr="00A401F5">
        <w:rPr>
          <w:b/>
          <w:i/>
        </w:rPr>
        <w:t>ystem</w:t>
      </w:r>
      <w:r w:rsidR="00456591">
        <w:rPr>
          <w:b/>
          <w:i/>
        </w:rPr>
        <w:t xml:space="preserve"> that requires streamlining to reduce cost of doing business</w:t>
      </w:r>
      <w:r w:rsidR="00E369BA" w:rsidRPr="00A401F5">
        <w:rPr>
          <w:b/>
          <w:i/>
        </w:rPr>
        <w:t>:</w:t>
      </w:r>
      <w:r w:rsidR="000D286B" w:rsidRPr="00A401F5">
        <w:t xml:space="preserve"> </w:t>
      </w:r>
      <w:r w:rsidR="00456591">
        <w:t xml:space="preserve">The </w:t>
      </w:r>
      <w:r w:rsidR="00C61A30">
        <w:t xml:space="preserve">land related </w:t>
      </w:r>
      <w:r w:rsidR="00456591">
        <w:t>problems are institutional, procedural, and regulatory</w:t>
      </w:r>
      <w:r w:rsidR="00C61A30">
        <w:t>;</w:t>
      </w:r>
      <w:r w:rsidR="00456591">
        <w:t xml:space="preserve"> which results in an inefficient land market and the resultant doing business index related challenges.  </w:t>
      </w:r>
      <w:r w:rsidR="00C64844">
        <w:t xml:space="preserve">There are three </w:t>
      </w:r>
      <w:r w:rsidR="00C64844" w:rsidRPr="003D3936">
        <w:t>institutions</w:t>
      </w:r>
      <w:r w:rsidR="00C61A30" w:rsidRPr="003D3936">
        <w:t xml:space="preserve"> –</w:t>
      </w:r>
      <w:r w:rsidR="00890C6E" w:rsidRPr="003D3936">
        <w:t xml:space="preserve"> </w:t>
      </w:r>
      <w:r w:rsidR="00C64844" w:rsidRPr="003D3936">
        <w:t xml:space="preserve">Land Survey office, </w:t>
      </w:r>
      <w:r w:rsidR="00890C6E" w:rsidRPr="003D3936">
        <w:t>Land Revenue office and Sub-Registrar office</w:t>
      </w:r>
      <w:r w:rsidR="00C61A30">
        <w:t xml:space="preserve"> </w:t>
      </w:r>
      <w:r w:rsidR="00890C6E" w:rsidRPr="003D3936">
        <w:t>-</w:t>
      </w:r>
      <w:r w:rsidR="00C61A30">
        <w:t>,</w:t>
      </w:r>
      <w:r w:rsidR="00890C6E" w:rsidRPr="003D3936">
        <w:t xml:space="preserve"> administered by two separate Ministries</w:t>
      </w:r>
      <w:r w:rsidR="00C61A30">
        <w:t>,</w:t>
      </w:r>
      <w:r w:rsidR="00890C6E" w:rsidRPr="003D3936">
        <w:t xml:space="preserve"> </w:t>
      </w:r>
      <w:r w:rsidR="00C61A30">
        <w:t xml:space="preserve">that </w:t>
      </w:r>
      <w:r w:rsidR="00890C6E" w:rsidRPr="003D3936">
        <w:t>are involved in the</w:t>
      </w:r>
      <w:r w:rsidR="00456591" w:rsidRPr="003D3936">
        <w:t>, settlement, titling, revenue collection,</w:t>
      </w:r>
      <w:r w:rsidR="00890C6E" w:rsidRPr="003D3936">
        <w:t xml:space="preserve"> transfer and registration process</w:t>
      </w:r>
      <w:r w:rsidR="00456591" w:rsidRPr="003D3936">
        <w:t>.</w:t>
      </w:r>
      <w:r w:rsidR="00D11167" w:rsidRPr="003D3936">
        <w:rPr>
          <w:rFonts w:eastAsia="Arial"/>
          <w:w w:val="101"/>
        </w:rPr>
        <w:t xml:space="preserve"> </w:t>
      </w:r>
    </w:p>
    <w:p w14:paraId="1620105C" w14:textId="4B8BC7A4" w:rsidR="00EC00A0" w:rsidRPr="003D3936" w:rsidRDefault="00456591" w:rsidP="003D3936">
      <w:pPr>
        <w:widowControl w:val="0"/>
        <w:autoSpaceDE w:val="0"/>
        <w:autoSpaceDN w:val="0"/>
        <w:adjustRightInd w:val="0"/>
        <w:spacing w:after="240" w:line="276" w:lineRule="auto"/>
        <w:jc w:val="both"/>
      </w:pPr>
      <w:r w:rsidRPr="003D3936">
        <w:rPr>
          <w:rFonts w:eastAsia="Arial"/>
        </w:rPr>
        <w:t>Land related complications arise because the Land</w:t>
      </w:r>
      <w:r w:rsidRPr="003D3936">
        <w:rPr>
          <w:rFonts w:eastAsia="Arial"/>
          <w:spacing w:val="12"/>
        </w:rPr>
        <w:t xml:space="preserve"> </w:t>
      </w:r>
      <w:r w:rsidRPr="003D3936">
        <w:rPr>
          <w:rFonts w:eastAsia="Arial"/>
        </w:rPr>
        <w:t>r</w:t>
      </w:r>
      <w:r w:rsidRPr="003D3936">
        <w:rPr>
          <w:rFonts w:eastAsia="Arial"/>
          <w:spacing w:val="-1"/>
        </w:rPr>
        <w:t>ec</w:t>
      </w:r>
      <w:r w:rsidRPr="003D3936">
        <w:rPr>
          <w:rFonts w:eastAsia="Arial"/>
        </w:rPr>
        <w:t>or</w:t>
      </w:r>
      <w:r w:rsidRPr="003D3936">
        <w:rPr>
          <w:rFonts w:eastAsia="Arial"/>
          <w:spacing w:val="-1"/>
        </w:rPr>
        <w:t>d</w:t>
      </w:r>
      <w:r w:rsidRPr="003D3936">
        <w:rPr>
          <w:rFonts w:eastAsia="Arial"/>
        </w:rPr>
        <w:t>s</w:t>
      </w:r>
      <w:r w:rsidRPr="003D3936">
        <w:rPr>
          <w:rFonts w:eastAsia="Arial"/>
          <w:spacing w:val="18"/>
        </w:rPr>
        <w:t xml:space="preserve"> </w:t>
      </w:r>
      <w:r w:rsidRPr="003D3936">
        <w:rPr>
          <w:rFonts w:eastAsia="Arial"/>
        </w:rPr>
        <w:t>may</w:t>
      </w:r>
      <w:r w:rsidRPr="003D3936">
        <w:rPr>
          <w:rFonts w:eastAsia="Arial"/>
          <w:spacing w:val="13"/>
        </w:rPr>
        <w:t xml:space="preserve"> </w:t>
      </w:r>
      <w:r w:rsidRPr="003D3936">
        <w:rPr>
          <w:rFonts w:eastAsia="Arial"/>
          <w:spacing w:val="-1"/>
        </w:rPr>
        <w:t>b</w:t>
      </w:r>
      <w:r w:rsidRPr="003D3936">
        <w:rPr>
          <w:rFonts w:eastAsia="Arial"/>
        </w:rPr>
        <w:t>e</w:t>
      </w:r>
      <w:r w:rsidRPr="003D3936">
        <w:rPr>
          <w:rFonts w:eastAsia="Arial"/>
          <w:spacing w:val="8"/>
        </w:rPr>
        <w:t xml:space="preserve"> </w:t>
      </w:r>
      <w:r w:rsidRPr="003D3936">
        <w:rPr>
          <w:rFonts w:eastAsia="Arial"/>
          <w:spacing w:val="-1"/>
        </w:rPr>
        <w:t>u</w:t>
      </w:r>
      <w:r w:rsidRPr="003D3936">
        <w:rPr>
          <w:rFonts w:eastAsia="Arial"/>
        </w:rPr>
        <w:t>p</w:t>
      </w:r>
      <w:r w:rsidRPr="003D3936">
        <w:rPr>
          <w:rFonts w:eastAsia="Arial"/>
          <w:spacing w:val="-1"/>
        </w:rPr>
        <w:t>da</w:t>
      </w:r>
      <w:r w:rsidRPr="003D3936">
        <w:rPr>
          <w:rFonts w:eastAsia="Arial"/>
        </w:rPr>
        <w:t>te</w:t>
      </w:r>
      <w:r w:rsidRPr="003D3936">
        <w:rPr>
          <w:rFonts w:eastAsia="Arial"/>
          <w:spacing w:val="-1"/>
        </w:rPr>
        <w:t>d</w:t>
      </w:r>
      <w:r w:rsidRPr="003D3936">
        <w:rPr>
          <w:rFonts w:eastAsia="Arial"/>
        </w:rPr>
        <w:t>:</w:t>
      </w:r>
      <w:r w:rsidRPr="003D3936">
        <w:rPr>
          <w:rFonts w:eastAsia="Arial"/>
          <w:spacing w:val="23"/>
        </w:rPr>
        <w:t xml:space="preserve"> </w:t>
      </w:r>
      <w:r w:rsidRPr="003D3936">
        <w:rPr>
          <w:rFonts w:eastAsia="Arial"/>
          <w:spacing w:val="-1"/>
        </w:rPr>
        <w:t>(</w:t>
      </w:r>
      <w:proofErr w:type="spellStart"/>
      <w:r w:rsidRPr="003D3936">
        <w:rPr>
          <w:rFonts w:eastAsia="Arial"/>
          <w:spacing w:val="-1"/>
        </w:rPr>
        <w:t>i</w:t>
      </w:r>
      <w:proofErr w:type="spellEnd"/>
      <w:r w:rsidRPr="003D3936">
        <w:rPr>
          <w:rFonts w:eastAsia="Arial"/>
          <w:spacing w:val="-1"/>
        </w:rPr>
        <w:t>)</w:t>
      </w:r>
      <w:r w:rsidRPr="003D3936">
        <w:rPr>
          <w:rFonts w:eastAsia="Arial"/>
          <w:spacing w:val="7"/>
        </w:rPr>
        <w:t xml:space="preserve"> </w:t>
      </w:r>
      <w:r w:rsidRPr="003D3936">
        <w:rPr>
          <w:rFonts w:eastAsia="Arial"/>
          <w:spacing w:val="-1"/>
        </w:rPr>
        <w:t>a</w:t>
      </w:r>
      <w:r w:rsidRPr="003D3936">
        <w:rPr>
          <w:rFonts w:eastAsia="Arial"/>
        </w:rPr>
        <w:t>s</w:t>
      </w:r>
      <w:r w:rsidRPr="003D3936">
        <w:rPr>
          <w:rFonts w:eastAsia="Arial"/>
          <w:spacing w:val="7"/>
        </w:rPr>
        <w:t xml:space="preserve"> </w:t>
      </w:r>
      <w:r w:rsidRPr="003D3936">
        <w:rPr>
          <w:rFonts w:eastAsia="Arial"/>
        </w:rPr>
        <w:t>a</w:t>
      </w:r>
      <w:r w:rsidRPr="003D3936">
        <w:rPr>
          <w:rFonts w:eastAsia="Arial"/>
          <w:spacing w:val="5"/>
        </w:rPr>
        <w:t xml:space="preserve"> </w:t>
      </w:r>
      <w:r w:rsidRPr="003D3936">
        <w:rPr>
          <w:rFonts w:eastAsia="Arial"/>
        </w:rPr>
        <w:t>r</w:t>
      </w:r>
      <w:r w:rsidRPr="003D3936">
        <w:rPr>
          <w:rFonts w:eastAsia="Arial"/>
          <w:spacing w:val="-1"/>
        </w:rPr>
        <w:t>e</w:t>
      </w:r>
      <w:r w:rsidRPr="003D3936">
        <w:rPr>
          <w:rFonts w:eastAsia="Arial"/>
        </w:rPr>
        <w:t>s</w:t>
      </w:r>
      <w:r w:rsidRPr="003D3936">
        <w:rPr>
          <w:rFonts w:eastAsia="Arial"/>
          <w:spacing w:val="-1"/>
        </w:rPr>
        <w:t>ul</w:t>
      </w:r>
      <w:r w:rsidRPr="003D3936">
        <w:rPr>
          <w:rFonts w:eastAsia="Arial"/>
        </w:rPr>
        <w:t>t</w:t>
      </w:r>
      <w:r w:rsidRPr="003D3936">
        <w:rPr>
          <w:rFonts w:eastAsia="Arial"/>
          <w:spacing w:val="15"/>
        </w:rPr>
        <w:t xml:space="preserve"> </w:t>
      </w:r>
      <w:r w:rsidRPr="003D3936">
        <w:rPr>
          <w:rFonts w:eastAsia="Arial"/>
        </w:rPr>
        <w:t>of</w:t>
      </w:r>
      <w:r w:rsidRPr="003D3936">
        <w:rPr>
          <w:rFonts w:eastAsia="Arial"/>
          <w:spacing w:val="5"/>
        </w:rPr>
        <w:t xml:space="preserve"> land </w:t>
      </w:r>
      <w:r w:rsidRPr="003D3936">
        <w:rPr>
          <w:rFonts w:eastAsia="Arial"/>
        </w:rPr>
        <w:t>s</w:t>
      </w:r>
      <w:r w:rsidRPr="003D3936">
        <w:rPr>
          <w:rFonts w:eastAsia="Arial"/>
          <w:spacing w:val="-1"/>
        </w:rPr>
        <w:t>u</w:t>
      </w:r>
      <w:r w:rsidRPr="003D3936">
        <w:rPr>
          <w:rFonts w:eastAsia="Arial"/>
        </w:rPr>
        <w:t>r</w:t>
      </w:r>
      <w:r w:rsidRPr="003D3936">
        <w:rPr>
          <w:rFonts w:eastAsia="Arial"/>
          <w:spacing w:val="-1"/>
        </w:rPr>
        <w:t>v</w:t>
      </w:r>
      <w:r w:rsidRPr="003D3936">
        <w:rPr>
          <w:rFonts w:eastAsia="Arial"/>
        </w:rPr>
        <w:t>e</w:t>
      </w:r>
      <w:r w:rsidRPr="003D3936">
        <w:rPr>
          <w:rFonts w:eastAsia="Arial"/>
          <w:spacing w:val="-1"/>
        </w:rPr>
        <w:t>y</w:t>
      </w:r>
      <w:r w:rsidRPr="003D3936">
        <w:rPr>
          <w:rFonts w:eastAsia="Arial"/>
        </w:rPr>
        <w:t>s (via the Settlement Officer);</w:t>
      </w:r>
      <w:r w:rsidRPr="003D3936">
        <w:rPr>
          <w:rFonts w:eastAsia="Arial"/>
          <w:spacing w:val="8"/>
        </w:rPr>
        <w:t xml:space="preserve"> </w:t>
      </w:r>
      <w:r w:rsidRPr="003D3936">
        <w:rPr>
          <w:rFonts w:eastAsia="Arial"/>
        </w:rPr>
        <w:t>(ii)</w:t>
      </w:r>
      <w:r w:rsidRPr="003D3936">
        <w:rPr>
          <w:rFonts w:eastAsia="Arial"/>
          <w:spacing w:val="5"/>
        </w:rPr>
        <w:t xml:space="preserve"> (</w:t>
      </w:r>
      <w:r w:rsidRPr="003D3936">
        <w:rPr>
          <w:rFonts w:eastAsia="Arial"/>
          <w:spacing w:val="-1"/>
        </w:rPr>
        <w:t>v</w:t>
      </w:r>
      <w:r w:rsidRPr="003D3936">
        <w:rPr>
          <w:rFonts w:eastAsia="Arial"/>
        </w:rPr>
        <w:t>ia</w:t>
      </w:r>
      <w:r w:rsidRPr="003D3936">
        <w:rPr>
          <w:rFonts w:eastAsia="Arial"/>
          <w:spacing w:val="8"/>
        </w:rPr>
        <w:t xml:space="preserve"> </w:t>
      </w:r>
      <w:r w:rsidRPr="003D3936">
        <w:rPr>
          <w:rFonts w:eastAsia="Arial"/>
          <w:spacing w:val="-1"/>
        </w:rPr>
        <w:t>th</w:t>
      </w:r>
      <w:r w:rsidRPr="003D3936">
        <w:rPr>
          <w:rFonts w:eastAsia="Arial"/>
        </w:rPr>
        <w:t>e</w:t>
      </w:r>
      <w:r w:rsidRPr="003D3936">
        <w:rPr>
          <w:rFonts w:eastAsia="Arial"/>
          <w:spacing w:val="9"/>
        </w:rPr>
        <w:t xml:space="preserve"> </w:t>
      </w:r>
      <w:r w:rsidRPr="003D3936">
        <w:rPr>
          <w:rFonts w:eastAsia="Arial"/>
          <w:w w:val="103"/>
        </w:rPr>
        <w:t>su</w:t>
      </w:r>
      <w:r w:rsidRPr="003D3936">
        <w:rPr>
          <w:rFonts w:eastAsia="Arial"/>
          <w:spacing w:val="-1"/>
          <w:w w:val="103"/>
        </w:rPr>
        <w:t>b</w:t>
      </w:r>
      <w:r w:rsidRPr="003D3936">
        <w:rPr>
          <w:rFonts w:eastAsia="Arial"/>
          <w:w w:val="103"/>
        </w:rPr>
        <w:t xml:space="preserve">- </w:t>
      </w:r>
      <w:r w:rsidRPr="003D3936">
        <w:rPr>
          <w:rFonts w:eastAsia="Arial"/>
          <w:spacing w:val="1"/>
        </w:rPr>
        <w:t>r</w:t>
      </w:r>
      <w:r w:rsidRPr="003D3936">
        <w:rPr>
          <w:rFonts w:eastAsia="Arial"/>
          <w:spacing w:val="-1"/>
        </w:rPr>
        <w:t>eg</w:t>
      </w:r>
      <w:r w:rsidRPr="003D3936">
        <w:rPr>
          <w:rFonts w:eastAsia="Arial"/>
        </w:rPr>
        <w:t>i</w:t>
      </w:r>
      <w:r w:rsidRPr="003D3936">
        <w:rPr>
          <w:rFonts w:eastAsia="Arial"/>
          <w:spacing w:val="1"/>
        </w:rPr>
        <w:t>s</w:t>
      </w:r>
      <w:r w:rsidRPr="003D3936">
        <w:rPr>
          <w:rFonts w:eastAsia="Arial"/>
          <w:spacing w:val="-1"/>
        </w:rPr>
        <w:t>t</w:t>
      </w:r>
      <w:r w:rsidRPr="003D3936">
        <w:rPr>
          <w:rFonts w:eastAsia="Arial"/>
          <w:spacing w:val="1"/>
        </w:rPr>
        <w:t>r</w:t>
      </w:r>
      <w:r w:rsidRPr="003D3936">
        <w:rPr>
          <w:rFonts w:eastAsia="Arial"/>
          <w:spacing w:val="-1"/>
        </w:rPr>
        <w:t>a</w:t>
      </w:r>
      <w:r w:rsidRPr="003D3936">
        <w:rPr>
          <w:rFonts w:eastAsia="Arial"/>
        </w:rPr>
        <w:t>r’s office) registering of deeds of sale;</w:t>
      </w:r>
      <w:r w:rsidRPr="003D3936">
        <w:rPr>
          <w:rFonts w:eastAsia="Arial"/>
          <w:spacing w:val="23"/>
        </w:rPr>
        <w:t xml:space="preserve"> </w:t>
      </w:r>
      <w:r w:rsidRPr="003D3936">
        <w:rPr>
          <w:rFonts w:eastAsia="Arial"/>
          <w:spacing w:val="-1"/>
        </w:rPr>
        <w:t>an</w:t>
      </w:r>
      <w:r w:rsidRPr="003D3936">
        <w:rPr>
          <w:rFonts w:eastAsia="Arial"/>
        </w:rPr>
        <w:t>d</w:t>
      </w:r>
      <w:r w:rsidRPr="003D3936">
        <w:rPr>
          <w:rFonts w:eastAsia="Arial"/>
          <w:spacing w:val="10"/>
        </w:rPr>
        <w:t xml:space="preserve"> </w:t>
      </w:r>
      <w:r w:rsidRPr="003D3936">
        <w:rPr>
          <w:rFonts w:eastAsia="Arial"/>
        </w:rPr>
        <w:t>(iii)</w:t>
      </w:r>
      <w:r w:rsidRPr="003D3936">
        <w:rPr>
          <w:rFonts w:eastAsia="Arial"/>
          <w:spacing w:val="6"/>
        </w:rPr>
        <w:t xml:space="preserve"> </w:t>
      </w:r>
      <w:r w:rsidRPr="003D3936">
        <w:rPr>
          <w:rFonts w:eastAsia="Arial"/>
        </w:rPr>
        <w:t>through</w:t>
      </w:r>
      <w:r w:rsidRPr="003D3936">
        <w:rPr>
          <w:rFonts w:eastAsia="Arial"/>
          <w:spacing w:val="18"/>
        </w:rPr>
        <w:t xml:space="preserve"> </w:t>
      </w:r>
      <w:r w:rsidRPr="003D3936">
        <w:rPr>
          <w:rFonts w:eastAsia="Arial"/>
          <w:spacing w:val="2"/>
        </w:rPr>
        <w:t>i</w:t>
      </w:r>
      <w:r w:rsidRPr="003D3936">
        <w:rPr>
          <w:rFonts w:eastAsia="Arial"/>
          <w:spacing w:val="-1"/>
        </w:rPr>
        <w:t>n</w:t>
      </w:r>
      <w:r w:rsidRPr="003D3936">
        <w:rPr>
          <w:rFonts w:eastAsia="Arial"/>
        </w:rPr>
        <w:t>h</w:t>
      </w:r>
      <w:r w:rsidRPr="003D3936">
        <w:rPr>
          <w:rFonts w:eastAsia="Arial"/>
          <w:spacing w:val="-1"/>
        </w:rPr>
        <w:t>e</w:t>
      </w:r>
      <w:r w:rsidRPr="003D3936">
        <w:rPr>
          <w:rFonts w:eastAsia="Arial"/>
        </w:rPr>
        <w:t>r</w:t>
      </w:r>
      <w:r w:rsidRPr="003D3936">
        <w:rPr>
          <w:rFonts w:eastAsia="Arial"/>
          <w:spacing w:val="-1"/>
        </w:rPr>
        <w:t>i</w:t>
      </w:r>
      <w:r w:rsidRPr="003D3936">
        <w:rPr>
          <w:rFonts w:eastAsia="Arial"/>
          <w:spacing w:val="1"/>
        </w:rPr>
        <w:t>t</w:t>
      </w:r>
      <w:r w:rsidRPr="003D3936">
        <w:rPr>
          <w:rFonts w:eastAsia="Arial"/>
        </w:rPr>
        <w:t>a</w:t>
      </w:r>
      <w:r w:rsidRPr="003D3936">
        <w:rPr>
          <w:rFonts w:eastAsia="Arial"/>
          <w:spacing w:val="-2"/>
        </w:rPr>
        <w:t>n</w:t>
      </w:r>
      <w:r w:rsidRPr="003D3936">
        <w:rPr>
          <w:rFonts w:eastAsia="Arial"/>
          <w:spacing w:val="1"/>
        </w:rPr>
        <w:t>c</w:t>
      </w:r>
      <w:r w:rsidRPr="003D3936">
        <w:rPr>
          <w:rFonts w:eastAsia="Arial"/>
          <w:spacing w:val="-1"/>
        </w:rPr>
        <w:t>e (through AC land office)</w:t>
      </w:r>
      <w:r w:rsidRPr="003D3936">
        <w:rPr>
          <w:rFonts w:eastAsia="Arial"/>
        </w:rPr>
        <w:t xml:space="preserve">. Each of these units has their own time frame of completing their individual tasks, which can be a cause for inadequate transparency when dealing with the citizen. </w:t>
      </w:r>
      <w:r w:rsidRPr="003D3936">
        <w:t>Efficiency and transparency of land market will depend on how well coordinated are the functioning among each of the three institutions in dealing with the processes involved in land transfer and those in updating the land titles and land survey, which are all linked to each other; and the outcomes are dependent on efficiency of all. The</w:t>
      </w:r>
      <w:r w:rsidRPr="003D3936">
        <w:rPr>
          <w:spacing w:val="49"/>
        </w:rPr>
        <w:t xml:space="preserve"> </w:t>
      </w:r>
      <w:r w:rsidRPr="003D3936">
        <w:t>di</w:t>
      </w:r>
      <w:r w:rsidRPr="003D3936">
        <w:rPr>
          <w:spacing w:val="-2"/>
        </w:rPr>
        <w:t>v</w:t>
      </w:r>
      <w:r w:rsidRPr="003D3936">
        <w:t>ers</w:t>
      </w:r>
      <w:r w:rsidRPr="003D3936">
        <w:rPr>
          <w:spacing w:val="-1"/>
        </w:rPr>
        <w:t>i</w:t>
      </w:r>
      <w:r w:rsidRPr="003D3936">
        <w:t>ty of</w:t>
      </w:r>
      <w:r w:rsidRPr="003D3936">
        <w:rPr>
          <w:spacing w:val="48"/>
        </w:rPr>
        <w:t xml:space="preserve"> </w:t>
      </w:r>
      <w:r w:rsidRPr="003D3936">
        <w:t>ways</w:t>
      </w:r>
      <w:r w:rsidRPr="003D3936">
        <w:rPr>
          <w:spacing w:val="48"/>
        </w:rPr>
        <w:t xml:space="preserve"> </w:t>
      </w:r>
      <w:r w:rsidRPr="003D3936">
        <w:t>in</w:t>
      </w:r>
      <w:r w:rsidRPr="003D3936">
        <w:rPr>
          <w:spacing w:val="48"/>
        </w:rPr>
        <w:t xml:space="preserve"> </w:t>
      </w:r>
      <w:r w:rsidRPr="003D3936">
        <w:t>whi</w:t>
      </w:r>
      <w:r w:rsidRPr="003D3936">
        <w:rPr>
          <w:spacing w:val="-1"/>
        </w:rPr>
        <w:t>c</w:t>
      </w:r>
      <w:r w:rsidRPr="003D3936">
        <w:t>h</w:t>
      </w:r>
      <w:r w:rsidRPr="003D3936">
        <w:rPr>
          <w:spacing w:val="50"/>
        </w:rPr>
        <w:t xml:space="preserve"> </w:t>
      </w:r>
      <w:r w:rsidRPr="003D3936">
        <w:t>l</w:t>
      </w:r>
      <w:r w:rsidRPr="003D3936">
        <w:rPr>
          <w:spacing w:val="-1"/>
        </w:rPr>
        <w:t>a</w:t>
      </w:r>
      <w:r w:rsidRPr="003D3936">
        <w:rPr>
          <w:spacing w:val="2"/>
        </w:rPr>
        <w:t>n</w:t>
      </w:r>
      <w:r w:rsidRPr="003D3936">
        <w:t>d</w:t>
      </w:r>
      <w:r w:rsidRPr="003D3936">
        <w:rPr>
          <w:spacing w:val="50"/>
        </w:rPr>
        <w:t xml:space="preserve"> </w:t>
      </w:r>
      <w:r w:rsidRPr="003D3936">
        <w:rPr>
          <w:spacing w:val="-1"/>
        </w:rPr>
        <w:t>r</w:t>
      </w:r>
      <w:r w:rsidRPr="003D3936">
        <w:t>e</w:t>
      </w:r>
      <w:r w:rsidRPr="003D3936">
        <w:rPr>
          <w:spacing w:val="-1"/>
        </w:rPr>
        <w:t>c</w:t>
      </w:r>
      <w:r w:rsidRPr="003D3936">
        <w:t>o</w:t>
      </w:r>
      <w:r w:rsidRPr="003D3936">
        <w:rPr>
          <w:spacing w:val="-1"/>
        </w:rPr>
        <w:t>r</w:t>
      </w:r>
      <w:r w:rsidRPr="003D3936">
        <w:t>ds may</w:t>
      </w:r>
      <w:r w:rsidRPr="003D3936">
        <w:rPr>
          <w:spacing w:val="49"/>
        </w:rPr>
        <w:t xml:space="preserve"> </w:t>
      </w:r>
      <w:r w:rsidRPr="003D3936">
        <w:t>be</w:t>
      </w:r>
      <w:r w:rsidRPr="003D3936">
        <w:rPr>
          <w:spacing w:val="47"/>
        </w:rPr>
        <w:t xml:space="preserve"> </w:t>
      </w:r>
      <w:r w:rsidRPr="003D3936">
        <w:t>u</w:t>
      </w:r>
      <w:r w:rsidRPr="003D3936">
        <w:rPr>
          <w:spacing w:val="2"/>
        </w:rPr>
        <w:t>p</w:t>
      </w:r>
      <w:r w:rsidRPr="003D3936">
        <w:t>d</w:t>
      </w:r>
      <w:r w:rsidRPr="003D3936">
        <w:rPr>
          <w:spacing w:val="-1"/>
        </w:rPr>
        <w:t>a</w:t>
      </w:r>
      <w:r w:rsidRPr="003D3936">
        <w:t>ted, and</w:t>
      </w:r>
      <w:r w:rsidRPr="003D3936">
        <w:rPr>
          <w:spacing w:val="48"/>
        </w:rPr>
        <w:t xml:space="preserve"> </w:t>
      </w:r>
      <w:r w:rsidRPr="003D3936">
        <w:rPr>
          <w:spacing w:val="-1"/>
        </w:rPr>
        <w:t>t</w:t>
      </w:r>
      <w:r w:rsidRPr="003D3936">
        <w:t>he</w:t>
      </w:r>
      <w:r w:rsidRPr="003D3936">
        <w:rPr>
          <w:spacing w:val="49"/>
        </w:rPr>
        <w:t xml:space="preserve"> </w:t>
      </w:r>
      <w:r w:rsidRPr="003D3936">
        <w:rPr>
          <w:spacing w:val="-1"/>
          <w:w w:val="101"/>
        </w:rPr>
        <w:t>p</w:t>
      </w:r>
      <w:r w:rsidRPr="003D3936">
        <w:rPr>
          <w:w w:val="101"/>
        </w:rPr>
        <w:t>rob</w:t>
      </w:r>
      <w:r w:rsidRPr="003D3936">
        <w:rPr>
          <w:spacing w:val="-1"/>
          <w:w w:val="101"/>
        </w:rPr>
        <w:t>l</w:t>
      </w:r>
      <w:r w:rsidRPr="003D3936">
        <w:rPr>
          <w:w w:val="101"/>
        </w:rPr>
        <w:t xml:space="preserve">ems </w:t>
      </w:r>
      <w:r w:rsidRPr="003D3936">
        <w:t>a</w:t>
      </w:r>
      <w:r w:rsidRPr="003D3936">
        <w:rPr>
          <w:spacing w:val="-1"/>
        </w:rPr>
        <w:t>ss</w:t>
      </w:r>
      <w:r w:rsidRPr="003D3936">
        <w:rPr>
          <w:spacing w:val="2"/>
        </w:rPr>
        <w:t>o</w:t>
      </w:r>
      <w:r w:rsidRPr="003D3936">
        <w:t>c</w:t>
      </w:r>
      <w:r w:rsidRPr="003D3936">
        <w:rPr>
          <w:spacing w:val="-1"/>
        </w:rPr>
        <w:t>i</w:t>
      </w:r>
      <w:r w:rsidRPr="003D3936">
        <w:t>at</w:t>
      </w:r>
      <w:r w:rsidRPr="003D3936">
        <w:rPr>
          <w:spacing w:val="-1"/>
        </w:rPr>
        <w:t>e</w:t>
      </w:r>
      <w:r w:rsidRPr="003D3936">
        <w:t>d</w:t>
      </w:r>
      <w:r w:rsidRPr="003D3936">
        <w:rPr>
          <w:spacing w:val="7"/>
        </w:rPr>
        <w:t xml:space="preserve"> </w:t>
      </w:r>
      <w:r w:rsidRPr="003D3936">
        <w:t>w</w:t>
      </w:r>
      <w:r w:rsidRPr="003D3936">
        <w:rPr>
          <w:spacing w:val="-1"/>
        </w:rPr>
        <w:t>i</w:t>
      </w:r>
      <w:r w:rsidRPr="003D3936">
        <w:t>th</w:t>
      </w:r>
      <w:r w:rsidRPr="003D3936">
        <w:rPr>
          <w:spacing w:val="2"/>
        </w:rPr>
        <w:t xml:space="preserve"> </w:t>
      </w:r>
      <w:r w:rsidRPr="003D3936">
        <w:t>ea</w:t>
      </w:r>
      <w:r w:rsidRPr="003D3936">
        <w:rPr>
          <w:spacing w:val="-1"/>
        </w:rPr>
        <w:t>c</w:t>
      </w:r>
      <w:r w:rsidRPr="003D3936">
        <w:t>h</w:t>
      </w:r>
      <w:r w:rsidRPr="003D3936">
        <w:rPr>
          <w:spacing w:val="3"/>
        </w:rPr>
        <w:t xml:space="preserve"> </w:t>
      </w:r>
      <w:r w:rsidRPr="003D3936">
        <w:rPr>
          <w:spacing w:val="2"/>
        </w:rPr>
        <w:t>g</w:t>
      </w:r>
      <w:r w:rsidRPr="003D3936">
        <w:t>i</w:t>
      </w:r>
      <w:r w:rsidRPr="003D3936">
        <w:rPr>
          <w:spacing w:val="-2"/>
        </w:rPr>
        <w:t>v</w:t>
      </w:r>
      <w:r w:rsidRPr="003D3936">
        <w:t>e</w:t>
      </w:r>
      <w:r w:rsidRPr="003D3936">
        <w:rPr>
          <w:spacing w:val="2"/>
        </w:rPr>
        <w:t xml:space="preserve"> r</w:t>
      </w:r>
      <w:r w:rsidRPr="003D3936">
        <w:t>i</w:t>
      </w:r>
      <w:r w:rsidRPr="003D3936">
        <w:rPr>
          <w:spacing w:val="-1"/>
        </w:rPr>
        <w:t>s</w:t>
      </w:r>
      <w:r w:rsidRPr="003D3936">
        <w:t>e</w:t>
      </w:r>
      <w:r w:rsidRPr="003D3936">
        <w:rPr>
          <w:spacing w:val="1"/>
        </w:rPr>
        <w:t xml:space="preserve"> </w:t>
      </w:r>
      <w:r w:rsidRPr="003D3936">
        <w:t xml:space="preserve">to </w:t>
      </w:r>
      <w:r w:rsidRPr="003D3936">
        <w:rPr>
          <w:spacing w:val="2"/>
        </w:rPr>
        <w:t>n</w:t>
      </w:r>
      <w:r w:rsidRPr="003D3936">
        <w:rPr>
          <w:spacing w:val="-1"/>
        </w:rPr>
        <w:t>u</w:t>
      </w:r>
      <w:r w:rsidRPr="003D3936">
        <w:t>mer</w:t>
      </w:r>
      <w:r w:rsidRPr="003D3936">
        <w:rPr>
          <w:spacing w:val="-1"/>
        </w:rPr>
        <w:t>o</w:t>
      </w:r>
      <w:r w:rsidRPr="003D3936">
        <w:t>us</w:t>
      </w:r>
      <w:r w:rsidRPr="003D3936">
        <w:rPr>
          <w:spacing w:val="7"/>
        </w:rPr>
        <w:t xml:space="preserve"> </w:t>
      </w:r>
      <w:r w:rsidRPr="003D3936">
        <w:t>disput</w:t>
      </w:r>
      <w:r w:rsidRPr="003D3936">
        <w:rPr>
          <w:spacing w:val="-1"/>
        </w:rPr>
        <w:t>e</w:t>
      </w:r>
      <w:r w:rsidRPr="003D3936">
        <w:t>s and also proliferation of land related civil and criminal cases,</w:t>
      </w:r>
      <w:r w:rsidRPr="003D3936">
        <w:rPr>
          <w:spacing w:val="5"/>
        </w:rPr>
        <w:t xml:space="preserve"> </w:t>
      </w:r>
      <w:r w:rsidRPr="003D3936">
        <w:rPr>
          <w:spacing w:val="-1"/>
        </w:rPr>
        <w:t>and thus raises the cost of doing business.</w:t>
      </w:r>
    </w:p>
    <w:p w14:paraId="672063D3" w14:textId="77777777" w:rsidR="00EC00A0" w:rsidRPr="00A401F5" w:rsidRDefault="00EC00A0" w:rsidP="00EC00A0">
      <w:pPr>
        <w:spacing w:line="276" w:lineRule="auto"/>
        <w:jc w:val="both"/>
      </w:pPr>
      <w:r w:rsidRPr="00A401F5">
        <w:t>The regulatory system pertaining to land administration is, therefore, complex that calls for simplification and streamlining for land markets to operate efficiently and transparently.  While there needs to be full review followed by reforms of the institutional structures, it will be important to use all aspects of digital technology to ensure that record of rights is established in digital form.  This can then be used immediately for registration with waiting for long time prevalent at the moment.  The Registration process should also be linked digitally so that interaction with officials declines.  This has been done in other South Asian countries, including and India and Pakistan, which has similar land administration system and so should be taken up urgently.</w:t>
      </w:r>
    </w:p>
    <w:p w14:paraId="65291C65" w14:textId="77777777" w:rsidR="00E369BA" w:rsidRPr="00FB44CB" w:rsidRDefault="00E369BA" w:rsidP="00E369BA">
      <w:pPr>
        <w:spacing w:line="276" w:lineRule="auto"/>
        <w:ind w:right="50"/>
        <w:jc w:val="both"/>
        <w:rPr>
          <w:rFonts w:eastAsia="Arial"/>
        </w:rPr>
      </w:pPr>
    </w:p>
    <w:p w14:paraId="4A05E4C8" w14:textId="12AF352B" w:rsidR="00E369BA" w:rsidRPr="00A401F5" w:rsidRDefault="00C06219" w:rsidP="00A401F5">
      <w:pPr>
        <w:spacing w:line="276" w:lineRule="auto"/>
        <w:ind w:right="50"/>
        <w:jc w:val="both"/>
        <w:rPr>
          <w:rFonts w:eastAsia="Arial"/>
          <w:w w:val="101"/>
        </w:rPr>
      </w:pPr>
      <w:r w:rsidRPr="00A401F5">
        <w:rPr>
          <w:rFonts w:eastAsia="Arial"/>
        </w:rPr>
        <w:t>These alone will not be enough as t</w:t>
      </w:r>
      <w:r w:rsidR="00E369BA" w:rsidRPr="00A401F5">
        <w:rPr>
          <w:rFonts w:eastAsia="Arial"/>
        </w:rPr>
        <w:t xml:space="preserve">he </w:t>
      </w:r>
      <w:r w:rsidRPr="00A401F5">
        <w:rPr>
          <w:rFonts w:eastAsia="Arial"/>
        </w:rPr>
        <w:t xml:space="preserve">cadastral </w:t>
      </w:r>
      <w:r w:rsidR="00E369BA" w:rsidRPr="00A401F5">
        <w:rPr>
          <w:rFonts w:eastAsia="Arial"/>
        </w:rPr>
        <w:t>survey process and the appeal proc</w:t>
      </w:r>
      <w:r w:rsidRPr="00A401F5">
        <w:rPr>
          <w:rFonts w:eastAsia="Arial"/>
        </w:rPr>
        <w:t xml:space="preserve">ess are themselves also lengthy as stated earlier. Digitization of survey should be come </w:t>
      </w:r>
      <w:proofErr w:type="spellStart"/>
      <w:r w:rsidRPr="00A401F5">
        <w:rPr>
          <w:rFonts w:eastAsia="Arial"/>
        </w:rPr>
        <w:t>simplar</w:t>
      </w:r>
      <w:proofErr w:type="spellEnd"/>
      <w:r w:rsidRPr="00A401F5">
        <w:rPr>
          <w:rFonts w:eastAsia="Arial"/>
        </w:rPr>
        <w:t xml:space="preserve"> and less time consuming as satellite based mapping technology is available. </w:t>
      </w:r>
      <w:r w:rsidR="00E369BA" w:rsidRPr="00A401F5">
        <w:rPr>
          <w:rFonts w:eastAsia="Arial"/>
        </w:rPr>
        <w:t>Similarly the scope for reducing Appeal time an</w:t>
      </w:r>
      <w:r w:rsidRPr="00A401F5">
        <w:rPr>
          <w:rFonts w:eastAsia="Arial"/>
        </w:rPr>
        <w:t>d steps needs to be looked into and reduced.</w:t>
      </w:r>
      <w:r w:rsidR="00E369BA" w:rsidRPr="00A401F5">
        <w:rPr>
          <w:rFonts w:eastAsia="Arial"/>
        </w:rPr>
        <w:t xml:space="preserve"> There is process for review and rectification but the appeal process could take a long time and also costly.  </w:t>
      </w:r>
      <w:r w:rsidR="00E369BA" w:rsidRPr="00A401F5">
        <w:rPr>
          <w:rFonts w:eastAsia="Arial"/>
          <w:spacing w:val="-1"/>
        </w:rPr>
        <w:t>W</w:t>
      </w:r>
      <w:r w:rsidR="00E369BA" w:rsidRPr="00A401F5">
        <w:rPr>
          <w:rFonts w:eastAsia="Arial"/>
        </w:rPr>
        <w:t>here</w:t>
      </w:r>
      <w:r w:rsidR="00E369BA" w:rsidRPr="00A401F5">
        <w:rPr>
          <w:rFonts w:eastAsia="Arial"/>
          <w:spacing w:val="25"/>
        </w:rPr>
        <w:t xml:space="preserve"> </w:t>
      </w:r>
      <w:r w:rsidR="00E369BA" w:rsidRPr="00A401F5">
        <w:rPr>
          <w:rFonts w:eastAsia="Arial"/>
        </w:rPr>
        <w:t>a</w:t>
      </w:r>
      <w:r w:rsidR="00E369BA" w:rsidRPr="00A401F5">
        <w:rPr>
          <w:rFonts w:eastAsia="Arial"/>
          <w:spacing w:val="21"/>
        </w:rPr>
        <w:t xml:space="preserve"> </w:t>
      </w:r>
      <w:r w:rsidR="00E369BA" w:rsidRPr="00A401F5">
        <w:rPr>
          <w:rFonts w:eastAsia="Arial"/>
        </w:rPr>
        <w:t>de</w:t>
      </w:r>
      <w:r w:rsidR="00E369BA" w:rsidRPr="00A401F5">
        <w:rPr>
          <w:rFonts w:eastAsia="Arial"/>
          <w:spacing w:val="-1"/>
        </w:rPr>
        <w:t>c</w:t>
      </w:r>
      <w:r w:rsidR="00E369BA" w:rsidRPr="00A401F5">
        <w:rPr>
          <w:rFonts w:eastAsia="Arial"/>
        </w:rPr>
        <w:t>isi</w:t>
      </w:r>
      <w:r w:rsidR="00E369BA" w:rsidRPr="00A401F5">
        <w:rPr>
          <w:rFonts w:eastAsia="Arial"/>
          <w:spacing w:val="-1"/>
        </w:rPr>
        <w:t>o</w:t>
      </w:r>
      <w:r w:rsidR="00E369BA" w:rsidRPr="00A401F5">
        <w:rPr>
          <w:rFonts w:eastAsia="Arial"/>
        </w:rPr>
        <w:t>n</w:t>
      </w:r>
      <w:r w:rsidR="00E369BA" w:rsidRPr="00A401F5">
        <w:rPr>
          <w:rFonts w:eastAsia="Arial"/>
          <w:spacing w:val="27"/>
        </w:rPr>
        <w:t xml:space="preserve"> </w:t>
      </w:r>
      <w:r w:rsidR="00E369BA" w:rsidRPr="00A401F5">
        <w:rPr>
          <w:rFonts w:eastAsia="Arial"/>
        </w:rPr>
        <w:t>re</w:t>
      </w:r>
      <w:r w:rsidR="00E369BA" w:rsidRPr="00A401F5">
        <w:rPr>
          <w:rFonts w:eastAsia="Arial"/>
          <w:spacing w:val="-1"/>
        </w:rPr>
        <w:t>l</w:t>
      </w:r>
      <w:r w:rsidR="00E369BA" w:rsidRPr="00A401F5">
        <w:rPr>
          <w:rFonts w:eastAsia="Arial"/>
        </w:rPr>
        <w:t>ating</w:t>
      </w:r>
      <w:r w:rsidR="00E369BA" w:rsidRPr="00A401F5">
        <w:rPr>
          <w:rFonts w:eastAsia="Arial"/>
          <w:spacing w:val="26"/>
        </w:rPr>
        <w:t xml:space="preserve"> </w:t>
      </w:r>
      <w:r w:rsidR="00E369BA" w:rsidRPr="00A401F5">
        <w:rPr>
          <w:rFonts w:eastAsia="Arial"/>
          <w:spacing w:val="-1"/>
        </w:rPr>
        <w:t>t</w:t>
      </w:r>
      <w:r w:rsidR="00E369BA" w:rsidRPr="00A401F5">
        <w:rPr>
          <w:rFonts w:eastAsia="Arial"/>
        </w:rPr>
        <w:t>o</w:t>
      </w:r>
      <w:r w:rsidR="00E369BA" w:rsidRPr="00A401F5">
        <w:rPr>
          <w:rFonts w:eastAsia="Arial"/>
          <w:spacing w:val="22"/>
        </w:rPr>
        <w:t xml:space="preserve"> </w:t>
      </w:r>
      <w:r w:rsidR="00E369BA" w:rsidRPr="00A401F5">
        <w:rPr>
          <w:rFonts w:eastAsia="Arial"/>
        </w:rPr>
        <w:t>the</w:t>
      </w:r>
      <w:r w:rsidR="00E369BA" w:rsidRPr="00A401F5">
        <w:rPr>
          <w:rFonts w:eastAsia="Arial"/>
          <w:spacing w:val="22"/>
        </w:rPr>
        <w:t xml:space="preserve"> </w:t>
      </w:r>
      <w:r w:rsidR="00E369BA" w:rsidRPr="00A401F5">
        <w:rPr>
          <w:rFonts w:eastAsia="Arial"/>
        </w:rPr>
        <w:t>re</w:t>
      </w:r>
      <w:r w:rsidR="00E369BA" w:rsidRPr="00A401F5">
        <w:rPr>
          <w:rFonts w:eastAsia="Arial"/>
          <w:spacing w:val="-1"/>
        </w:rPr>
        <w:t>c</w:t>
      </w:r>
      <w:r w:rsidR="00E369BA" w:rsidRPr="00A401F5">
        <w:rPr>
          <w:rFonts w:eastAsia="Arial"/>
        </w:rPr>
        <w:t>o</w:t>
      </w:r>
      <w:r w:rsidR="00E369BA" w:rsidRPr="00A401F5">
        <w:rPr>
          <w:rFonts w:eastAsia="Arial"/>
          <w:spacing w:val="-1"/>
        </w:rPr>
        <w:t>r</w:t>
      </w:r>
      <w:r w:rsidR="00E369BA" w:rsidRPr="00A401F5">
        <w:rPr>
          <w:rFonts w:eastAsia="Arial"/>
        </w:rPr>
        <w:t>d</w:t>
      </w:r>
      <w:r w:rsidR="00E369BA" w:rsidRPr="00A401F5">
        <w:rPr>
          <w:rFonts w:eastAsia="Arial"/>
          <w:spacing w:val="-1"/>
        </w:rPr>
        <w:t>i</w:t>
      </w:r>
      <w:r w:rsidR="00E369BA" w:rsidRPr="00A401F5">
        <w:rPr>
          <w:rFonts w:eastAsia="Arial"/>
        </w:rPr>
        <w:t>ng</w:t>
      </w:r>
      <w:r w:rsidR="00E369BA" w:rsidRPr="00A401F5">
        <w:rPr>
          <w:rFonts w:eastAsia="Arial"/>
          <w:spacing w:val="28"/>
        </w:rPr>
        <w:t xml:space="preserve"> </w:t>
      </w:r>
      <w:r w:rsidR="00E369BA" w:rsidRPr="00A401F5">
        <w:rPr>
          <w:rFonts w:eastAsia="Arial"/>
          <w:spacing w:val="-1"/>
        </w:rPr>
        <w:t>o</w:t>
      </w:r>
      <w:r w:rsidR="00E369BA" w:rsidRPr="00A401F5">
        <w:rPr>
          <w:rFonts w:eastAsia="Arial"/>
        </w:rPr>
        <w:t>f</w:t>
      </w:r>
      <w:r w:rsidR="00E369BA" w:rsidRPr="00A401F5">
        <w:rPr>
          <w:rFonts w:eastAsia="Arial"/>
          <w:spacing w:val="23"/>
        </w:rPr>
        <w:t xml:space="preserve"> </w:t>
      </w:r>
      <w:r w:rsidR="00E369BA" w:rsidRPr="00A401F5">
        <w:rPr>
          <w:rFonts w:eastAsia="Arial"/>
          <w:w w:val="101"/>
        </w:rPr>
        <w:t xml:space="preserve">land </w:t>
      </w:r>
      <w:r w:rsidR="00E369BA" w:rsidRPr="00A401F5">
        <w:rPr>
          <w:rFonts w:eastAsia="Arial"/>
        </w:rPr>
        <w:t>t</w:t>
      </w:r>
      <w:r w:rsidR="00E369BA" w:rsidRPr="00A401F5">
        <w:rPr>
          <w:rFonts w:eastAsia="Arial"/>
          <w:spacing w:val="-1"/>
        </w:rPr>
        <w:t>i</w:t>
      </w:r>
      <w:r w:rsidR="00E369BA" w:rsidRPr="00A401F5">
        <w:rPr>
          <w:rFonts w:eastAsia="Arial"/>
        </w:rPr>
        <w:t>t</w:t>
      </w:r>
      <w:r w:rsidR="00E369BA" w:rsidRPr="00A401F5">
        <w:rPr>
          <w:rFonts w:eastAsia="Arial"/>
          <w:spacing w:val="-1"/>
        </w:rPr>
        <w:t>l</w:t>
      </w:r>
      <w:r w:rsidR="00E369BA" w:rsidRPr="00A401F5">
        <w:rPr>
          <w:rFonts w:eastAsia="Arial"/>
        </w:rPr>
        <w:t xml:space="preserve">e </w:t>
      </w:r>
      <w:r w:rsidR="00E369BA" w:rsidRPr="00A401F5">
        <w:rPr>
          <w:rFonts w:eastAsia="Arial"/>
          <w:spacing w:val="5"/>
        </w:rPr>
        <w:t>is</w:t>
      </w:r>
      <w:r w:rsidR="00E369BA" w:rsidRPr="00A401F5">
        <w:rPr>
          <w:rFonts w:eastAsia="Arial"/>
        </w:rPr>
        <w:t xml:space="preserve"> disputed, </w:t>
      </w:r>
      <w:r w:rsidR="00E369BA" w:rsidRPr="00A401F5">
        <w:rPr>
          <w:rFonts w:eastAsia="Arial"/>
          <w:spacing w:val="8"/>
        </w:rPr>
        <w:t>the</w:t>
      </w:r>
      <w:r w:rsidR="00E369BA" w:rsidRPr="00A401F5">
        <w:rPr>
          <w:rFonts w:eastAsia="Arial"/>
        </w:rPr>
        <w:t xml:space="preserve"> </w:t>
      </w:r>
      <w:r w:rsidR="00E369BA" w:rsidRPr="00A401F5">
        <w:rPr>
          <w:rFonts w:eastAsia="Arial"/>
          <w:spacing w:val="3"/>
        </w:rPr>
        <w:t>appeals</w:t>
      </w:r>
      <w:r w:rsidR="00E369BA" w:rsidRPr="00A401F5">
        <w:rPr>
          <w:rFonts w:eastAsia="Arial"/>
        </w:rPr>
        <w:t xml:space="preserve"> </w:t>
      </w:r>
      <w:r w:rsidR="00E369BA" w:rsidRPr="00A401F5">
        <w:rPr>
          <w:rFonts w:eastAsia="Arial"/>
          <w:spacing w:val="5"/>
        </w:rPr>
        <w:t>process</w:t>
      </w:r>
      <w:r w:rsidR="00E369BA" w:rsidRPr="00A401F5">
        <w:rPr>
          <w:rFonts w:eastAsia="Arial"/>
        </w:rPr>
        <w:t xml:space="preserve"> </w:t>
      </w:r>
      <w:r w:rsidR="00E369BA" w:rsidRPr="00A401F5">
        <w:rPr>
          <w:rFonts w:eastAsia="Arial"/>
          <w:spacing w:val="6"/>
        </w:rPr>
        <w:t>starts</w:t>
      </w:r>
      <w:r w:rsidR="00E369BA" w:rsidRPr="00A401F5">
        <w:rPr>
          <w:rFonts w:eastAsia="Arial"/>
        </w:rPr>
        <w:t xml:space="preserve"> </w:t>
      </w:r>
      <w:r w:rsidR="00E369BA" w:rsidRPr="00A401F5">
        <w:rPr>
          <w:rFonts w:eastAsia="Arial"/>
          <w:spacing w:val="4"/>
        </w:rPr>
        <w:t>at</w:t>
      </w:r>
      <w:r w:rsidR="00E369BA" w:rsidRPr="00A401F5">
        <w:rPr>
          <w:rFonts w:eastAsia="Arial"/>
        </w:rPr>
        <w:t xml:space="preserve"> </w:t>
      </w:r>
      <w:r w:rsidR="00E369BA" w:rsidRPr="00A401F5">
        <w:rPr>
          <w:rFonts w:eastAsia="Arial"/>
          <w:spacing w:val="1"/>
        </w:rPr>
        <w:t>the</w:t>
      </w:r>
      <w:r w:rsidR="00E369BA" w:rsidRPr="00A401F5">
        <w:rPr>
          <w:rFonts w:eastAsia="Arial"/>
        </w:rPr>
        <w:t xml:space="preserve"> </w:t>
      </w:r>
      <w:r w:rsidR="00E369BA" w:rsidRPr="00A401F5">
        <w:rPr>
          <w:rFonts w:eastAsia="Arial"/>
          <w:spacing w:val="3"/>
        </w:rPr>
        <w:t>lowest</w:t>
      </w:r>
      <w:r w:rsidR="00E369BA" w:rsidRPr="00A401F5">
        <w:rPr>
          <w:rFonts w:eastAsia="Arial"/>
        </w:rPr>
        <w:t xml:space="preserve"> </w:t>
      </w:r>
      <w:r w:rsidR="00E369BA" w:rsidRPr="00A401F5">
        <w:rPr>
          <w:rFonts w:eastAsia="Arial"/>
          <w:spacing w:val="6"/>
        </w:rPr>
        <w:t>rung</w:t>
      </w:r>
      <w:r w:rsidR="00E369BA" w:rsidRPr="00A401F5">
        <w:rPr>
          <w:rFonts w:eastAsia="Arial"/>
        </w:rPr>
        <w:t xml:space="preserve"> </w:t>
      </w:r>
      <w:r w:rsidR="00E369BA" w:rsidRPr="00A401F5">
        <w:rPr>
          <w:rFonts w:eastAsia="Arial"/>
          <w:spacing w:val="2"/>
        </w:rPr>
        <w:t>of</w:t>
      </w:r>
      <w:r w:rsidR="00E369BA" w:rsidRPr="00A401F5">
        <w:rPr>
          <w:rFonts w:eastAsia="Arial"/>
        </w:rPr>
        <w:t xml:space="preserve"> </w:t>
      </w:r>
      <w:r w:rsidR="00E369BA" w:rsidRPr="00A401F5">
        <w:rPr>
          <w:rFonts w:eastAsia="Arial"/>
          <w:spacing w:val="1"/>
        </w:rPr>
        <w:t>the</w:t>
      </w:r>
      <w:r w:rsidR="00E369BA" w:rsidRPr="00A401F5">
        <w:rPr>
          <w:rFonts w:eastAsia="Arial"/>
        </w:rPr>
        <w:t xml:space="preserve"> </w:t>
      </w:r>
      <w:r w:rsidR="00E369BA" w:rsidRPr="00A401F5">
        <w:rPr>
          <w:rFonts w:eastAsia="Arial"/>
          <w:spacing w:val="1"/>
        </w:rPr>
        <w:t>ladder</w:t>
      </w:r>
      <w:r w:rsidR="00E369BA" w:rsidRPr="00A401F5">
        <w:rPr>
          <w:rFonts w:eastAsia="Arial"/>
          <w:w w:val="101"/>
        </w:rPr>
        <w:t xml:space="preserve"> </w:t>
      </w:r>
      <w:r w:rsidR="00E369BA" w:rsidRPr="00A401F5">
        <w:rPr>
          <w:rFonts w:eastAsia="Arial"/>
          <w:spacing w:val="1"/>
        </w:rPr>
        <w:t>an</w:t>
      </w:r>
      <w:r w:rsidR="00E369BA" w:rsidRPr="00A401F5">
        <w:rPr>
          <w:rFonts w:eastAsia="Arial"/>
        </w:rPr>
        <w:t>d</w:t>
      </w:r>
      <w:r w:rsidR="00E369BA" w:rsidRPr="00A401F5">
        <w:rPr>
          <w:rFonts w:eastAsia="Arial"/>
          <w:spacing w:val="2"/>
        </w:rPr>
        <w:t xml:space="preserve"> </w:t>
      </w:r>
      <w:r w:rsidR="00E369BA" w:rsidRPr="00A401F5">
        <w:rPr>
          <w:rFonts w:eastAsia="Arial"/>
          <w:spacing w:val="-1"/>
        </w:rPr>
        <w:t>t</w:t>
      </w:r>
      <w:r w:rsidR="00E369BA" w:rsidRPr="00A401F5">
        <w:rPr>
          <w:rFonts w:eastAsia="Arial"/>
          <w:spacing w:val="1"/>
        </w:rPr>
        <w:t>he</w:t>
      </w:r>
      <w:r w:rsidR="00E369BA" w:rsidRPr="00A401F5">
        <w:rPr>
          <w:rFonts w:eastAsia="Arial"/>
        </w:rPr>
        <w:t>n</w:t>
      </w:r>
      <w:r w:rsidR="00E369BA" w:rsidRPr="00A401F5">
        <w:rPr>
          <w:rFonts w:eastAsia="Arial"/>
          <w:spacing w:val="3"/>
        </w:rPr>
        <w:t xml:space="preserve"> </w:t>
      </w:r>
      <w:r w:rsidR="00E369BA" w:rsidRPr="00A401F5">
        <w:rPr>
          <w:rFonts w:eastAsia="Arial"/>
          <w:spacing w:val="1"/>
        </w:rPr>
        <w:t>mo</w:t>
      </w:r>
      <w:r w:rsidR="00E369BA" w:rsidRPr="00A401F5">
        <w:rPr>
          <w:rFonts w:eastAsia="Arial"/>
          <w:spacing w:val="-1"/>
        </w:rPr>
        <w:t>ve</w:t>
      </w:r>
      <w:r w:rsidR="00E369BA" w:rsidRPr="00A401F5">
        <w:rPr>
          <w:rFonts w:eastAsia="Arial"/>
        </w:rPr>
        <w:t>s</w:t>
      </w:r>
      <w:r w:rsidR="00E369BA" w:rsidRPr="00A401F5">
        <w:rPr>
          <w:rFonts w:eastAsia="Arial"/>
          <w:spacing w:val="4"/>
        </w:rPr>
        <w:t xml:space="preserve"> </w:t>
      </w:r>
      <w:r w:rsidR="00E369BA" w:rsidRPr="00A401F5">
        <w:rPr>
          <w:rFonts w:eastAsia="Arial"/>
          <w:spacing w:val="1"/>
        </w:rPr>
        <w:t>progre</w:t>
      </w:r>
      <w:r w:rsidR="00E369BA" w:rsidRPr="00A401F5">
        <w:rPr>
          <w:rFonts w:eastAsia="Arial"/>
          <w:spacing w:val="-1"/>
        </w:rPr>
        <w:t>s</w:t>
      </w:r>
      <w:r w:rsidR="00E369BA" w:rsidRPr="00A401F5">
        <w:rPr>
          <w:rFonts w:eastAsia="Arial"/>
          <w:spacing w:val="1"/>
        </w:rPr>
        <w:t>si</w:t>
      </w:r>
      <w:r w:rsidR="00E369BA" w:rsidRPr="00A401F5">
        <w:rPr>
          <w:rFonts w:eastAsia="Arial"/>
          <w:spacing w:val="-1"/>
        </w:rPr>
        <w:t>ve</w:t>
      </w:r>
      <w:r w:rsidR="00E369BA" w:rsidRPr="00A401F5">
        <w:rPr>
          <w:rFonts w:eastAsia="Arial"/>
          <w:spacing w:val="1"/>
        </w:rPr>
        <w:t>l</w:t>
      </w:r>
      <w:r w:rsidR="00E369BA" w:rsidRPr="00A401F5">
        <w:rPr>
          <w:rFonts w:eastAsia="Arial"/>
        </w:rPr>
        <w:t>y</w:t>
      </w:r>
      <w:r w:rsidR="00E369BA" w:rsidRPr="00A401F5">
        <w:rPr>
          <w:rFonts w:eastAsia="Arial"/>
          <w:spacing w:val="9"/>
        </w:rPr>
        <w:t xml:space="preserve"> </w:t>
      </w:r>
      <w:r w:rsidR="00E369BA" w:rsidRPr="00A401F5">
        <w:rPr>
          <w:rFonts w:eastAsia="Arial"/>
          <w:spacing w:val="2"/>
        </w:rPr>
        <w:t>u</w:t>
      </w:r>
      <w:r w:rsidR="00E369BA" w:rsidRPr="00A401F5">
        <w:rPr>
          <w:rFonts w:eastAsia="Arial"/>
          <w:spacing w:val="-1"/>
        </w:rPr>
        <w:t>p</w:t>
      </w:r>
      <w:r w:rsidR="00E369BA" w:rsidRPr="00A401F5">
        <w:rPr>
          <w:rFonts w:eastAsia="Arial"/>
          <w:spacing w:val="1"/>
        </w:rPr>
        <w:t>ward</w:t>
      </w:r>
      <w:r w:rsidR="00E369BA" w:rsidRPr="00A401F5">
        <w:rPr>
          <w:rFonts w:eastAsia="Arial"/>
        </w:rPr>
        <w:t>s</w:t>
      </w:r>
      <w:r w:rsidR="00E369BA" w:rsidRPr="00A401F5">
        <w:rPr>
          <w:rFonts w:eastAsia="Arial"/>
          <w:spacing w:val="4"/>
        </w:rPr>
        <w:t xml:space="preserve"> </w:t>
      </w:r>
      <w:r w:rsidR="00E369BA" w:rsidRPr="00A401F5">
        <w:rPr>
          <w:rFonts w:eastAsia="Arial"/>
          <w:spacing w:val="1"/>
        </w:rPr>
        <w:t>unti</w:t>
      </w:r>
      <w:r w:rsidR="00E369BA" w:rsidRPr="00A401F5">
        <w:rPr>
          <w:rFonts w:eastAsia="Arial"/>
        </w:rPr>
        <w:t>l</w:t>
      </w:r>
      <w:r w:rsidR="00E369BA" w:rsidRPr="00A401F5">
        <w:rPr>
          <w:rFonts w:eastAsia="Arial"/>
          <w:spacing w:val="2"/>
        </w:rPr>
        <w:t xml:space="preserve"> </w:t>
      </w:r>
      <w:r w:rsidR="00E369BA" w:rsidRPr="00A401F5">
        <w:rPr>
          <w:rFonts w:eastAsia="Arial"/>
          <w:spacing w:val="1"/>
        </w:rPr>
        <w:t>th</w:t>
      </w:r>
      <w:r w:rsidR="00E369BA" w:rsidRPr="00A401F5">
        <w:rPr>
          <w:rFonts w:eastAsia="Arial"/>
        </w:rPr>
        <w:t>e</w:t>
      </w:r>
      <w:r w:rsidR="00E369BA" w:rsidRPr="00A401F5">
        <w:rPr>
          <w:rFonts w:eastAsia="Arial"/>
          <w:spacing w:val="1"/>
        </w:rPr>
        <w:t xml:space="preserve"> </w:t>
      </w:r>
      <w:r w:rsidR="00E369BA" w:rsidRPr="00A401F5">
        <w:rPr>
          <w:rFonts w:eastAsia="Arial"/>
          <w:spacing w:val="-1"/>
          <w:w w:val="101"/>
        </w:rPr>
        <w:t>a</w:t>
      </w:r>
      <w:r w:rsidR="00E369BA" w:rsidRPr="00A401F5">
        <w:rPr>
          <w:rFonts w:eastAsia="Arial"/>
          <w:spacing w:val="1"/>
          <w:w w:val="101"/>
        </w:rPr>
        <w:t>ppel</w:t>
      </w:r>
      <w:r w:rsidR="00E369BA" w:rsidRPr="00A401F5">
        <w:rPr>
          <w:rFonts w:eastAsia="Arial"/>
          <w:spacing w:val="-1"/>
          <w:w w:val="101"/>
        </w:rPr>
        <w:t>l</w:t>
      </w:r>
      <w:r w:rsidR="00E369BA" w:rsidRPr="00A401F5">
        <w:rPr>
          <w:rFonts w:eastAsia="Arial"/>
          <w:spacing w:val="1"/>
          <w:w w:val="101"/>
        </w:rPr>
        <w:t>ant</w:t>
      </w:r>
      <w:r w:rsidR="00E369BA" w:rsidRPr="00A401F5">
        <w:rPr>
          <w:rFonts w:eastAsia="Arial"/>
          <w:w w:val="101"/>
        </w:rPr>
        <w:t xml:space="preserve">s </w:t>
      </w:r>
      <w:r w:rsidR="00E369BA" w:rsidRPr="00A401F5">
        <w:rPr>
          <w:rFonts w:eastAsia="Arial"/>
        </w:rPr>
        <w:t>and</w:t>
      </w:r>
      <w:r w:rsidR="00E369BA" w:rsidRPr="00A401F5">
        <w:rPr>
          <w:rFonts w:eastAsia="Arial"/>
          <w:spacing w:val="17"/>
        </w:rPr>
        <w:t xml:space="preserve"> </w:t>
      </w:r>
      <w:r w:rsidR="00E369BA" w:rsidRPr="00A401F5">
        <w:rPr>
          <w:rFonts w:eastAsia="Arial"/>
        </w:rPr>
        <w:t>ot</w:t>
      </w:r>
      <w:r w:rsidR="00E369BA" w:rsidRPr="00A401F5">
        <w:rPr>
          <w:rFonts w:eastAsia="Arial"/>
          <w:spacing w:val="-1"/>
        </w:rPr>
        <w:t>h</w:t>
      </w:r>
      <w:r w:rsidR="00E369BA" w:rsidRPr="00A401F5">
        <w:rPr>
          <w:rFonts w:eastAsia="Arial"/>
        </w:rPr>
        <w:t>er</w:t>
      </w:r>
      <w:r w:rsidR="00E369BA" w:rsidRPr="00A401F5">
        <w:rPr>
          <w:rFonts w:eastAsia="Arial"/>
          <w:spacing w:val="18"/>
        </w:rPr>
        <w:t xml:space="preserve"> </w:t>
      </w:r>
      <w:r w:rsidR="00E369BA" w:rsidRPr="00A401F5">
        <w:rPr>
          <w:rFonts w:eastAsia="Arial"/>
          <w:spacing w:val="-1"/>
        </w:rPr>
        <w:t>i</w:t>
      </w:r>
      <w:r w:rsidR="00E369BA" w:rsidRPr="00A401F5">
        <w:rPr>
          <w:rFonts w:eastAsia="Arial"/>
        </w:rPr>
        <w:t>nter</w:t>
      </w:r>
      <w:r w:rsidR="00E369BA" w:rsidRPr="00A401F5">
        <w:rPr>
          <w:rFonts w:eastAsia="Arial"/>
          <w:spacing w:val="-1"/>
        </w:rPr>
        <w:t>es</w:t>
      </w:r>
      <w:r w:rsidR="00E369BA" w:rsidRPr="00A401F5">
        <w:rPr>
          <w:rFonts w:eastAsia="Arial"/>
        </w:rPr>
        <w:t>ted</w:t>
      </w:r>
      <w:r w:rsidR="00E369BA" w:rsidRPr="00A401F5">
        <w:rPr>
          <w:rFonts w:eastAsia="Arial"/>
          <w:spacing w:val="23"/>
        </w:rPr>
        <w:t xml:space="preserve"> </w:t>
      </w:r>
      <w:r w:rsidR="00E369BA" w:rsidRPr="00A401F5">
        <w:rPr>
          <w:rFonts w:eastAsia="Arial"/>
        </w:rPr>
        <w:t>pa</w:t>
      </w:r>
      <w:r w:rsidR="00E369BA" w:rsidRPr="00A401F5">
        <w:rPr>
          <w:rFonts w:eastAsia="Arial"/>
          <w:spacing w:val="-1"/>
        </w:rPr>
        <w:t>r</w:t>
      </w:r>
      <w:r w:rsidR="00E369BA" w:rsidRPr="00A401F5">
        <w:rPr>
          <w:rFonts w:eastAsia="Arial"/>
        </w:rPr>
        <w:t>ti</w:t>
      </w:r>
      <w:r w:rsidR="00E369BA" w:rsidRPr="00A401F5">
        <w:rPr>
          <w:rFonts w:eastAsia="Arial"/>
          <w:spacing w:val="-1"/>
        </w:rPr>
        <w:t>e</w:t>
      </w:r>
      <w:r w:rsidR="00E369BA" w:rsidRPr="00A401F5">
        <w:rPr>
          <w:rFonts w:eastAsia="Arial"/>
        </w:rPr>
        <w:t>s</w:t>
      </w:r>
      <w:r w:rsidR="00E369BA" w:rsidRPr="00A401F5">
        <w:rPr>
          <w:rFonts w:eastAsia="Arial"/>
          <w:spacing w:val="20"/>
        </w:rPr>
        <w:t xml:space="preserve"> </w:t>
      </w:r>
      <w:r w:rsidR="00E369BA" w:rsidRPr="00A401F5">
        <w:rPr>
          <w:rFonts w:eastAsia="Arial"/>
        </w:rPr>
        <w:t>eit</w:t>
      </w:r>
      <w:r w:rsidR="00E369BA" w:rsidRPr="00A401F5">
        <w:rPr>
          <w:rFonts w:eastAsia="Arial"/>
          <w:spacing w:val="-1"/>
        </w:rPr>
        <w:t>h</w:t>
      </w:r>
      <w:r w:rsidR="00E369BA" w:rsidRPr="00A401F5">
        <w:rPr>
          <w:rFonts w:eastAsia="Arial"/>
        </w:rPr>
        <w:t>er</w:t>
      </w:r>
      <w:r w:rsidR="00E369BA" w:rsidRPr="00A401F5">
        <w:rPr>
          <w:rFonts w:eastAsia="Arial"/>
          <w:spacing w:val="19"/>
        </w:rPr>
        <w:t xml:space="preserve"> </w:t>
      </w:r>
      <w:r w:rsidR="00E369BA" w:rsidRPr="00A401F5">
        <w:rPr>
          <w:rFonts w:eastAsia="Arial"/>
        </w:rPr>
        <w:t>a</w:t>
      </w:r>
      <w:r w:rsidR="00E369BA" w:rsidRPr="00A401F5">
        <w:rPr>
          <w:rFonts w:eastAsia="Arial"/>
          <w:spacing w:val="-1"/>
        </w:rPr>
        <w:t>cc</w:t>
      </w:r>
      <w:r w:rsidR="00E369BA" w:rsidRPr="00A401F5">
        <w:rPr>
          <w:rFonts w:eastAsia="Arial"/>
        </w:rPr>
        <w:t>ept</w:t>
      </w:r>
      <w:r w:rsidR="00E369BA" w:rsidRPr="00A401F5">
        <w:rPr>
          <w:rFonts w:eastAsia="Arial"/>
          <w:spacing w:val="20"/>
        </w:rPr>
        <w:t xml:space="preserve"> </w:t>
      </w:r>
      <w:r w:rsidR="00E369BA" w:rsidRPr="00A401F5">
        <w:rPr>
          <w:rFonts w:eastAsia="Arial"/>
        </w:rPr>
        <w:t>the</w:t>
      </w:r>
      <w:r w:rsidR="00E369BA" w:rsidRPr="00A401F5">
        <w:rPr>
          <w:rFonts w:eastAsia="Arial"/>
          <w:spacing w:val="17"/>
        </w:rPr>
        <w:t xml:space="preserve"> </w:t>
      </w:r>
      <w:r w:rsidR="00E369BA" w:rsidRPr="00A401F5">
        <w:rPr>
          <w:rFonts w:eastAsia="Arial"/>
          <w:spacing w:val="-1"/>
        </w:rPr>
        <w:t>j</w:t>
      </w:r>
      <w:r w:rsidR="00E369BA" w:rsidRPr="00A401F5">
        <w:rPr>
          <w:rFonts w:eastAsia="Arial"/>
          <w:spacing w:val="2"/>
        </w:rPr>
        <w:t>u</w:t>
      </w:r>
      <w:r w:rsidR="00E369BA" w:rsidRPr="00A401F5">
        <w:rPr>
          <w:rFonts w:eastAsia="Arial"/>
          <w:spacing w:val="-1"/>
        </w:rPr>
        <w:t>d</w:t>
      </w:r>
      <w:r w:rsidR="00E369BA" w:rsidRPr="00A401F5">
        <w:rPr>
          <w:rFonts w:eastAsia="Arial"/>
        </w:rPr>
        <w:t>gme</w:t>
      </w:r>
      <w:r w:rsidR="00E369BA" w:rsidRPr="00A401F5">
        <w:rPr>
          <w:rFonts w:eastAsia="Arial"/>
          <w:spacing w:val="-1"/>
        </w:rPr>
        <w:t>n</w:t>
      </w:r>
      <w:r w:rsidR="00E369BA" w:rsidRPr="00A401F5">
        <w:rPr>
          <w:rFonts w:eastAsia="Arial"/>
        </w:rPr>
        <w:t>t</w:t>
      </w:r>
      <w:r w:rsidR="00E369BA" w:rsidRPr="00A401F5">
        <w:rPr>
          <w:rFonts w:eastAsia="Arial"/>
          <w:spacing w:val="23"/>
        </w:rPr>
        <w:t xml:space="preserve"> </w:t>
      </w:r>
      <w:r w:rsidR="00E369BA" w:rsidRPr="00A401F5">
        <w:rPr>
          <w:rFonts w:eastAsia="Arial"/>
        </w:rPr>
        <w:t>gi</w:t>
      </w:r>
      <w:r w:rsidR="00E369BA" w:rsidRPr="00A401F5">
        <w:rPr>
          <w:rFonts w:eastAsia="Arial"/>
          <w:spacing w:val="-1"/>
        </w:rPr>
        <w:t>v</w:t>
      </w:r>
      <w:r w:rsidR="00E369BA" w:rsidRPr="00A401F5">
        <w:rPr>
          <w:rFonts w:eastAsia="Arial"/>
        </w:rPr>
        <w:t>en</w:t>
      </w:r>
      <w:r w:rsidR="00E369BA" w:rsidRPr="00A401F5">
        <w:rPr>
          <w:rFonts w:eastAsia="Arial"/>
          <w:spacing w:val="19"/>
        </w:rPr>
        <w:t xml:space="preserve"> </w:t>
      </w:r>
      <w:r w:rsidR="00E369BA" w:rsidRPr="00A401F5">
        <w:rPr>
          <w:rFonts w:eastAsia="Arial"/>
        </w:rPr>
        <w:t>or</w:t>
      </w:r>
      <w:r w:rsidR="00E369BA" w:rsidRPr="00A401F5">
        <w:rPr>
          <w:rFonts w:eastAsia="Arial"/>
          <w:spacing w:val="16"/>
        </w:rPr>
        <w:t xml:space="preserve"> </w:t>
      </w:r>
      <w:r w:rsidR="00E369BA" w:rsidRPr="00A401F5">
        <w:rPr>
          <w:rFonts w:eastAsia="Arial"/>
          <w:spacing w:val="-1"/>
        </w:rPr>
        <w:t>l</w:t>
      </w:r>
      <w:r w:rsidR="00E369BA" w:rsidRPr="00A401F5">
        <w:rPr>
          <w:rFonts w:eastAsia="Arial"/>
        </w:rPr>
        <w:t>a</w:t>
      </w:r>
      <w:r w:rsidR="00E369BA" w:rsidRPr="00A401F5">
        <w:rPr>
          <w:rFonts w:eastAsia="Arial"/>
          <w:spacing w:val="-1"/>
        </w:rPr>
        <w:t>c</w:t>
      </w:r>
      <w:r w:rsidR="00E369BA" w:rsidRPr="00A401F5">
        <w:rPr>
          <w:rFonts w:eastAsia="Arial"/>
        </w:rPr>
        <w:t>k</w:t>
      </w:r>
      <w:r w:rsidR="00E369BA" w:rsidRPr="00A401F5">
        <w:rPr>
          <w:rFonts w:eastAsia="Arial"/>
          <w:spacing w:val="17"/>
        </w:rPr>
        <w:t xml:space="preserve"> </w:t>
      </w:r>
      <w:r w:rsidR="00E369BA" w:rsidRPr="00A401F5">
        <w:rPr>
          <w:rFonts w:eastAsia="Arial"/>
          <w:spacing w:val="2"/>
        </w:rPr>
        <w:t>t</w:t>
      </w:r>
      <w:r w:rsidR="00E369BA" w:rsidRPr="00A401F5">
        <w:rPr>
          <w:rFonts w:eastAsia="Arial"/>
          <w:spacing w:val="-1"/>
        </w:rPr>
        <w:t>h</w:t>
      </w:r>
      <w:r w:rsidR="00E369BA" w:rsidRPr="00A401F5">
        <w:rPr>
          <w:rFonts w:eastAsia="Arial"/>
        </w:rPr>
        <w:t>e</w:t>
      </w:r>
      <w:r w:rsidR="00E369BA" w:rsidRPr="00A401F5">
        <w:rPr>
          <w:rFonts w:eastAsia="Arial"/>
          <w:spacing w:val="18"/>
        </w:rPr>
        <w:t xml:space="preserve"> </w:t>
      </w:r>
      <w:r w:rsidR="00E369BA" w:rsidRPr="00A401F5">
        <w:rPr>
          <w:rFonts w:eastAsia="Arial"/>
          <w:spacing w:val="-1"/>
          <w:w w:val="101"/>
        </w:rPr>
        <w:t>r</w:t>
      </w:r>
      <w:r w:rsidR="00E369BA" w:rsidRPr="00A401F5">
        <w:rPr>
          <w:rFonts w:eastAsia="Arial"/>
          <w:w w:val="101"/>
        </w:rPr>
        <w:t>e</w:t>
      </w:r>
      <w:r w:rsidR="00E369BA" w:rsidRPr="00A401F5">
        <w:rPr>
          <w:rFonts w:eastAsia="Arial"/>
          <w:spacing w:val="-1"/>
          <w:w w:val="101"/>
        </w:rPr>
        <w:t>s</w:t>
      </w:r>
      <w:r w:rsidR="00E369BA" w:rsidRPr="00A401F5">
        <w:rPr>
          <w:rFonts w:eastAsia="Arial"/>
          <w:w w:val="101"/>
        </w:rPr>
        <w:t>ou</w:t>
      </w:r>
      <w:r w:rsidR="00E369BA" w:rsidRPr="00A401F5">
        <w:rPr>
          <w:rFonts w:eastAsia="Arial"/>
          <w:spacing w:val="-1"/>
          <w:w w:val="101"/>
        </w:rPr>
        <w:t>rc</w:t>
      </w:r>
      <w:r w:rsidR="00E369BA" w:rsidRPr="00A401F5">
        <w:rPr>
          <w:rFonts w:eastAsia="Arial"/>
          <w:spacing w:val="2"/>
          <w:w w:val="101"/>
        </w:rPr>
        <w:t>e</w:t>
      </w:r>
      <w:r w:rsidR="00E369BA" w:rsidRPr="00A401F5">
        <w:rPr>
          <w:rFonts w:eastAsia="Arial"/>
          <w:w w:val="101"/>
        </w:rPr>
        <w:t xml:space="preserve">s </w:t>
      </w:r>
      <w:r w:rsidR="00E369BA" w:rsidRPr="00A401F5">
        <w:rPr>
          <w:rFonts w:eastAsia="Arial"/>
        </w:rPr>
        <w:t>to</w:t>
      </w:r>
      <w:r w:rsidR="00E369BA" w:rsidRPr="00A401F5">
        <w:rPr>
          <w:rFonts w:eastAsia="Arial"/>
          <w:spacing w:val="4"/>
        </w:rPr>
        <w:t xml:space="preserve"> </w:t>
      </w:r>
      <w:r w:rsidR="00E369BA" w:rsidRPr="00A401F5">
        <w:rPr>
          <w:rFonts w:eastAsia="Arial"/>
        </w:rPr>
        <w:t>p</w:t>
      </w:r>
      <w:r w:rsidR="00E369BA" w:rsidRPr="00A401F5">
        <w:rPr>
          <w:rFonts w:eastAsia="Arial"/>
          <w:spacing w:val="-1"/>
        </w:rPr>
        <w:t>r</w:t>
      </w:r>
      <w:r w:rsidR="00E369BA" w:rsidRPr="00A401F5">
        <w:rPr>
          <w:rFonts w:eastAsia="Arial"/>
        </w:rPr>
        <w:t>o</w:t>
      </w:r>
      <w:r w:rsidR="00E369BA" w:rsidRPr="00A401F5">
        <w:rPr>
          <w:rFonts w:eastAsia="Arial"/>
          <w:spacing w:val="-1"/>
        </w:rPr>
        <w:t>c</w:t>
      </w:r>
      <w:r w:rsidR="00E369BA" w:rsidRPr="00A401F5">
        <w:rPr>
          <w:rFonts w:eastAsia="Arial"/>
        </w:rPr>
        <w:t>eed</w:t>
      </w:r>
      <w:r w:rsidR="00E369BA" w:rsidRPr="00A401F5">
        <w:rPr>
          <w:rFonts w:eastAsia="Arial"/>
          <w:spacing w:val="8"/>
        </w:rPr>
        <w:t xml:space="preserve"> </w:t>
      </w:r>
      <w:r w:rsidR="00E369BA" w:rsidRPr="00A401F5">
        <w:rPr>
          <w:rFonts w:eastAsia="Arial"/>
          <w:w w:val="101"/>
        </w:rPr>
        <w:t>fur</w:t>
      </w:r>
      <w:r w:rsidR="00E369BA" w:rsidRPr="00A401F5">
        <w:rPr>
          <w:rFonts w:eastAsia="Arial"/>
          <w:spacing w:val="-1"/>
          <w:w w:val="101"/>
        </w:rPr>
        <w:t>t</w:t>
      </w:r>
      <w:r w:rsidR="00E369BA" w:rsidRPr="00A401F5">
        <w:rPr>
          <w:rFonts w:eastAsia="Arial"/>
          <w:w w:val="101"/>
        </w:rPr>
        <w:t>her.</w:t>
      </w:r>
      <w:r w:rsidRPr="00A401F5">
        <w:rPr>
          <w:rFonts w:eastAsia="Arial"/>
          <w:w w:val="101"/>
        </w:rPr>
        <w:t xml:space="preserve">  </w:t>
      </w:r>
      <w:r w:rsidRPr="00A401F5">
        <w:rPr>
          <w:rFonts w:eastAsia="Arial"/>
        </w:rPr>
        <w:t>There is definitely scope for improvement here if necessary regulatory steps and institutional changes are brought in backed up by use of technology.</w:t>
      </w:r>
    </w:p>
    <w:p w14:paraId="2E8E5FAF" w14:textId="77777777" w:rsidR="006416BF" w:rsidRPr="00A401F5" w:rsidRDefault="006416BF" w:rsidP="006416BF">
      <w:pPr>
        <w:spacing w:line="276" w:lineRule="auto"/>
        <w:jc w:val="both"/>
      </w:pPr>
    </w:p>
    <w:p w14:paraId="6C930F8F" w14:textId="6277DC77" w:rsidR="00974111" w:rsidRPr="00A401F5" w:rsidRDefault="007A2E03" w:rsidP="00C61A30">
      <w:pPr>
        <w:widowControl w:val="0"/>
        <w:autoSpaceDE w:val="0"/>
        <w:autoSpaceDN w:val="0"/>
        <w:adjustRightInd w:val="0"/>
        <w:spacing w:after="240" w:line="276" w:lineRule="auto"/>
        <w:jc w:val="both"/>
      </w:pPr>
      <w:r w:rsidRPr="00C61A30">
        <w:rPr>
          <w:b/>
          <w:i/>
        </w:rPr>
        <w:t>Land Zoning could overcom</w:t>
      </w:r>
      <w:r w:rsidR="00974111" w:rsidRPr="00C61A30">
        <w:rPr>
          <w:b/>
          <w:i/>
        </w:rPr>
        <w:t>e the land constraint challenge, and also support sustainable development goals.</w:t>
      </w:r>
      <w:r w:rsidR="00C61A30">
        <w:rPr>
          <w:b/>
        </w:rPr>
        <w:t xml:space="preserve">  </w:t>
      </w:r>
      <w:r w:rsidR="00C61A30" w:rsidRPr="00C61A30">
        <w:t xml:space="preserve">As a step towards having a more efficient land will be the need for land zoning.  </w:t>
      </w:r>
      <w:r w:rsidR="008C4135" w:rsidRPr="00C61A30">
        <w:t>Zoning is an essential tool in successful urban planning. Maps divide communities into different zones based on the types of uses allowed—such as residential, commercial, industrial, public buildings, parks and green areas.  Land zoning regulations can provide a useful framework for investors and developers by specifying the most appropriate location for their projects, given that the infrastructure, connectivity, energy, and environmental concerns get regulated upfront. This can therefore facilitate in easing up the decision of the investor to invest and move forward with the process of applying and getting building construction permit and start construction of factory building or warehouse in the shortest possible time, leading to more efficient and less costly construction permitting systems.  Any improvement in this will also improve rankings in DB and GCI indicators.</w:t>
      </w:r>
      <w:r w:rsidR="008C4135">
        <w:rPr>
          <w:color w:val="FF0000"/>
        </w:rPr>
        <w:t xml:space="preserve">  </w:t>
      </w:r>
    </w:p>
    <w:p w14:paraId="36E98CCD" w14:textId="7B82867F" w:rsidR="00974111" w:rsidRPr="00274625" w:rsidRDefault="009B6A12" w:rsidP="00274625">
      <w:pPr>
        <w:widowControl w:val="0"/>
        <w:autoSpaceDE w:val="0"/>
        <w:autoSpaceDN w:val="0"/>
        <w:adjustRightInd w:val="0"/>
        <w:spacing w:after="240" w:line="276" w:lineRule="auto"/>
        <w:jc w:val="both"/>
        <w:rPr>
          <w:b/>
        </w:rPr>
      </w:pPr>
      <w:r>
        <w:rPr>
          <w:b/>
        </w:rPr>
        <w:t>3</w:t>
      </w:r>
      <w:r w:rsidR="00883845">
        <w:rPr>
          <w:b/>
        </w:rPr>
        <w:t>.8</w:t>
      </w:r>
      <w:r w:rsidR="00C61A30">
        <w:rPr>
          <w:b/>
        </w:rPr>
        <w:t xml:space="preserve"> </w:t>
      </w:r>
      <w:r w:rsidR="00274625">
        <w:rPr>
          <w:b/>
        </w:rPr>
        <w:t>Economic Zones in Bangladesh</w:t>
      </w:r>
      <w:r w:rsidR="00F13FB5">
        <w:rPr>
          <w:b/>
        </w:rPr>
        <w:t xml:space="preserve"> as </w:t>
      </w:r>
      <w:r w:rsidR="00BC3001">
        <w:rPr>
          <w:b/>
        </w:rPr>
        <w:t>an immediate measure to reduce Cost of Doing B</w:t>
      </w:r>
      <w:r w:rsidR="00F13FB5">
        <w:rPr>
          <w:b/>
        </w:rPr>
        <w:t>usiness in a limited demarcated territory</w:t>
      </w:r>
      <w:r w:rsidR="00EC00A0">
        <w:rPr>
          <w:b/>
        </w:rPr>
        <w:t xml:space="preserve"> – The proposed One Stop Service (OSS) can quickly be implemented</w:t>
      </w:r>
      <w:r w:rsidR="00274625">
        <w:rPr>
          <w:b/>
        </w:rPr>
        <w:t>.</w:t>
      </w:r>
    </w:p>
    <w:p w14:paraId="257054EF" w14:textId="1E083F1D" w:rsidR="004A7F5A" w:rsidRPr="00A401F5" w:rsidRDefault="003570F3" w:rsidP="00A401F5">
      <w:pPr>
        <w:widowControl w:val="0"/>
        <w:autoSpaceDE w:val="0"/>
        <w:autoSpaceDN w:val="0"/>
        <w:adjustRightInd w:val="0"/>
        <w:spacing w:after="240" w:line="276" w:lineRule="auto"/>
        <w:jc w:val="both"/>
      </w:pPr>
      <w:r w:rsidRPr="00A401F5">
        <w:t>Many countries, to address the investment climate and better business environment issues, have successfully used Economic Zones as a catalyst for investment; but the rationale for their development differs between developing and developed countries. For developing countries, the Zones have traditionally had both a policy</w:t>
      </w:r>
      <w:r w:rsidR="00EC00A0">
        <w:t>/regulatory</w:t>
      </w:r>
      <w:r w:rsidRPr="00A401F5">
        <w:t xml:space="preserve"> and an infrastructure rationale. </w:t>
      </w:r>
      <w:r w:rsidRPr="00A401F5">
        <w:rPr>
          <w:rStyle w:val="FootnoteReference"/>
          <w:rFonts w:eastAsia="Calibri"/>
        </w:rPr>
        <w:footnoteReference w:id="2"/>
      </w:r>
      <w:r w:rsidRPr="00A401F5">
        <w:t xml:space="preserve">  On the policy</w:t>
      </w:r>
      <w:r w:rsidR="00EC00A0">
        <w:t>/regulatory</w:t>
      </w:r>
      <w:r w:rsidRPr="00A401F5">
        <w:t xml:space="preserve"> side, it includes measures meant to boost investment competitiveness and reduce business entry and operating costs, which can be a useful tool as part of an overall economic growth strategy to enhance industry competitiveness and attract investments, particularly foreign direct investment (FDI)</w:t>
      </w:r>
      <w:r w:rsidRPr="00A401F5">
        <w:rPr>
          <w:rStyle w:val="FootnoteReference"/>
          <w:rFonts w:eastAsia="Calibri"/>
        </w:rPr>
        <w:footnoteReference w:id="3"/>
      </w:r>
      <w:r w:rsidRPr="00A401F5">
        <w:t xml:space="preserve">. On the infrastructure side it can plan providing right type of infrastructure within a limited area maximizing on economies of scale.  </w:t>
      </w:r>
    </w:p>
    <w:p w14:paraId="7946671A" w14:textId="2B71DD64" w:rsidR="00C61A30" w:rsidRPr="00C61A30" w:rsidRDefault="00C61A30" w:rsidP="00C61A30">
      <w:pPr>
        <w:spacing w:line="276" w:lineRule="auto"/>
      </w:pPr>
      <w:r w:rsidRPr="00C61A30">
        <w:t>Given the time and challenges to quick implementation of not only regulatory and procedural reforms, but also overcoming quickly the challenges related to land administration</w:t>
      </w:r>
      <w:proofErr w:type="gramStart"/>
      <w:r w:rsidRPr="00C61A30">
        <w:t>,  the</w:t>
      </w:r>
      <w:proofErr w:type="gramEnd"/>
      <w:r w:rsidRPr="00C61A30">
        <w:t xml:space="preserve"> government has  rightly embarked in setting up economic zones with increased involvement of the private sector in setting up zones, and with government facilitating that process through regulatory support, access to land and infrastructure where needed. </w:t>
      </w:r>
    </w:p>
    <w:p w14:paraId="4A471979" w14:textId="77777777" w:rsidR="00C61A30" w:rsidRDefault="00C61A30" w:rsidP="00C61A30">
      <w:pPr>
        <w:spacing w:line="276" w:lineRule="auto"/>
      </w:pPr>
    </w:p>
    <w:p w14:paraId="2E544115" w14:textId="3D6A0E55" w:rsidR="003570F3" w:rsidRPr="00A401F5" w:rsidRDefault="00AE2AB8" w:rsidP="00A401F5">
      <w:pPr>
        <w:widowControl w:val="0"/>
        <w:autoSpaceDE w:val="0"/>
        <w:autoSpaceDN w:val="0"/>
        <w:adjustRightInd w:val="0"/>
        <w:spacing w:after="240" w:line="276" w:lineRule="auto"/>
        <w:jc w:val="both"/>
      </w:pPr>
      <w:r w:rsidRPr="00A401F5">
        <w:t xml:space="preserve">The </w:t>
      </w:r>
      <w:r w:rsidR="00274625" w:rsidRPr="00A401F5">
        <w:t>Special Economic Zones</w:t>
      </w:r>
      <w:r w:rsidR="004A7F5A" w:rsidRPr="00A401F5">
        <w:t xml:space="preserve"> (SEZs) can</w:t>
      </w:r>
      <w:r w:rsidRPr="00A401F5">
        <w:t xml:space="preserve"> not only help pilot</w:t>
      </w:r>
      <w:r w:rsidR="00274625" w:rsidRPr="00A401F5">
        <w:t xml:space="preserve"> regulatory/institutional reforms that improves business environment and reduces</w:t>
      </w:r>
      <w:r w:rsidRPr="00A401F5">
        <w:t xml:space="preserve"> cost of doing business and reduces</w:t>
      </w:r>
      <w:r w:rsidR="00274625" w:rsidRPr="00A401F5">
        <w:t xml:space="preserve"> infrastructure bottlenecks</w:t>
      </w:r>
      <w:r w:rsidRPr="00A401F5">
        <w:t>, but also give unhindered access to serviceable land.</w:t>
      </w:r>
      <w:r w:rsidR="00274625" w:rsidRPr="00A401F5">
        <w:t xml:space="preserve"> </w:t>
      </w:r>
      <w:r w:rsidR="00EC00A0">
        <w:t xml:space="preserve">Providing single window service like One Stop service (OSS) is a way to reducing policy/regulatory hassles to investors, as it can conveniently be rolled out and implemented in the limited territory of economic zones. </w:t>
      </w:r>
      <w:r w:rsidRPr="00A401F5">
        <w:t xml:space="preserve"> It can thus act as a </w:t>
      </w:r>
      <w:r w:rsidR="00274625" w:rsidRPr="00A401F5">
        <w:t xml:space="preserve">catalyst for domestic and foreign investments to </w:t>
      </w:r>
      <w:r w:rsidRPr="00A401F5">
        <w:t xml:space="preserve">invest in a more business friendly environment. </w:t>
      </w:r>
      <w:r w:rsidR="003570F3" w:rsidRPr="00A401F5">
        <w:t xml:space="preserve"> The investments, including FDI, could reach the desired levels (e.g. what is being stipulated in the 7</w:t>
      </w:r>
      <w:r w:rsidR="003570F3" w:rsidRPr="00A401F5">
        <w:rPr>
          <w:vertAlign w:val="superscript"/>
        </w:rPr>
        <w:t>th</w:t>
      </w:r>
      <w:r w:rsidR="003570F3" w:rsidRPr="00A401F5">
        <w:t xml:space="preserve"> FYP) with efficient implementation of the SEZ including having in place policies, regulations, and </w:t>
      </w:r>
      <w:r w:rsidR="004A7F5A" w:rsidRPr="00A401F5">
        <w:t xml:space="preserve">the necessary infrastructure fully in place for investors feel comfortable to invest. </w:t>
      </w:r>
    </w:p>
    <w:p w14:paraId="3A44C7ED" w14:textId="06EB3F6E" w:rsidR="007A2E03" w:rsidRDefault="00AE2AB8" w:rsidP="00A401F5">
      <w:pPr>
        <w:widowControl w:val="0"/>
        <w:autoSpaceDE w:val="0"/>
        <w:autoSpaceDN w:val="0"/>
        <w:adjustRightInd w:val="0"/>
        <w:spacing w:line="276" w:lineRule="auto"/>
      </w:pPr>
      <w:r w:rsidRPr="00A401F5">
        <w:t xml:space="preserve">This </w:t>
      </w:r>
      <w:r w:rsidR="004A7F5A" w:rsidRPr="00A401F5">
        <w:t>will provide much needed</w:t>
      </w:r>
      <w:r w:rsidRPr="00A401F5">
        <w:t xml:space="preserve"> time </w:t>
      </w:r>
      <w:r w:rsidR="004A7F5A" w:rsidRPr="00A401F5">
        <w:t xml:space="preserve">and space </w:t>
      </w:r>
      <w:r w:rsidRPr="00A401F5">
        <w:t>to undertake all the reforms discussed above relating to reducing cost of doing business across the country.  O</w:t>
      </w:r>
      <w:r w:rsidR="00274625" w:rsidRPr="00A401F5">
        <w:t>ver long term the focus should be to learn from SEZ experience and improve the investment climate and regulatory oversight throughout the country.</w:t>
      </w:r>
    </w:p>
    <w:p w14:paraId="4AA74552" w14:textId="77777777" w:rsidR="000A0879" w:rsidRDefault="000A0879" w:rsidP="00A401F5">
      <w:pPr>
        <w:widowControl w:val="0"/>
        <w:autoSpaceDE w:val="0"/>
        <w:autoSpaceDN w:val="0"/>
        <w:adjustRightInd w:val="0"/>
        <w:spacing w:line="276" w:lineRule="auto"/>
      </w:pPr>
    </w:p>
    <w:p w14:paraId="42B78E6A" w14:textId="01CAD497" w:rsidR="008C4135" w:rsidRPr="00CA66AF" w:rsidRDefault="008C4135" w:rsidP="00CA66AF">
      <w:pPr>
        <w:spacing w:line="276" w:lineRule="auto"/>
        <w:jc w:val="both"/>
      </w:pPr>
      <w:r w:rsidRPr="00CA66AF">
        <w:rPr>
          <w:b/>
          <w:i/>
        </w:rPr>
        <w:t>Land Acquisition Related Policies</w:t>
      </w:r>
      <w:r w:rsidR="003A3237" w:rsidRPr="00CA66AF">
        <w:rPr>
          <w:b/>
          <w:i/>
        </w:rPr>
        <w:t xml:space="preserve"> may be a challenge to setting up of SEZs</w:t>
      </w:r>
      <w:r w:rsidRPr="00CA66AF">
        <w:rPr>
          <w:b/>
          <w:i/>
        </w:rPr>
        <w:t>:</w:t>
      </w:r>
      <w:r w:rsidRPr="00CA66AF">
        <w:t xml:space="preserve">  Government’s declared policy of setting up of economic zones is likely to require land acquisition.  A very difficult issue is that related to land acquisition, which become necessary for development purpose and which also increases use of land</w:t>
      </w:r>
      <w:r w:rsidR="00CA66AF" w:rsidRPr="00CA66AF">
        <w:t xml:space="preserve"> for non-agriculture needs.  </w:t>
      </w:r>
      <w:r w:rsidRPr="00CA66AF">
        <w:t xml:space="preserve">Laws in Bangladesh do not distinguish between processes governing the acquisition of farmland and urban lands. While the Industrial Policy of Bangladesh addresses the potential conflicts emerging from uses of fertile farmland for industrial purposes, there are no effective mechanisms to ensure the application of the principles put forth in the policy. It creates a challenge when large footprint projects are to be implemented in green-field areas, industrial estates, special economic zones or export processing zones. The </w:t>
      </w:r>
      <w:r w:rsidR="00CA66AF" w:rsidRPr="00CA66AF">
        <w:t xml:space="preserve">legal </w:t>
      </w:r>
      <w:r w:rsidRPr="00CA66AF">
        <w:t xml:space="preserve">instrument for expropriating lands for public purposes is the </w:t>
      </w:r>
      <w:r w:rsidR="00CA66AF" w:rsidRPr="00CA66AF">
        <w:t>“</w:t>
      </w:r>
      <w:r w:rsidRPr="00CA66AF">
        <w:t>Land Acquisition and Requisition of Immovable Property Ordinance, 1982</w:t>
      </w:r>
      <w:r w:rsidR="00CA66AF" w:rsidRPr="00CA66AF">
        <w:t>”</w:t>
      </w:r>
      <w:r w:rsidRPr="00CA66AF">
        <w:t>. Besides, the resettlement policy of Bangladesh is not adequate. Therefore, policy that facilitates a comprehensive and modern technique of resettlement needs to be adopted in order to smoothen the process of acquiring land.  However, critical to even having a better land acquisition process will depend on having in place a well functioning transparent land market.</w:t>
      </w:r>
    </w:p>
    <w:p w14:paraId="1C4E9221" w14:textId="77777777" w:rsidR="008C4135" w:rsidRDefault="008C4135" w:rsidP="00A401F5">
      <w:pPr>
        <w:widowControl w:val="0"/>
        <w:autoSpaceDE w:val="0"/>
        <w:autoSpaceDN w:val="0"/>
        <w:adjustRightInd w:val="0"/>
        <w:spacing w:line="276" w:lineRule="auto"/>
      </w:pPr>
    </w:p>
    <w:p w14:paraId="6C542CF6" w14:textId="0608885C" w:rsidR="00E05A2D" w:rsidRPr="003E63D5" w:rsidRDefault="009B6A12" w:rsidP="00A401F5">
      <w:pPr>
        <w:widowControl w:val="0"/>
        <w:autoSpaceDE w:val="0"/>
        <w:autoSpaceDN w:val="0"/>
        <w:adjustRightInd w:val="0"/>
        <w:spacing w:line="276" w:lineRule="auto"/>
      </w:pPr>
      <w:r>
        <w:rPr>
          <w:b/>
        </w:rPr>
        <w:t>3</w:t>
      </w:r>
      <w:r w:rsidR="00883845">
        <w:rPr>
          <w:b/>
        </w:rPr>
        <w:t>.9</w:t>
      </w:r>
      <w:r w:rsidR="007C5B16" w:rsidRPr="00CA66AF">
        <w:rPr>
          <w:b/>
        </w:rPr>
        <w:t xml:space="preserve"> </w:t>
      </w:r>
      <w:r w:rsidR="007C5B16">
        <w:rPr>
          <w:b/>
        </w:rPr>
        <w:t>Improving</w:t>
      </w:r>
      <w:r w:rsidR="00E05A2D" w:rsidRPr="00CA66AF">
        <w:rPr>
          <w:b/>
        </w:rPr>
        <w:t xml:space="preserve"> Access to Credit </w:t>
      </w:r>
      <w:r w:rsidR="002D4550" w:rsidRPr="00CA66AF">
        <w:rPr>
          <w:b/>
        </w:rPr>
        <w:t>could raise investments in MSMEs</w:t>
      </w:r>
      <w:r w:rsidR="002D4550" w:rsidRPr="003E63D5">
        <w:rPr>
          <w:b/>
          <w:i/>
        </w:rPr>
        <w:t>.</w:t>
      </w:r>
    </w:p>
    <w:p w14:paraId="41D37196" w14:textId="77777777" w:rsidR="00963E12" w:rsidRPr="003E63D5" w:rsidRDefault="00963E12" w:rsidP="00A401F5">
      <w:pPr>
        <w:widowControl w:val="0"/>
        <w:autoSpaceDE w:val="0"/>
        <w:autoSpaceDN w:val="0"/>
        <w:adjustRightInd w:val="0"/>
        <w:spacing w:line="276" w:lineRule="auto"/>
      </w:pPr>
    </w:p>
    <w:p w14:paraId="3AD10D62" w14:textId="3173116D" w:rsidR="000D56DC" w:rsidRPr="003E63D5" w:rsidRDefault="00C034FD" w:rsidP="000D56DC">
      <w:pPr>
        <w:widowControl w:val="0"/>
        <w:autoSpaceDE w:val="0"/>
        <w:autoSpaceDN w:val="0"/>
        <w:adjustRightInd w:val="0"/>
        <w:spacing w:line="276" w:lineRule="auto"/>
      </w:pPr>
      <w:r w:rsidRPr="003E63D5">
        <w:t>International experience suggests that a part of the solution to the diversification of manufacturing production and exports, and to higher-income job creation outside agriculture and unorganized services lies in revamping and spurring the growth of micro and small and medium enterprises (MSME) in manufacturing and services.</w:t>
      </w:r>
      <w:r w:rsidR="000D56DC" w:rsidRPr="003E63D5">
        <w:t xml:space="preserve">  </w:t>
      </w:r>
      <w:r w:rsidR="000D56DC" w:rsidRPr="003E63D5">
        <w:rPr>
          <w:bCs/>
        </w:rPr>
        <w:t xml:space="preserve">In the World Bank’s Ease of Doing Business 2017’s ranking for ‘Getting Credit’, Bangladesh is ranked at 157, way behind Malaysia (20), Vietnam (32), and India </w:t>
      </w:r>
      <w:r w:rsidR="00300038" w:rsidRPr="003E63D5">
        <w:rPr>
          <w:bCs/>
        </w:rPr>
        <w:t>(44</w:t>
      </w:r>
      <w:r w:rsidR="000D56DC" w:rsidRPr="003E63D5">
        <w:rPr>
          <w:bCs/>
        </w:rPr>
        <w:t xml:space="preserve">).   </w:t>
      </w:r>
    </w:p>
    <w:p w14:paraId="2C987496" w14:textId="77777777" w:rsidR="000D56DC" w:rsidRPr="003E63D5" w:rsidRDefault="000D56DC" w:rsidP="000D56DC">
      <w:pPr>
        <w:pStyle w:val="Default"/>
        <w:spacing w:line="276" w:lineRule="auto"/>
        <w:jc w:val="both"/>
      </w:pPr>
    </w:p>
    <w:p w14:paraId="7EE35781" w14:textId="77777777" w:rsidR="002C3DAD" w:rsidRPr="0071425D" w:rsidRDefault="000D56DC" w:rsidP="002C3DAD">
      <w:pPr>
        <w:pStyle w:val="Default"/>
        <w:spacing w:line="276" w:lineRule="auto"/>
        <w:rPr>
          <w:color w:val="auto"/>
        </w:rPr>
      </w:pPr>
      <w:r w:rsidRPr="003E63D5">
        <w:t xml:space="preserve">Bangladesh MSME sector has not been growing as expected and the financial market is failing to cater fully to the needs of the MSMEs including among others access to finance. </w:t>
      </w:r>
      <w:r w:rsidR="00300038" w:rsidRPr="00300038">
        <w:t xml:space="preserve">While there are definitional problems, there is no doubt that however defined MSMEs are a substantial source of economic activity in Bangladesh. Yet, available evidence suggests they lack dynamism.  While there are many factors that constrain its performance, access to organized finance is a critical constraint. </w:t>
      </w:r>
      <w:r w:rsidR="002C3DAD" w:rsidRPr="00CA66AF">
        <w:rPr>
          <w:color w:val="auto"/>
        </w:rPr>
        <w:t>The main challenges faced by banks for financing MSMEs are poor quality of collateral, inadequate documentation, and improper business plans. With relatively high interest rates for SME lending, stringent collateral and guarantee requirements might be a critical barrier to SME access to finance. Banks, on their part, tend to be less flexible about the collateral requirement in the case of the SMEs as they perceive SME loan to be more risky and the cost of monitoring and supervision of small loans to be higher.  Banks also tend to hesitate to provide credit for new borrowers and in most cases business experience of 2 or more years is needed for SMEs to access bank credit.</w:t>
      </w:r>
    </w:p>
    <w:p w14:paraId="18305725" w14:textId="77777777" w:rsidR="00300038" w:rsidRDefault="00300038" w:rsidP="00300038">
      <w:pPr>
        <w:widowControl w:val="0"/>
        <w:autoSpaceDE w:val="0"/>
        <w:autoSpaceDN w:val="0"/>
        <w:adjustRightInd w:val="0"/>
        <w:spacing w:line="276" w:lineRule="auto"/>
      </w:pPr>
    </w:p>
    <w:p w14:paraId="46B0EF00" w14:textId="5C71F152" w:rsidR="002D47FB" w:rsidRDefault="002D47FB" w:rsidP="003245D4">
      <w:pPr>
        <w:pStyle w:val="Default"/>
        <w:spacing w:line="276" w:lineRule="auto"/>
        <w:jc w:val="both"/>
      </w:pPr>
      <w:r w:rsidRPr="003245D4">
        <w:t xml:space="preserve">In recognition of the financing constraint, the Government in recent years has focused considerable attention to MSME finances to boost its potential role.  Despite substantial expansion of microfinance and credit from banks, non-bank financial enterprises and specialized refinancing windows, total access to financial services is still low relative to the size and needs of the MSME sector, especially in the rural areas. </w:t>
      </w:r>
      <w:r w:rsidR="003245D4" w:rsidRPr="003245D4">
        <w:t>The high cost of financial products (including the cost of microfinance institutions (MFIs)’ products) has regularly been highlighted as a major hurdle in accessing financial services.</w:t>
      </w:r>
      <w:r w:rsidR="003245D4" w:rsidRPr="009F7382">
        <w:t xml:space="preserve"> </w:t>
      </w:r>
    </w:p>
    <w:p w14:paraId="231D634E" w14:textId="77777777" w:rsidR="002C3DAD" w:rsidRPr="00300038" w:rsidRDefault="002C3DAD" w:rsidP="00300038">
      <w:pPr>
        <w:widowControl w:val="0"/>
        <w:autoSpaceDE w:val="0"/>
        <w:autoSpaceDN w:val="0"/>
        <w:adjustRightInd w:val="0"/>
        <w:spacing w:line="276" w:lineRule="auto"/>
      </w:pPr>
    </w:p>
    <w:p w14:paraId="47FDA6FA" w14:textId="01B927BC" w:rsidR="00AE2E45" w:rsidRDefault="00300038" w:rsidP="00300038">
      <w:pPr>
        <w:widowControl w:val="0"/>
        <w:autoSpaceDE w:val="0"/>
        <w:autoSpaceDN w:val="0"/>
        <w:adjustRightInd w:val="0"/>
        <w:spacing w:line="276" w:lineRule="auto"/>
        <w:rPr>
          <w:b/>
          <w:bCs/>
          <w:sz w:val="18"/>
          <w:szCs w:val="18"/>
        </w:rPr>
      </w:pPr>
      <w:r w:rsidRPr="00300038">
        <w:rPr>
          <w:bCs/>
        </w:rPr>
        <w:t xml:space="preserve">Weak financial infrastructure is a key impediment to the development of the MSME financing ecosystem in Bangladesh. </w:t>
      </w:r>
      <w:r>
        <w:rPr>
          <w:bCs/>
        </w:rPr>
        <w:t xml:space="preserve"> </w:t>
      </w:r>
      <w:r w:rsidR="000D56DC" w:rsidRPr="003E63D5">
        <w:t xml:space="preserve">There are policy and regulatory constraints including the absence of start-up capital options, inadequate lending instruments that cater to various financial and risk management situations, high cost of doing business, and the dominance of fixed-asset based collateral requirements for SMEs. </w:t>
      </w:r>
      <w:r w:rsidR="00AE2E45" w:rsidRPr="003E63D5">
        <w:t xml:space="preserve"> </w:t>
      </w:r>
      <w:r w:rsidR="00AE2E45">
        <w:t xml:space="preserve">As evident from Table 4 above, the low rank for Bangladesh in getting credit access are its very </w:t>
      </w:r>
      <w:r w:rsidR="002063F9">
        <w:t xml:space="preserve">low </w:t>
      </w:r>
      <w:r w:rsidR="00AE2E45">
        <w:t>scores in</w:t>
      </w:r>
      <w:r w:rsidR="00AE2E45" w:rsidRPr="00FD20EE">
        <w:t xml:space="preserve"> </w:t>
      </w:r>
      <w:r w:rsidR="00AE2E45">
        <w:t xml:space="preserve">its </w:t>
      </w:r>
      <w:r w:rsidR="00AE2E45">
        <w:rPr>
          <w:bCs/>
        </w:rPr>
        <w:t>Depth of Credit I</w:t>
      </w:r>
      <w:r w:rsidR="00AE2E45" w:rsidRPr="00FD20EE">
        <w:rPr>
          <w:bCs/>
        </w:rPr>
        <w:t>nfo</w:t>
      </w:r>
      <w:r w:rsidR="00AE2E45">
        <w:rPr>
          <w:bCs/>
        </w:rPr>
        <w:t>rmation</w:t>
      </w:r>
      <w:r w:rsidR="00AE2E45" w:rsidRPr="00FD20EE">
        <w:rPr>
          <w:bCs/>
        </w:rPr>
        <w:t xml:space="preserve"> index (score of 0 com</w:t>
      </w:r>
      <w:r w:rsidR="00AE2E45">
        <w:rPr>
          <w:bCs/>
        </w:rPr>
        <w:t>pared to 8 for China,), Credit Registry C</w:t>
      </w:r>
      <w:r w:rsidR="00AE2E45" w:rsidRPr="00FD20EE">
        <w:rPr>
          <w:bCs/>
        </w:rPr>
        <w:t>overage (0.9% of adults versus 91</w:t>
      </w:r>
      <w:r w:rsidR="00AE2E45">
        <w:rPr>
          <w:bCs/>
        </w:rPr>
        <w:t>.9</w:t>
      </w:r>
      <w:r w:rsidR="00AE2E45" w:rsidRPr="00FD20EE">
        <w:rPr>
          <w:bCs/>
        </w:rPr>
        <w:t>% for China</w:t>
      </w:r>
      <w:r w:rsidR="00AE2E45">
        <w:rPr>
          <w:bCs/>
        </w:rPr>
        <w:t>), Credit Bureau C</w:t>
      </w:r>
      <w:r w:rsidR="00AE2E45" w:rsidRPr="00FD20EE">
        <w:rPr>
          <w:bCs/>
        </w:rPr>
        <w:t>overage (0 % of adults versus 21.3</w:t>
      </w:r>
      <w:r w:rsidR="00AE2E45">
        <w:rPr>
          <w:bCs/>
        </w:rPr>
        <w:t>% China</w:t>
      </w:r>
      <w:r w:rsidR="00AE2E45" w:rsidRPr="00FD20EE">
        <w:rPr>
          <w:bCs/>
        </w:rPr>
        <w:t>).</w:t>
      </w:r>
      <w:r w:rsidR="00AE2E45">
        <w:rPr>
          <w:b/>
          <w:bCs/>
          <w:sz w:val="18"/>
          <w:szCs w:val="18"/>
        </w:rPr>
        <w:t xml:space="preserve"> </w:t>
      </w:r>
      <w:r w:rsidR="003E63D5">
        <w:t xml:space="preserve">This is particularly challenging for MSME’s to access credit, as it </w:t>
      </w:r>
      <w:r w:rsidR="00AE2E45" w:rsidRPr="003E63D5">
        <w:rPr>
          <w:bCs/>
        </w:rPr>
        <w:t xml:space="preserve">limits the </w:t>
      </w:r>
      <w:r w:rsidR="003E63D5" w:rsidRPr="003E63D5">
        <w:rPr>
          <w:bCs/>
        </w:rPr>
        <w:t>availability</w:t>
      </w:r>
      <w:r w:rsidR="00AE2E45" w:rsidRPr="003E63D5">
        <w:rPr>
          <w:bCs/>
        </w:rPr>
        <w:t xml:space="preserve"> of credit</w:t>
      </w:r>
      <w:r w:rsidR="003E63D5">
        <w:rPr>
          <w:bCs/>
        </w:rPr>
        <w:t>,</w:t>
      </w:r>
      <w:r w:rsidR="00AE2E45" w:rsidRPr="003E63D5">
        <w:rPr>
          <w:bCs/>
        </w:rPr>
        <w:t xml:space="preserve"> particularly to </w:t>
      </w:r>
      <w:r w:rsidR="003E63D5">
        <w:rPr>
          <w:bCs/>
        </w:rPr>
        <w:t>its</w:t>
      </w:r>
      <w:r w:rsidR="00AE2E45" w:rsidRPr="003E63D5">
        <w:rPr>
          <w:bCs/>
        </w:rPr>
        <w:t xml:space="preserve"> small and low</w:t>
      </w:r>
      <w:r w:rsidR="003E63D5">
        <w:rPr>
          <w:bCs/>
        </w:rPr>
        <w:t>er end of the medium enterprise segments,</w:t>
      </w:r>
      <w:r w:rsidR="00AE2E45" w:rsidRPr="003E63D5">
        <w:rPr>
          <w:bCs/>
        </w:rPr>
        <w:t xml:space="preserve"> as they are unlikely to be in the credit bureau or credit registry coverage, thereb</w:t>
      </w:r>
      <w:r w:rsidR="003E63D5">
        <w:rPr>
          <w:bCs/>
        </w:rPr>
        <w:t xml:space="preserve">y raising the </w:t>
      </w:r>
      <w:r w:rsidR="00AE2E45" w:rsidRPr="003E63D5">
        <w:rPr>
          <w:bCs/>
        </w:rPr>
        <w:t xml:space="preserve">cost of lending </w:t>
      </w:r>
      <w:r w:rsidR="003E63D5">
        <w:rPr>
          <w:bCs/>
        </w:rPr>
        <w:t xml:space="preserve">to these enterprises thus </w:t>
      </w:r>
      <w:r w:rsidR="00AE2E45" w:rsidRPr="003E63D5">
        <w:rPr>
          <w:bCs/>
        </w:rPr>
        <w:t>reducing access</w:t>
      </w:r>
      <w:r w:rsidR="003E63D5">
        <w:rPr>
          <w:bCs/>
        </w:rPr>
        <w:t xml:space="preserve"> to credit</w:t>
      </w:r>
      <w:r w:rsidR="00AE2E45" w:rsidRPr="003E63D5">
        <w:rPr>
          <w:bCs/>
        </w:rPr>
        <w:t xml:space="preserve">.  Here lies a major regulatory challenge of setting Registry so that </w:t>
      </w:r>
      <w:r w:rsidR="003E63D5" w:rsidRPr="003E63D5">
        <w:rPr>
          <w:bCs/>
        </w:rPr>
        <w:t>need for providing physical collateral would diminish for smaller sized loans.</w:t>
      </w:r>
      <w:r w:rsidR="003E63D5">
        <w:rPr>
          <w:b/>
          <w:bCs/>
          <w:sz w:val="18"/>
          <w:szCs w:val="18"/>
        </w:rPr>
        <w:t xml:space="preserve"> </w:t>
      </w:r>
    </w:p>
    <w:p w14:paraId="7DA3B68C" w14:textId="77777777" w:rsidR="00F56935" w:rsidRDefault="00F56935" w:rsidP="00300038">
      <w:pPr>
        <w:widowControl w:val="0"/>
        <w:autoSpaceDE w:val="0"/>
        <w:autoSpaceDN w:val="0"/>
        <w:adjustRightInd w:val="0"/>
        <w:spacing w:line="276" w:lineRule="auto"/>
        <w:rPr>
          <w:b/>
          <w:bCs/>
          <w:sz w:val="18"/>
          <w:szCs w:val="18"/>
        </w:rPr>
      </w:pPr>
    </w:p>
    <w:p w14:paraId="42638CD0" w14:textId="26B4DFBF" w:rsidR="002C3DAD" w:rsidRPr="00C30AD1" w:rsidRDefault="002C3DAD" w:rsidP="002C3DAD">
      <w:pPr>
        <w:autoSpaceDE w:val="0"/>
        <w:autoSpaceDN w:val="0"/>
        <w:adjustRightInd w:val="0"/>
        <w:spacing w:line="276" w:lineRule="auto"/>
        <w:jc w:val="both"/>
      </w:pPr>
      <w:r w:rsidRPr="002C3DAD">
        <w:t>Within the MSME sector, startups with limited operating histories face particularly challenging environment in accessing financing.  Startups have the potential to create jobs in emerging and innovative industries if they can obtain the funds they need to grow.  Due to institutional factors, banks are not well positioned to address their financial needs.  However, entities such as seed funds, angel investors, venture capitalists, accelerators and growth equity firms can play this role.  The pre-bank startup-financing ecosystem in Bangladesh is nonetheless, nascent, with a limited number of formal investors focusing on startups.</w:t>
      </w:r>
      <w:r w:rsidRPr="00C30AD1">
        <w:t xml:space="preserve">  </w:t>
      </w:r>
    </w:p>
    <w:p w14:paraId="239C688C" w14:textId="77777777" w:rsidR="002C3DAD" w:rsidRDefault="002C3DAD" w:rsidP="00300038">
      <w:pPr>
        <w:widowControl w:val="0"/>
        <w:autoSpaceDE w:val="0"/>
        <w:autoSpaceDN w:val="0"/>
        <w:adjustRightInd w:val="0"/>
        <w:spacing w:line="276" w:lineRule="auto"/>
        <w:rPr>
          <w:b/>
          <w:bCs/>
          <w:sz w:val="18"/>
          <w:szCs w:val="18"/>
        </w:rPr>
      </w:pPr>
    </w:p>
    <w:p w14:paraId="0C9F1864" w14:textId="6989EAE0" w:rsidR="00F56935" w:rsidRPr="00F56935" w:rsidRDefault="00F56935" w:rsidP="00F56935">
      <w:pPr>
        <w:widowControl w:val="0"/>
        <w:autoSpaceDE w:val="0"/>
        <w:autoSpaceDN w:val="0"/>
        <w:adjustRightInd w:val="0"/>
        <w:spacing w:line="276" w:lineRule="auto"/>
        <w:rPr>
          <w:highlight w:val="yellow"/>
        </w:rPr>
      </w:pPr>
      <w:r w:rsidRPr="00F56935">
        <w:rPr>
          <w:bCs/>
        </w:rPr>
        <w:t>One issue that becomes apparent is that there needs to be reduction in costs of delivery of financial services in order to increase accessibility of those not</w:t>
      </w:r>
      <w:r>
        <w:rPr>
          <w:bCs/>
        </w:rPr>
        <w:t xml:space="preserve"> </w:t>
      </w:r>
      <w:r w:rsidRPr="00F56935">
        <w:rPr>
          <w:bCs/>
        </w:rPr>
        <w:t xml:space="preserve">being served by the formal financial system.  One solution is increased use of technology in providing financial services through what is known as Fintech solutions.  Bangladesh has entered in a limited way through opening up mobile </w:t>
      </w:r>
      <w:r w:rsidR="002C3DAD" w:rsidRPr="00F56935">
        <w:rPr>
          <w:bCs/>
        </w:rPr>
        <w:t>financial</w:t>
      </w:r>
      <w:r w:rsidRPr="00F56935">
        <w:rPr>
          <w:bCs/>
        </w:rPr>
        <w:t xml:space="preserve"> services (MFS), but more dynamic policies and regulatory </w:t>
      </w:r>
      <w:r w:rsidR="002C3DAD" w:rsidRPr="00F56935">
        <w:rPr>
          <w:bCs/>
        </w:rPr>
        <w:t>reforms needs</w:t>
      </w:r>
      <w:r w:rsidRPr="00F56935">
        <w:rPr>
          <w:bCs/>
        </w:rPr>
        <w:t xml:space="preserve"> to be undertaken so that Bangladesh can keep up with the technology revolution.  </w:t>
      </w:r>
    </w:p>
    <w:p w14:paraId="7D11733D" w14:textId="77777777" w:rsidR="00963E12" w:rsidRPr="00A401F5" w:rsidRDefault="00963E12" w:rsidP="00A401F5">
      <w:pPr>
        <w:widowControl w:val="0"/>
        <w:autoSpaceDE w:val="0"/>
        <w:autoSpaceDN w:val="0"/>
        <w:adjustRightInd w:val="0"/>
        <w:spacing w:line="276" w:lineRule="auto"/>
      </w:pPr>
    </w:p>
    <w:p w14:paraId="4C76B7BE" w14:textId="6131D5AB" w:rsidR="003D3936" w:rsidRDefault="009B6A12" w:rsidP="00C7290B">
      <w:pPr>
        <w:spacing w:line="276" w:lineRule="auto"/>
        <w:rPr>
          <w:color w:val="0000FF"/>
        </w:rPr>
      </w:pPr>
      <w:r>
        <w:rPr>
          <w:b/>
        </w:rPr>
        <w:t>3</w:t>
      </w:r>
      <w:r w:rsidR="00883845">
        <w:rPr>
          <w:b/>
        </w:rPr>
        <w:t>.10</w:t>
      </w:r>
      <w:r w:rsidR="00EC00A0" w:rsidRPr="006416BF">
        <w:rPr>
          <w:b/>
        </w:rPr>
        <w:t xml:space="preserve"> </w:t>
      </w:r>
      <w:r w:rsidR="00EC00A0">
        <w:rPr>
          <w:b/>
        </w:rPr>
        <w:t>Institutional</w:t>
      </w:r>
      <w:r w:rsidR="00B80B8B" w:rsidRPr="006416BF">
        <w:rPr>
          <w:b/>
        </w:rPr>
        <w:t>, Regulatory structures affecting busine</w:t>
      </w:r>
      <w:r w:rsidR="006416BF" w:rsidRPr="006416BF">
        <w:rPr>
          <w:b/>
        </w:rPr>
        <w:t xml:space="preserve">ss environment – the role </w:t>
      </w:r>
      <w:r w:rsidR="00C82EF7">
        <w:rPr>
          <w:b/>
        </w:rPr>
        <w:t>Bangladesh Investment Development Authority (</w:t>
      </w:r>
      <w:r w:rsidR="006416BF" w:rsidRPr="006416BF">
        <w:rPr>
          <w:b/>
        </w:rPr>
        <w:t>BIDA</w:t>
      </w:r>
      <w:r w:rsidR="00C82EF7">
        <w:rPr>
          <w:b/>
        </w:rPr>
        <w:t>)</w:t>
      </w:r>
      <w:r w:rsidR="006416BF" w:rsidRPr="006416BF">
        <w:rPr>
          <w:b/>
        </w:rPr>
        <w:t xml:space="preserve">, and </w:t>
      </w:r>
      <w:r w:rsidR="00C82EF7">
        <w:rPr>
          <w:b/>
        </w:rPr>
        <w:t>Bangladesh Economic Zones Authority (</w:t>
      </w:r>
      <w:r w:rsidR="00B80B8B" w:rsidRPr="006416BF">
        <w:rPr>
          <w:b/>
        </w:rPr>
        <w:t>BEZA</w:t>
      </w:r>
      <w:r w:rsidR="00C82EF7">
        <w:rPr>
          <w:b/>
        </w:rPr>
        <w:t>)</w:t>
      </w:r>
      <w:r w:rsidR="006416BF" w:rsidRPr="006416BF">
        <w:rPr>
          <w:b/>
        </w:rPr>
        <w:t>.</w:t>
      </w:r>
      <w:r w:rsidR="00B80B8B" w:rsidRPr="00274625">
        <w:rPr>
          <w:i/>
          <w:color w:val="0000FF"/>
        </w:rPr>
        <w:t xml:space="preserve"> </w:t>
      </w:r>
      <w:r w:rsidR="006416BF">
        <w:rPr>
          <w:color w:val="0000FF"/>
        </w:rPr>
        <w:t xml:space="preserve"> </w:t>
      </w:r>
    </w:p>
    <w:p w14:paraId="538D9EDE" w14:textId="77777777" w:rsidR="003D3936" w:rsidRDefault="003D3936" w:rsidP="00C7290B">
      <w:pPr>
        <w:spacing w:line="276" w:lineRule="auto"/>
        <w:rPr>
          <w:color w:val="0000FF"/>
        </w:rPr>
      </w:pPr>
    </w:p>
    <w:p w14:paraId="5E7E2E75" w14:textId="13968235" w:rsidR="00B80B8B" w:rsidRPr="006416BF" w:rsidRDefault="00B80B8B" w:rsidP="00F56793">
      <w:pPr>
        <w:spacing w:line="276" w:lineRule="auto"/>
        <w:ind w:right="-180"/>
        <w:rPr>
          <w:color w:val="0000FF"/>
        </w:rPr>
      </w:pPr>
      <w:r w:rsidRPr="00C7290B">
        <w:t xml:space="preserve">A host of public and private institutions and agencies in Bangladesh are </w:t>
      </w:r>
      <w:r w:rsidR="00175040">
        <w:t>involved with</w:t>
      </w:r>
      <w:r w:rsidRPr="00C7290B">
        <w:t xml:space="preserve"> the business related regulatory environment and the investment climate in which manufacturing enterprises operate.  It is apparent from the review of DB and the GCI indicators that there needs to be changes/reforms in a number of areas and institutions.  One of the critical challenges that business faces is the time it takes to get electric connections. There </w:t>
      </w:r>
      <w:r w:rsidR="007C5B16" w:rsidRPr="00C7290B">
        <w:t>have been efforts</w:t>
      </w:r>
      <w:r w:rsidR="007C5B16">
        <w:t xml:space="preserve"> to increase</w:t>
      </w:r>
      <w:r w:rsidRPr="00C7290B">
        <w:t xml:space="preserve"> electricity generation but there</w:t>
      </w:r>
      <w:r w:rsidR="007C5B16">
        <w:t xml:space="preserve"> are</w:t>
      </w:r>
      <w:r w:rsidRPr="00C7290B">
        <w:t xml:space="preserve"> gaps in transmission and distribution needs.  It is particularly important to note there are three areas where there has </w:t>
      </w:r>
      <w:r w:rsidR="007C5B16">
        <w:t xml:space="preserve">been </w:t>
      </w:r>
      <w:r w:rsidRPr="00C7290B">
        <w:t xml:space="preserve">deterioration of Bangladesh’s position </w:t>
      </w:r>
      <w:r w:rsidR="007C5B16" w:rsidRPr="007C5B16">
        <w:t>(Figure 17</w:t>
      </w:r>
      <w:r w:rsidRPr="007C5B16">
        <w:t xml:space="preserve"> above).</w:t>
      </w:r>
    </w:p>
    <w:p w14:paraId="29C916D9" w14:textId="77777777" w:rsidR="00B80B8B" w:rsidRPr="00C7290B" w:rsidRDefault="00B80B8B" w:rsidP="00C7290B">
      <w:pPr>
        <w:spacing w:line="276" w:lineRule="auto"/>
      </w:pPr>
    </w:p>
    <w:p w14:paraId="2DDDA3F4" w14:textId="77777777" w:rsidR="00C7290B" w:rsidRPr="00C7290B" w:rsidRDefault="00B80B8B" w:rsidP="00C7290B">
      <w:pPr>
        <w:spacing w:line="276" w:lineRule="auto"/>
      </w:pPr>
      <w:r w:rsidRPr="00C7290B">
        <w:t xml:space="preserve">The business regulatory environment is impacted by a complex institutional structure comprising multiple Ministries and Department’s and agencies under them.  While focus of all Ministries is on development of the country, they are stuck by their individual goals and strategies, which may not be supportive of each other’s goals.  For example while Ministry of Commerce is supposed to in charge of ensuring a more business friendly trading environment, it is the national Board of Revenue (NBR) under ministry of Finance which has final say on setting tariffs, though </w:t>
      </w:r>
      <w:r w:rsidRPr="00C7290B">
        <w:rPr>
          <w:i/>
        </w:rPr>
        <w:t>de jure</w:t>
      </w:r>
      <w:r w:rsidRPr="00C7290B">
        <w:t xml:space="preserve"> the Tariff Commission under Ministry of Commerce is supposed to be key player in this.  The NBR is driven by its strategy of meeting revenue targets which many a times runs counter to the Ministry of Commerce’s goal of trade promotion and trade facilitation.  There is then the Ministry of Industries with many of the regulatory bodies affecting manufacturing working under it.   These include agencies bike boiler inspection, BSTI.  The issue is Ministry of Industries (MoI) is also in charge of some of the public sector manufacturing units (SOEs) like Fertilizer and Steel products.   A lot of the decisions of MoI are driven by their focus on SOEs, which may not be amicable for private industry.  The complexity within manufacturing further increases because for Jute and Textiles there is a separate Ministry and for pharmaceuticals it is the Ministry of Health. </w:t>
      </w:r>
    </w:p>
    <w:p w14:paraId="11FA0B11" w14:textId="77777777" w:rsidR="00C7290B" w:rsidRPr="00C7290B" w:rsidRDefault="00C7290B" w:rsidP="00C7290B">
      <w:pPr>
        <w:spacing w:line="276" w:lineRule="auto"/>
      </w:pPr>
    </w:p>
    <w:p w14:paraId="227E3C3B" w14:textId="40874D0A" w:rsidR="00B80B8B" w:rsidRPr="00C7290B" w:rsidRDefault="00B80B8B" w:rsidP="00C7290B">
      <w:pPr>
        <w:spacing w:line="276" w:lineRule="auto"/>
      </w:pPr>
      <w:r w:rsidRPr="00C7290B">
        <w:t>While different sectors within manufacturing may have different special regulatory needs</w:t>
      </w:r>
      <w:r w:rsidR="00C7290B" w:rsidRPr="00C7290B">
        <w:t>, the</w:t>
      </w:r>
      <w:r w:rsidRPr="00C7290B">
        <w:t xml:space="preserve"> overall business regulatory needs are same for all industry.  The structural problem that Bangladesh has been facing is that there is no exclusive Ministry for private industry.  All these Ministries have agencies/corporations under them that continue to be in business.  The Ministries are much more driven by policy and institutional support to protect the SOEs under them.  Even beyond policies, the Ministries sometimes play the role of regulator.  This is a problem as it fails to separate policy making from regulations and service delivery.   In the case of telecommunication sector this had happened and we saw strong FDI flow into this sector. </w:t>
      </w:r>
    </w:p>
    <w:p w14:paraId="5FD95C27" w14:textId="77777777" w:rsidR="00B80B8B" w:rsidRPr="00C7290B" w:rsidRDefault="00B80B8B" w:rsidP="00C7290B">
      <w:pPr>
        <w:spacing w:line="276" w:lineRule="auto"/>
      </w:pPr>
    </w:p>
    <w:p w14:paraId="30B13144" w14:textId="77777777" w:rsidR="00B80B8B" w:rsidRPr="00C7290B" w:rsidRDefault="00B80B8B" w:rsidP="00C7290B">
      <w:pPr>
        <w:spacing w:line="276" w:lineRule="auto"/>
      </w:pPr>
      <w:r w:rsidRPr="00C7290B">
        <w:t>Given the difficulty with the multiplicity of institutions that in some way linked to business environment through both policy and regulatory interface and its impact on private investments, the government has in more recent times have set up some institutions to promote and facilitate private investments.  Among them, two of the institutions are important as they are directly working to reduce cost of doing business and reducing regulatory hassles.  These two institutions are Bangladesh Investment Development Authority (BIDA) and the Bangladesh Special Economic Zones Authority (BEZA).  Both these institutions are under the administrative control of the Prime Ministers Office, with their governing Boards chaired by the Honorable Prime Minister.</w:t>
      </w:r>
    </w:p>
    <w:p w14:paraId="18BBC32A" w14:textId="77777777" w:rsidR="00B80B8B" w:rsidRPr="00C7290B" w:rsidRDefault="00B80B8B" w:rsidP="00C7290B">
      <w:pPr>
        <w:spacing w:line="276" w:lineRule="auto"/>
      </w:pPr>
    </w:p>
    <w:p w14:paraId="789F4E8B" w14:textId="77777777" w:rsidR="00342E2C" w:rsidRPr="00C7290B" w:rsidRDefault="00F13FB5" w:rsidP="00C7290B">
      <w:pPr>
        <w:spacing w:line="276" w:lineRule="auto"/>
      </w:pPr>
      <w:r w:rsidRPr="00C7290B">
        <w:rPr>
          <w:b/>
          <w:i/>
        </w:rPr>
        <w:t xml:space="preserve">Bangladesh Investment Development Authority (BIDA). </w:t>
      </w:r>
      <w:r w:rsidR="00B80B8B" w:rsidRPr="00C7290B">
        <w:t xml:space="preserve">Bangladesh Government formed BIDA by amalgamating the former Board of Investment (BOI) and the Privatization Commission.  This has institutionally strengthened BIDA because besides undertaking steps to simplify different procedural steps for business registration and other tasks along with promotional work for bringing in new investments, it also now has assets of SOEs that it inherited from the PC.  These assets sit on valuable land, which is identified as a key constraint.  </w:t>
      </w:r>
    </w:p>
    <w:p w14:paraId="0079DC6F" w14:textId="77777777" w:rsidR="00342E2C" w:rsidRPr="00C7290B" w:rsidRDefault="00342E2C" w:rsidP="00C7290B">
      <w:pPr>
        <w:spacing w:line="276" w:lineRule="auto"/>
      </w:pPr>
    </w:p>
    <w:p w14:paraId="55F02BDA" w14:textId="677F784E" w:rsidR="00C7290B" w:rsidRPr="00C7290B" w:rsidRDefault="00B80B8B" w:rsidP="00C7290B">
      <w:pPr>
        <w:spacing w:line="276" w:lineRule="auto"/>
      </w:pPr>
      <w:r w:rsidRPr="00C7290B">
        <w:t>BIDA has taken on itself the very important task of moving forward the necessary regulatory reforms that will help bring transparency while it also embarked on making institutional changes backed by an Act to provide one-stop service to investors.</w:t>
      </w:r>
      <w:r w:rsidR="00F13FB5" w:rsidRPr="00C7290B">
        <w:t xml:space="preserve"> BIDA being the nodal agency for promoting investments in the country will have to undertake the coordinating role of working with Ministries to ensure that the one-stop service window works.  </w:t>
      </w:r>
      <w:r w:rsidR="00C7290B" w:rsidRPr="00C7290B">
        <w:t>BIDA is the agency for leading and coordinating the process of bringing in necessary regulatory and institutional reforms that will reduce cost of doing business in Bangladesh.  BIDA has already embarked on the task im</w:t>
      </w:r>
      <w:r w:rsidR="00851E6C">
        <w:t xml:space="preserve">proving Bangladesh’s DB ranking and come into par with competing countries. </w:t>
      </w:r>
      <w:r w:rsidR="00C7290B" w:rsidRPr="00C7290B">
        <w:t>This is a laudable goal and should be pursued in coordination with the concerned Ministries and agencies.</w:t>
      </w:r>
    </w:p>
    <w:p w14:paraId="1D04C3A8" w14:textId="77777777" w:rsidR="00C7290B" w:rsidRPr="00C7290B" w:rsidRDefault="00C7290B" w:rsidP="00C7290B">
      <w:pPr>
        <w:spacing w:line="276" w:lineRule="auto"/>
      </w:pPr>
    </w:p>
    <w:p w14:paraId="763AE457" w14:textId="75490096" w:rsidR="00B80B8B" w:rsidRPr="00C7290B" w:rsidRDefault="00F13FB5" w:rsidP="00862E9B">
      <w:pPr>
        <w:spacing w:line="276" w:lineRule="auto"/>
      </w:pPr>
      <w:r w:rsidRPr="00C7290B">
        <w:t xml:space="preserve">This task will get easier if adequate infrastructure supply is available to meet demand.  </w:t>
      </w:r>
      <w:r w:rsidR="00C7290B" w:rsidRPr="00C7290B">
        <w:t xml:space="preserve">Improving infrastructure supply like power, energy, road and rail communications, ports will help raise GCI rankings.  </w:t>
      </w:r>
      <w:r w:rsidRPr="00C7290B">
        <w:t xml:space="preserve">Here BIDA as support to the Government Ministries can provide promotional role of getting more private sector investments through PPPs and IPPs in energy supply, power generation and transmission, ports and logistics, express toll-road construction.  BIDA could be the institutional link </w:t>
      </w:r>
      <w:r w:rsidR="00840B53" w:rsidRPr="00C7290B">
        <w:t xml:space="preserve">between the Ministries and PPP office.  An important task the BIDA can perform is working with Land and Law Ministries in getting digitization of all land related records and processing, along with working out a zoning system across the country to clearly delineate land for agriculture, forestry, fisheries, industry, infrastructure and urban needs.  This alone could unbundle lot of the hassles allow entrepreneurs to take informed investment decisions. </w:t>
      </w:r>
    </w:p>
    <w:p w14:paraId="60F1C904" w14:textId="77777777" w:rsidR="00117502" w:rsidRPr="00C7290B" w:rsidRDefault="00117502" w:rsidP="00862E9B">
      <w:pPr>
        <w:spacing w:line="276" w:lineRule="auto"/>
      </w:pPr>
    </w:p>
    <w:p w14:paraId="6DE1B036" w14:textId="77777777" w:rsidR="0042168E" w:rsidRDefault="00117502" w:rsidP="00862E9B">
      <w:pPr>
        <w:widowControl w:val="0"/>
        <w:autoSpaceDE w:val="0"/>
        <w:autoSpaceDN w:val="0"/>
        <w:adjustRightInd w:val="0"/>
        <w:spacing w:after="240" w:line="276" w:lineRule="auto"/>
      </w:pPr>
      <w:r w:rsidRPr="00C7290B">
        <w:t xml:space="preserve">BIDA has closed SOEs in its portfolio, which needs to be transformed into productive assets.  BIDA could learn from BEPZA’s success in converting lossmaking SOE’s into successful EPZs in </w:t>
      </w:r>
      <w:r w:rsidR="00342E2C" w:rsidRPr="00C7290B">
        <w:t xml:space="preserve">a </w:t>
      </w:r>
      <w:r w:rsidRPr="00C7290B">
        <w:t>short</w:t>
      </w:r>
      <w:r w:rsidR="00342E2C" w:rsidRPr="00C7290B">
        <w:t xml:space="preserve"> period of</w:t>
      </w:r>
      <w:r w:rsidRPr="00C7290B">
        <w:t xml:space="preserve"> time</w:t>
      </w:r>
      <w:r w:rsidR="00342E2C" w:rsidRPr="00C7290B">
        <w:t>.</w:t>
      </w:r>
      <w:r w:rsidR="00342E2C" w:rsidRPr="00C7290B">
        <w:rPr>
          <w:b/>
          <w:i/>
        </w:rPr>
        <w:t xml:space="preserve"> </w:t>
      </w:r>
      <w:r w:rsidRPr="00C7290B">
        <w:t xml:space="preserve">Government </w:t>
      </w:r>
      <w:r w:rsidR="00342E2C" w:rsidRPr="00C7290B">
        <w:t xml:space="preserve">had </w:t>
      </w:r>
      <w:r w:rsidRPr="00C7290B">
        <w:t xml:space="preserve">handed over </w:t>
      </w:r>
      <w:proofErr w:type="gramStart"/>
      <w:r w:rsidRPr="00C7290B">
        <w:t>two loss</w:t>
      </w:r>
      <w:proofErr w:type="gramEnd"/>
      <w:r w:rsidRPr="00C7290B">
        <w:t xml:space="preserve"> making closed State Owned Enterprises (</w:t>
      </w:r>
      <w:proofErr w:type="spellStart"/>
      <w:r w:rsidRPr="00C7290B">
        <w:t>Adamjee</w:t>
      </w:r>
      <w:proofErr w:type="spellEnd"/>
      <w:r w:rsidRPr="00C7290B">
        <w:t xml:space="preserve"> Jute mills and the Chittagong Steel mills) to BEPZA to convert to EPZs.  BEPZA quickly moved in and set up the </w:t>
      </w:r>
      <w:proofErr w:type="spellStart"/>
      <w:r w:rsidRPr="00C7290B">
        <w:t>Adamjee</w:t>
      </w:r>
      <w:proofErr w:type="spellEnd"/>
      <w:r w:rsidRPr="00C7290B">
        <w:t xml:space="preserve"> EPZ and </w:t>
      </w:r>
      <w:proofErr w:type="spellStart"/>
      <w:r w:rsidRPr="00C7290B">
        <w:t>Karnapuly</w:t>
      </w:r>
      <w:proofErr w:type="spellEnd"/>
      <w:r w:rsidRPr="00C7290B">
        <w:t xml:space="preserve"> EPZ.  When </w:t>
      </w:r>
      <w:proofErr w:type="spellStart"/>
      <w:r w:rsidRPr="00C7290B">
        <w:t>Adamjee</w:t>
      </w:r>
      <w:proofErr w:type="spellEnd"/>
      <w:r w:rsidRPr="00C7290B">
        <w:t xml:space="preserve"> was closed it was making annual loss of over Taka 100 crore each year and it had 25,000 permanent/temporarily employed.  Besides, both the SOEs had huge debt with</w:t>
      </w:r>
      <w:r w:rsidR="00342E2C" w:rsidRPr="00C7290B">
        <w:t xml:space="preserve"> </w:t>
      </w:r>
      <w:r w:rsidRPr="00C7290B">
        <w:t xml:space="preserve">the state owned banks and the power company (PDB).  </w:t>
      </w:r>
    </w:p>
    <w:p w14:paraId="4616D299" w14:textId="0631F1F2" w:rsidR="00ED743C" w:rsidRDefault="00117502" w:rsidP="00862E9B">
      <w:pPr>
        <w:widowControl w:val="0"/>
        <w:autoSpaceDE w:val="0"/>
        <w:autoSpaceDN w:val="0"/>
        <w:adjustRightInd w:val="0"/>
        <w:spacing w:after="240" w:line="276" w:lineRule="auto"/>
      </w:pPr>
      <w:r w:rsidRPr="00C7290B">
        <w:t xml:space="preserve">Today </w:t>
      </w:r>
      <w:proofErr w:type="spellStart"/>
      <w:r w:rsidRPr="00C7290B">
        <w:t>Adamjee</w:t>
      </w:r>
      <w:proofErr w:type="spellEnd"/>
      <w:r w:rsidRPr="00C7290B">
        <w:t xml:space="preserve"> EPZ has </w:t>
      </w:r>
      <w:r w:rsidRPr="00862E9B">
        <w:t>61</w:t>
      </w:r>
      <w:r w:rsidRPr="00C7290B">
        <w:t xml:space="preserve"> </w:t>
      </w:r>
      <w:r w:rsidR="00862E9B">
        <w:t xml:space="preserve">foreign and domestic owned </w:t>
      </w:r>
      <w:r w:rsidRPr="00C7290B">
        <w:t xml:space="preserve">private export oriented enterprises.  It has </w:t>
      </w:r>
      <w:r w:rsidR="00862E9B">
        <w:t>51,114</w:t>
      </w:r>
      <w:r w:rsidRPr="00C7290B">
        <w:t xml:space="preserve"> </w:t>
      </w:r>
      <w:r w:rsidR="00ED743C" w:rsidRPr="00ED743C">
        <w:rPr>
          <w:i/>
        </w:rPr>
        <w:t>(expected to go over 100,000 once all the enterprise construction is complete),</w:t>
      </w:r>
      <w:r w:rsidR="00ED743C" w:rsidRPr="00C7290B">
        <w:t xml:space="preserve"> </w:t>
      </w:r>
      <w:r w:rsidRPr="00C7290B">
        <w:t xml:space="preserve">direct employments as of </w:t>
      </w:r>
      <w:r w:rsidR="00ED743C">
        <w:t>December 2016; and during</w:t>
      </w:r>
      <w:r w:rsidRPr="00C7290B">
        <w:t xml:space="preserve"> </w:t>
      </w:r>
      <w:r w:rsidR="00862E9B" w:rsidRPr="00ED743C">
        <w:t>FY 16 exp</w:t>
      </w:r>
      <w:r w:rsidR="00FC479A" w:rsidRPr="00ED743C">
        <w:t>o</w:t>
      </w:r>
      <w:r w:rsidR="00862E9B" w:rsidRPr="00ED743C">
        <w:t xml:space="preserve">rted </w:t>
      </w:r>
      <w:r w:rsidR="00FC479A" w:rsidRPr="00ED743C">
        <w:t xml:space="preserve">goods worth US$ 563 Million </w:t>
      </w:r>
      <w:r w:rsidR="00ED743C">
        <w:rPr>
          <w:i/>
        </w:rPr>
        <w:t>(expected to go over US$</w:t>
      </w:r>
      <w:r w:rsidR="00FC479A" w:rsidRPr="00ED743C">
        <w:rPr>
          <w:i/>
        </w:rPr>
        <w:t xml:space="preserve"> 1 billion annually once all the enterprises are fully constructed</w:t>
      </w:r>
      <w:r w:rsidR="00FC479A" w:rsidRPr="00ED743C">
        <w:t>)</w:t>
      </w:r>
      <w:r w:rsidR="00ED743C" w:rsidRPr="00ED743C">
        <w:t>, with</w:t>
      </w:r>
      <w:r w:rsidR="00FC479A" w:rsidRPr="00ED743C">
        <w:t xml:space="preserve"> cumulative exports since its inception, i.e. FY 06 to FY 16, reaching US$ 2.25 billion. </w:t>
      </w:r>
    </w:p>
    <w:p w14:paraId="1CE8C47C" w14:textId="203739B4" w:rsidR="00B80B8B" w:rsidRPr="00C7290B" w:rsidRDefault="00117502" w:rsidP="00851E6C">
      <w:pPr>
        <w:widowControl w:val="0"/>
        <w:autoSpaceDE w:val="0"/>
        <w:autoSpaceDN w:val="0"/>
        <w:adjustRightInd w:val="0"/>
        <w:spacing w:after="240" w:line="276" w:lineRule="auto"/>
      </w:pPr>
      <w:r w:rsidRPr="00C7290B">
        <w:t xml:space="preserve">There is an even better story in the case of Karnaphuly EPZ (formerly Chittagong Steel Mills) where </w:t>
      </w:r>
      <w:r w:rsidR="00ED743C" w:rsidRPr="00ED743C">
        <w:t>53</w:t>
      </w:r>
      <w:r w:rsidRPr="00ED743C">
        <w:t xml:space="preserve"> enterprises</w:t>
      </w:r>
      <w:r w:rsidR="00ED743C">
        <w:t xml:space="preserve"> are operating with employment reaching 66,731 as of December 2016</w:t>
      </w:r>
      <w:r w:rsidRPr="00C7290B">
        <w:t xml:space="preserve"> </w:t>
      </w:r>
      <w:r w:rsidRPr="00ED743C">
        <w:rPr>
          <w:i/>
        </w:rPr>
        <w:t>(expected to go over 100,000 once all the enter</w:t>
      </w:r>
      <w:r w:rsidR="00ED743C" w:rsidRPr="00ED743C">
        <w:rPr>
          <w:i/>
        </w:rPr>
        <w:t>prise construction is complete)</w:t>
      </w:r>
      <w:r w:rsidR="00ED743C">
        <w:t>; and during</w:t>
      </w:r>
      <w:r w:rsidR="00ED743C" w:rsidRPr="00C7290B">
        <w:t xml:space="preserve"> </w:t>
      </w:r>
      <w:r w:rsidR="00ED743C" w:rsidRPr="00ED743C">
        <w:t xml:space="preserve">FY 16 exported </w:t>
      </w:r>
      <w:r w:rsidR="00ED743C">
        <w:t>goods worth US$ 823</w:t>
      </w:r>
      <w:r w:rsidR="00ED743C" w:rsidRPr="00ED743C">
        <w:t xml:space="preserve"> Million </w:t>
      </w:r>
      <w:r w:rsidR="00ED743C">
        <w:rPr>
          <w:i/>
        </w:rPr>
        <w:t>(expected to go over US$</w:t>
      </w:r>
      <w:r w:rsidR="00ED743C" w:rsidRPr="00ED743C">
        <w:rPr>
          <w:i/>
        </w:rPr>
        <w:t xml:space="preserve"> 1 billion annually once all the enterprises are fully constructed</w:t>
      </w:r>
      <w:r w:rsidR="00ED743C" w:rsidRPr="00ED743C">
        <w:t>), with cumulative exports since its inception, i.e. F</w:t>
      </w:r>
      <w:r w:rsidR="0042168E">
        <w:t>Y 08 to FY 16, reaching US$ 2.93</w:t>
      </w:r>
      <w:r w:rsidR="00ED743C" w:rsidRPr="00ED743C">
        <w:t xml:space="preserve"> billion. </w:t>
      </w:r>
      <w:r w:rsidR="00342E2C" w:rsidRPr="00C7290B">
        <w:t>As an option BIDA</w:t>
      </w:r>
      <w:r w:rsidR="00342E2C" w:rsidRPr="00C7290B">
        <w:rPr>
          <w:lang w:val="bn-IN"/>
        </w:rPr>
        <w:t xml:space="preserve"> could</w:t>
      </w:r>
      <w:r w:rsidR="00342E2C" w:rsidRPr="00C7290B">
        <w:t xml:space="preserve"> consider working with BEPZA in converting a few of these SOEs into EPZs, before it undertakes a broader strategic plan for using these assets.  Since BIDA is moving forward with implementing one-stop shop for all approvals, these converted SOEs could help BIDA pilot and test implementation, before rolling out across the country.</w:t>
      </w:r>
    </w:p>
    <w:p w14:paraId="4567D461" w14:textId="28E525B6" w:rsidR="00334DB2" w:rsidRPr="00022FB6" w:rsidRDefault="005C4D5D" w:rsidP="00022FB6">
      <w:pPr>
        <w:widowControl w:val="0"/>
        <w:autoSpaceDE w:val="0"/>
        <w:autoSpaceDN w:val="0"/>
        <w:adjustRightInd w:val="0"/>
        <w:spacing w:after="240" w:line="276" w:lineRule="auto"/>
        <w:jc w:val="both"/>
      </w:pPr>
      <w:r w:rsidRPr="00A401F5">
        <w:rPr>
          <w:b/>
          <w:i/>
        </w:rPr>
        <w:t>Bangladesh Economic Zones Authority (BEZA</w:t>
      </w:r>
      <w:r w:rsidRPr="00A401F5">
        <w:rPr>
          <w:b/>
        </w:rPr>
        <w:t>).</w:t>
      </w:r>
      <w:r w:rsidRPr="00C7290B">
        <w:t xml:space="preserve"> </w:t>
      </w:r>
      <w:r w:rsidRPr="00C7290B">
        <w:rPr>
          <w:b/>
        </w:rPr>
        <w:t xml:space="preserve"> </w:t>
      </w:r>
      <w:r w:rsidR="004A7F5A" w:rsidRPr="00C7290B">
        <w:t>Recognizing the importance of zoning and urban planning, Bangladesh has adopted zoning systems and the Government has enacted Economic Zone Act in 2010, and under it Bangladesh Economic Zone Authority (BEZA) has been established. The Act provides legal basis for the establishment of economic zones in all potential areas including backward and underdeveloped regions with a view to encouraging rapid economic development through industrialization</w:t>
      </w:r>
      <w:r w:rsidR="004A7F5A" w:rsidRPr="00022FB6">
        <w:t xml:space="preserve">. </w:t>
      </w:r>
      <w:r w:rsidR="00334DB2" w:rsidRPr="00022FB6">
        <w:t xml:space="preserve">The expectation is that under the new SEZ paradigm, with a regulatory authority in place, there will be quick implementation of new Zones so that local firms can harness spill-over impact from Foreign Direct Investment (FDI), and in the process additional investment can be encouraged within value chains, more local products procured and better linkages could be established between firms and educational institutions (easily available skilled manpower is important for success of SEZs). The Act also has provisions for private and PPP based zones, and has provisions adaptation to required environmental and social practices through rules, streamlined regulations, and institutional setup. It will allow the Government to develop and pilot an approach that is less reliant on Government subsidies, while leveraging comparative advantages and private sector capability wherever possible. </w:t>
      </w:r>
    </w:p>
    <w:p w14:paraId="45A1A98E" w14:textId="4626524D" w:rsidR="004A7F5A" w:rsidRPr="00C7290B" w:rsidRDefault="00A401F5" w:rsidP="00C7290B">
      <w:pPr>
        <w:spacing w:line="276" w:lineRule="auto"/>
        <w:rPr>
          <w:b/>
        </w:rPr>
      </w:pPr>
      <w:r>
        <w:t xml:space="preserve">Successful </w:t>
      </w:r>
      <w:r w:rsidR="004A7F5A" w:rsidRPr="00C7290B">
        <w:t xml:space="preserve">development of </w:t>
      </w:r>
      <w:r>
        <w:t>SEZ</w:t>
      </w:r>
      <w:r w:rsidR="00334DB2">
        <w:t xml:space="preserve"> can</w:t>
      </w:r>
      <w:r w:rsidR="004A7F5A" w:rsidRPr="00C7290B">
        <w:t xml:space="preserve"> </w:t>
      </w:r>
      <w:r w:rsidR="00022FB6">
        <w:t>be expected to provide</w:t>
      </w:r>
      <w:r w:rsidR="004A7F5A" w:rsidRPr="00C7290B">
        <w:t xml:space="preserve"> investors </w:t>
      </w:r>
      <w:r w:rsidR="00022FB6">
        <w:t xml:space="preserve">confidence invest and bring in in new technology and produce to take advantage </w:t>
      </w:r>
      <w:proofErr w:type="gramStart"/>
      <w:r w:rsidR="00022FB6">
        <w:t>of  the</w:t>
      </w:r>
      <w:proofErr w:type="gramEnd"/>
      <w:r w:rsidR="00022FB6">
        <w:t xml:space="preserve">  GVC  using Bangladesh’s comparative and competitive advantages. </w:t>
      </w:r>
      <w:r w:rsidR="004A7F5A" w:rsidRPr="00C7290B">
        <w:t>The Act promotes Economic Zones in the Private sector, Government led EZs or in a combinatio</w:t>
      </w:r>
      <w:r w:rsidR="00022FB6">
        <w:t>n. The mandate of the BEZA allows it to</w:t>
      </w:r>
      <w:r w:rsidR="004A7F5A" w:rsidRPr="00C7290B">
        <w:t xml:space="preserve"> identify local potential zones, acquire lands and build the zones with necessary facilities. BEZA may seek public-Private Partnership (PPP) to build and effective utilization of such zones.  While Economic Zone Act 2010 provides a more organized use of land for industry and urban growth, it also provides an opportunity to bring a better balance with agriculture land use by restricting Economic Zone land in areas, which are less suitable for agriculture and also </w:t>
      </w:r>
      <w:r w:rsidR="005C4D5D" w:rsidRPr="00C7290B">
        <w:t>land,</w:t>
      </w:r>
      <w:r w:rsidR="004A7F5A" w:rsidRPr="00C7290B">
        <w:t xml:space="preserve"> that is productive for agriculture.</w:t>
      </w:r>
      <w:r w:rsidR="005C4D5D" w:rsidRPr="00C7290B">
        <w:rPr>
          <w:b/>
        </w:rPr>
        <w:t xml:space="preserve"> </w:t>
      </w:r>
    </w:p>
    <w:p w14:paraId="28C6782E" w14:textId="77777777" w:rsidR="00B80B8B" w:rsidRDefault="00B80B8B" w:rsidP="005707D8">
      <w:pPr>
        <w:widowControl w:val="0"/>
        <w:autoSpaceDE w:val="0"/>
        <w:autoSpaceDN w:val="0"/>
        <w:adjustRightInd w:val="0"/>
        <w:spacing w:line="276" w:lineRule="auto"/>
        <w:jc w:val="both"/>
        <w:rPr>
          <w:b/>
        </w:rPr>
      </w:pPr>
    </w:p>
    <w:p w14:paraId="34EC9D92" w14:textId="4F4BC2F6" w:rsidR="003D10EE" w:rsidRDefault="0042168E" w:rsidP="00C7290B">
      <w:pPr>
        <w:widowControl w:val="0"/>
        <w:autoSpaceDE w:val="0"/>
        <w:autoSpaceDN w:val="0"/>
        <w:adjustRightInd w:val="0"/>
        <w:spacing w:line="276" w:lineRule="auto"/>
        <w:jc w:val="both"/>
        <w:rPr>
          <w:bCs/>
        </w:rPr>
      </w:pPr>
      <w:r>
        <w:rPr>
          <w:bCs/>
        </w:rPr>
        <w:t xml:space="preserve">BEZA’s vision is to develop 30,000 hectares of land for SEZs, establish 100 SEZs across the country in the next 15 years with an employment target of 10 million.  </w:t>
      </w:r>
      <w:r w:rsidR="005707D8" w:rsidRPr="00C7290B">
        <w:rPr>
          <w:bCs/>
        </w:rPr>
        <w:t xml:space="preserve">Meanwhile, BEZA has </w:t>
      </w:r>
      <w:r w:rsidR="005C4D5D" w:rsidRPr="00C7290B">
        <w:rPr>
          <w:bCs/>
        </w:rPr>
        <w:t xml:space="preserve">promulgated the </w:t>
      </w:r>
      <w:r>
        <w:rPr>
          <w:bCs/>
        </w:rPr>
        <w:t xml:space="preserve">policies and </w:t>
      </w:r>
      <w:r w:rsidR="005C4D5D" w:rsidRPr="00C7290B">
        <w:rPr>
          <w:bCs/>
        </w:rPr>
        <w:t xml:space="preserve">rules pertaining to setting </w:t>
      </w:r>
      <w:r w:rsidR="009853CE" w:rsidRPr="00C7290B">
        <w:rPr>
          <w:bCs/>
        </w:rPr>
        <w:t>of SEZs</w:t>
      </w:r>
      <w:r>
        <w:rPr>
          <w:bCs/>
        </w:rPr>
        <w:t xml:space="preserve"> and has 25 areas for providing One Stop Service (OSS) to investors. These 25 areas includes </w:t>
      </w:r>
      <w:r w:rsidR="003D10EE">
        <w:rPr>
          <w:bCs/>
        </w:rPr>
        <w:t xml:space="preserve">approval of investment proposal, different permits, permission for utility connection, NOC for off-shore banking, Certificate of Incorporation, TIN and VAT registration, building permit, visa, work permit, environment clearance, Customs Clearance etc.   </w:t>
      </w:r>
      <w:r w:rsidR="002D4550">
        <w:rPr>
          <w:bCs/>
        </w:rPr>
        <w:t>These are laudable steps and address</w:t>
      </w:r>
      <w:r w:rsidR="003D10EE">
        <w:rPr>
          <w:bCs/>
        </w:rPr>
        <w:t xml:space="preserve"> some of the core daunting doing business and logistics challenges facing investors, particularly foreign investors wanting to invest in Bangladesh.   All these procedural and regulatory reforms that BEZA has undertaken should become operational within next one year. </w:t>
      </w:r>
    </w:p>
    <w:p w14:paraId="7BA8C7FB" w14:textId="77777777" w:rsidR="003D10EE" w:rsidRDefault="003D10EE" w:rsidP="00C7290B">
      <w:pPr>
        <w:widowControl w:val="0"/>
        <w:autoSpaceDE w:val="0"/>
        <w:autoSpaceDN w:val="0"/>
        <w:adjustRightInd w:val="0"/>
        <w:spacing w:line="276" w:lineRule="auto"/>
        <w:jc w:val="both"/>
        <w:rPr>
          <w:bCs/>
        </w:rPr>
      </w:pPr>
    </w:p>
    <w:p w14:paraId="1DA27527" w14:textId="45B87954" w:rsidR="005C4D5D" w:rsidRPr="00C7290B" w:rsidRDefault="000F1270" w:rsidP="00C7290B">
      <w:pPr>
        <w:widowControl w:val="0"/>
        <w:autoSpaceDE w:val="0"/>
        <w:autoSpaceDN w:val="0"/>
        <w:adjustRightInd w:val="0"/>
        <w:spacing w:line="276" w:lineRule="auto"/>
        <w:jc w:val="both"/>
      </w:pPr>
      <w:r w:rsidRPr="00FB23CF">
        <w:rPr>
          <w:bCs/>
        </w:rPr>
        <w:t xml:space="preserve">According to its Annual Report 2016 and other documents, BEZA has by now approved 74 </w:t>
      </w:r>
      <w:r w:rsidR="00FB23CF" w:rsidRPr="00FB23CF">
        <w:rPr>
          <w:bCs/>
        </w:rPr>
        <w:t xml:space="preserve">Economic Zones.  Of these, </w:t>
      </w:r>
      <w:r w:rsidRPr="00FB23CF">
        <w:rPr>
          <w:bCs/>
        </w:rPr>
        <w:t>54 zones are to be developed</w:t>
      </w:r>
      <w:r w:rsidR="00FB23CF" w:rsidRPr="00FB23CF">
        <w:rPr>
          <w:bCs/>
        </w:rPr>
        <w:t xml:space="preserve"> in PPP mode, 20 will be privately developed zones under license from BEZA</w:t>
      </w:r>
      <w:r w:rsidRPr="00FB23CF">
        <w:rPr>
          <w:bCs/>
        </w:rPr>
        <w:t xml:space="preserve">. </w:t>
      </w:r>
      <w:r w:rsidR="00FB23CF" w:rsidRPr="00FB23CF">
        <w:rPr>
          <w:bCs/>
        </w:rPr>
        <w:t xml:space="preserve">  Meanwhile BEZA has already initiated issuing of licenses to private SEZs.  There has been MOUs between governments have been signed for setting country specific SEZs.  Two Zones in Mongla (in Khulna) and Kushtia will be India specific zones and one zone in Anwara in Chittagong will be a Chinese specific zone.</w:t>
      </w:r>
      <w:r w:rsidR="00FB23CF">
        <w:rPr>
          <w:bCs/>
          <w:color w:val="FF0000"/>
        </w:rPr>
        <w:t xml:space="preserve"> </w:t>
      </w:r>
      <w:r w:rsidR="005C4D5D" w:rsidRPr="00C7290B">
        <w:rPr>
          <w:bCs/>
        </w:rPr>
        <w:t>All these are very positive steps.</w:t>
      </w:r>
      <w:r w:rsidR="000A0879">
        <w:rPr>
          <w:bCs/>
        </w:rPr>
        <w:t xml:space="preserve"> </w:t>
      </w:r>
      <w:r w:rsidR="005C4D5D" w:rsidRPr="00C7290B">
        <w:rPr>
          <w:bCs/>
        </w:rPr>
        <w:t xml:space="preserve">The challenge will be for BEZA to go through a steep learning curve, develop its institutional capacity, and move this process forward in a transparent way so that investors find it conducive. The </w:t>
      </w:r>
      <w:r w:rsidR="009853CE" w:rsidRPr="00C7290B">
        <w:rPr>
          <w:bCs/>
        </w:rPr>
        <w:t xml:space="preserve">planned </w:t>
      </w:r>
      <w:r w:rsidR="005C4D5D" w:rsidRPr="00C7290B">
        <w:rPr>
          <w:bCs/>
        </w:rPr>
        <w:t>one-stop service</w:t>
      </w:r>
      <w:r w:rsidR="009853CE" w:rsidRPr="00C7290B">
        <w:rPr>
          <w:bCs/>
        </w:rPr>
        <w:t xml:space="preserve"> for which Law has been drafted could be more easily implemented in SEZs, for which necessary BEZA capacity should be in place.</w:t>
      </w:r>
      <w:r w:rsidR="009853CE" w:rsidRPr="00C7290B">
        <w:rPr>
          <w:bCs/>
          <w:i/>
        </w:rPr>
        <w:t xml:space="preserve">   </w:t>
      </w:r>
    </w:p>
    <w:p w14:paraId="7C750B97" w14:textId="77777777" w:rsidR="005C4D5D" w:rsidRDefault="005C4D5D" w:rsidP="00C7290B">
      <w:pPr>
        <w:pStyle w:val="Heading3"/>
        <w:keepNext w:val="0"/>
        <w:keepLines w:val="0"/>
        <w:numPr>
          <w:ilvl w:val="2"/>
          <w:numId w:val="0"/>
        </w:numPr>
        <w:tabs>
          <w:tab w:val="left" w:pos="0"/>
        </w:tabs>
        <w:spacing w:before="0" w:after="40" w:line="276" w:lineRule="auto"/>
        <w:jc w:val="both"/>
        <w:rPr>
          <w:rFonts w:ascii="Times New Roman" w:hAnsi="Times New Roman" w:cs="Times New Roman"/>
          <w:b w:val="0"/>
          <w:color w:val="auto"/>
        </w:rPr>
      </w:pPr>
    </w:p>
    <w:p w14:paraId="6F158606" w14:textId="1FE0000F" w:rsidR="000A0879" w:rsidRPr="000A0879" w:rsidRDefault="000A0879" w:rsidP="000A0879">
      <w:pPr>
        <w:widowControl w:val="0"/>
        <w:autoSpaceDE w:val="0"/>
        <w:autoSpaceDN w:val="0"/>
        <w:adjustRightInd w:val="0"/>
        <w:spacing w:after="240" w:line="276" w:lineRule="auto"/>
        <w:jc w:val="both"/>
      </w:pPr>
      <w:r w:rsidRPr="000A0879">
        <w:t>However, given the regulatory environment prevailing in Bangladesh, especially institutional capacity, it needs to be implemented carefully lest the privately licensed zones change course and there is inadequate oversight to effectively enforce regulatory compliance. The caution is because Bangladesh is a land-poor country and land market speculation is an issue.  Besides, any rapid proliferation of private zones can also place significant, unanticipated costs on governments, especially in terms of offsite infrastructure and facilities, as exemplified by the Dominican Republic, and more recently the Philippines and Vietnam</w:t>
      </w:r>
      <w:r w:rsidRPr="000A0879">
        <w:rPr>
          <w:rStyle w:val="FootnoteReference"/>
          <w:rFonts w:eastAsia="Calibri"/>
        </w:rPr>
        <w:footnoteReference w:id="4"/>
      </w:r>
      <w:r w:rsidRPr="000A0879">
        <w:t>.</w:t>
      </w:r>
    </w:p>
    <w:p w14:paraId="01EFFEFB" w14:textId="23BFAF92" w:rsidR="000A0879" w:rsidRPr="00B60EAD" w:rsidRDefault="000A0879" w:rsidP="00B60EAD">
      <w:pPr>
        <w:widowControl w:val="0"/>
        <w:autoSpaceDE w:val="0"/>
        <w:autoSpaceDN w:val="0"/>
        <w:adjustRightInd w:val="0"/>
        <w:spacing w:after="240" w:line="276" w:lineRule="auto"/>
        <w:jc w:val="both"/>
        <w:rPr>
          <w:b/>
          <w:i/>
        </w:rPr>
      </w:pPr>
      <w:r w:rsidRPr="004C2304">
        <w:rPr>
          <w:b/>
          <w:i/>
        </w:rPr>
        <w:t>Setting up SEZs automatically does not make them successful.</w:t>
      </w:r>
      <w:r w:rsidRPr="004C2304">
        <w:t xml:space="preserve"> To a great extent, the fate of zone initiatives gets determined from the outset, by the choices made in the establishment of policy frameworks, incentive packages, and various other provisions and bureaucratic procedures. </w:t>
      </w:r>
      <w:r w:rsidRPr="004C2304">
        <w:rPr>
          <w:i/>
        </w:rPr>
        <w:t>The experience suggests that maximizing the benefits of zones depends on the degree to which they are integrated with their host economies and the overall trade and investment reform agenda. In particular, when zones are designed to pilot legal and regulatory reforms within a planned policy framework, they are more likely to reach their objectives</w:t>
      </w:r>
      <w:r w:rsidRPr="004C2304">
        <w:rPr>
          <w:rStyle w:val="FootnoteReference"/>
          <w:rFonts w:eastAsia="Calibri"/>
          <w:i/>
        </w:rPr>
        <w:footnoteReference w:id="5"/>
      </w:r>
      <w:r w:rsidRPr="004C2304">
        <w:rPr>
          <w:i/>
        </w:rPr>
        <w:t>.</w:t>
      </w:r>
      <w:r w:rsidR="004C2304" w:rsidRPr="004C2304">
        <w:rPr>
          <w:i/>
        </w:rPr>
        <w:t xml:space="preserve"> </w:t>
      </w:r>
      <w:r w:rsidRPr="004C2304">
        <w:t xml:space="preserve">The success of zones is also critically linked to how they are developed, managed, regulated, and where </w:t>
      </w:r>
      <w:r w:rsidRPr="004C2304">
        <w:rPr>
          <w:b/>
        </w:rPr>
        <w:t>located.</w:t>
      </w:r>
    </w:p>
    <w:p w14:paraId="066180E0" w14:textId="16D51E5C" w:rsidR="00723E87" w:rsidRPr="00C7290B" w:rsidRDefault="004C2304" w:rsidP="00C7290B">
      <w:pPr>
        <w:spacing w:line="276" w:lineRule="auto"/>
      </w:pPr>
      <w:r w:rsidRPr="004C2304">
        <w:rPr>
          <w:b/>
          <w:i/>
        </w:rPr>
        <w:t>Learning from Bangladesh Export Processing Zone (BEPZA) experience.</w:t>
      </w:r>
      <w:r>
        <w:t xml:space="preserve"> </w:t>
      </w:r>
      <w:r w:rsidR="00723E87" w:rsidRPr="00C7290B">
        <w:t xml:space="preserve">It should be noted that Bangladesh has already long experience in setting up successful export processing zones through BEPZA.  While BEZA is a relatively new organization, it can learn from BEPZA’s experience.  The first issue is location of Zones. The most successful EPZs are in the Chittagong and Dhaka regions.  This becomes apparent when we see that the Karnaphuly EPZ in Chittagong and the </w:t>
      </w:r>
      <w:proofErr w:type="spellStart"/>
      <w:r w:rsidR="00723E87" w:rsidRPr="00C7290B">
        <w:t>Adamjee</w:t>
      </w:r>
      <w:proofErr w:type="spellEnd"/>
      <w:r w:rsidR="00723E87" w:rsidRPr="00C7290B">
        <w:t xml:space="preserve"> EPZ in Narayanganj (greater Dhaka), which were last EPZs built by BEPZA, have already surpassed in terms of employment, investments, and exports compared to EPZs in other regions which were set up much earlier.  </w:t>
      </w:r>
      <w:r w:rsidR="00117502" w:rsidRPr="00C7290B">
        <w:t xml:space="preserve">BEZA has undertaken an ambitious target of implementing 100 SEZs in the country in the coming years.  While the goal is appreciated </w:t>
      </w:r>
      <w:proofErr w:type="gramStart"/>
      <w:r w:rsidR="00117502" w:rsidRPr="00C7290B">
        <w:t>there</w:t>
      </w:r>
      <w:proofErr w:type="gramEnd"/>
      <w:r w:rsidR="00117502" w:rsidRPr="00C7290B">
        <w:t xml:space="preserve"> needs to be a cautious approach in selecting the first few zones which should be based on feasibility and at the right location.  Successful implementation of the first two or three SEZs will send positive signal to the world heralding Bangladesh as a competitive destination for investments.  Given the limited capacity, BEZA needs to prioritize and put focus on getting the first two or three zones fully operational, along with necessary one-stop service in place at the shortest possible time. Another area of BEPZA experience that could help BEZA </w:t>
      </w:r>
      <w:proofErr w:type="gramStart"/>
      <w:r w:rsidR="00117502" w:rsidRPr="00C7290B">
        <w:t>are</w:t>
      </w:r>
      <w:proofErr w:type="gramEnd"/>
      <w:r w:rsidR="00117502" w:rsidRPr="00C7290B">
        <w:t xml:space="preserve"> the PPP contracts that they have successfully implemented. BEPZA, to ensure 24/7 quality power supply, innovatively implemented PPPs in power generation, and for ensuring environmentally sustainability used PPPs to build Effluent Treatment Plants (ETPs), and water treatment and supply of quality water in CEPZ and DEPZ.    </w:t>
      </w:r>
    </w:p>
    <w:p w14:paraId="75B20E87" w14:textId="77777777" w:rsidR="00F96346" w:rsidRPr="00253845" w:rsidRDefault="00F96346" w:rsidP="00253845">
      <w:pPr>
        <w:spacing w:line="276" w:lineRule="auto"/>
        <w:jc w:val="both"/>
      </w:pPr>
    </w:p>
    <w:p w14:paraId="52B0A197" w14:textId="5E8FA58E" w:rsidR="00535C58" w:rsidRDefault="00533733">
      <w:pPr>
        <w:rPr>
          <w:b/>
        </w:rPr>
      </w:pPr>
      <w:r>
        <w:rPr>
          <w:b/>
        </w:rPr>
        <w:t xml:space="preserve">4. </w:t>
      </w:r>
      <w:r w:rsidR="00D16678">
        <w:rPr>
          <w:b/>
        </w:rPr>
        <w:t xml:space="preserve"> </w:t>
      </w:r>
      <w:r>
        <w:rPr>
          <w:b/>
        </w:rPr>
        <w:t xml:space="preserve">Reform </w:t>
      </w:r>
      <w:r w:rsidR="00D16678">
        <w:rPr>
          <w:b/>
        </w:rPr>
        <w:t>Priorities</w:t>
      </w:r>
      <w:r w:rsidR="00332E13">
        <w:rPr>
          <w:b/>
        </w:rPr>
        <w:t xml:space="preserve"> –</w:t>
      </w:r>
      <w:r>
        <w:rPr>
          <w:b/>
        </w:rPr>
        <w:t xml:space="preserve"> Policy, Institutional, and Regulatory -</w:t>
      </w:r>
      <w:r w:rsidR="00332E13">
        <w:rPr>
          <w:b/>
        </w:rPr>
        <w:t xml:space="preserve"> The way forward</w:t>
      </w:r>
    </w:p>
    <w:p w14:paraId="6EC83A7B" w14:textId="77777777" w:rsidR="00332E13" w:rsidRDefault="00332E13">
      <w:pPr>
        <w:rPr>
          <w:b/>
        </w:rPr>
      </w:pPr>
    </w:p>
    <w:p w14:paraId="70CB4786" w14:textId="77777777" w:rsidR="00D16678" w:rsidRPr="00CD3897" w:rsidRDefault="00007DF3" w:rsidP="00D16678">
      <w:pPr>
        <w:spacing w:after="240" w:line="269" w:lineRule="auto"/>
        <w:jc w:val="both"/>
      </w:pPr>
      <w:r w:rsidRPr="003D10EE">
        <w:t>The relative stagnation in the private investment rate despite very favorable macroeconomic performance and robust economic growth are indicative of the private investor concerns with the business environment that has made progress but falls short considerably in relation to other countries</w:t>
      </w:r>
      <w:r w:rsidRPr="00CD3897">
        <w:t xml:space="preserve">. </w:t>
      </w:r>
      <w:r w:rsidR="00D16678" w:rsidRPr="00CD3897">
        <w:t xml:space="preserve">The deregulation process seems to have slowed down after 2010, and has become a critical challenge to having an enabling business environment, which is being reflected through the very poor outcomes in all the different global indices that had been earlier discussed. This process now needs total revamping now that Bangladesh has set up BIDA.  </w:t>
      </w:r>
    </w:p>
    <w:p w14:paraId="02224A9E" w14:textId="44BB6597" w:rsidR="002A2037" w:rsidRPr="002A2037" w:rsidRDefault="00BC0E50" w:rsidP="00EB2523">
      <w:pPr>
        <w:spacing w:line="276" w:lineRule="auto"/>
        <w:jc w:val="both"/>
      </w:pPr>
      <w:r w:rsidRPr="00CD3897">
        <w:t xml:space="preserve">BIDA could start with </w:t>
      </w:r>
      <w:r w:rsidR="00007DF3" w:rsidRPr="00CD3897">
        <w:t>address</w:t>
      </w:r>
      <w:r w:rsidRPr="00CD3897">
        <w:t>ing</w:t>
      </w:r>
      <w:r w:rsidR="00007DF3" w:rsidRPr="00CD3897">
        <w:t xml:space="preserve"> </w:t>
      </w:r>
      <w:r w:rsidR="00D739BA" w:rsidRPr="00CD3897">
        <w:t>constraints affecting all the 10 Doing Business</w:t>
      </w:r>
      <w:r w:rsidRPr="00CD3897">
        <w:t xml:space="preserve"> (DB)</w:t>
      </w:r>
      <w:r w:rsidR="00D739BA" w:rsidRPr="002A2037">
        <w:t xml:space="preserve"> indicators that make Bangladesh ranking so low.  However, the priority will have to be top</w:t>
      </w:r>
      <w:r w:rsidR="00007DF3" w:rsidRPr="002A2037">
        <w:t xml:space="preserve"> six constraints identified </w:t>
      </w:r>
      <w:r w:rsidR="00D739BA" w:rsidRPr="002A2037">
        <w:t>in the</w:t>
      </w:r>
      <w:r w:rsidR="00007DF3" w:rsidRPr="002A2037">
        <w:t xml:space="preserve"> IFC survey on ease of doing business in Bangladesh for 2016. </w:t>
      </w:r>
      <w:r w:rsidR="00D739BA" w:rsidRPr="002A2037">
        <w:t xml:space="preserve">While addressing the DB identified constraints it will </w:t>
      </w:r>
      <w:r w:rsidRPr="00CD3897">
        <w:t xml:space="preserve">also </w:t>
      </w:r>
      <w:r w:rsidR="00D739BA" w:rsidRPr="002A2037">
        <w:t xml:space="preserve">be important to address the infrastructure related </w:t>
      </w:r>
      <w:r w:rsidR="002A2037" w:rsidRPr="002A2037">
        <w:t>constraints</w:t>
      </w:r>
      <w:r w:rsidR="00D739BA" w:rsidRPr="002A2037">
        <w:t xml:space="preserve"> like easy and certain access to electricity, good quality transport infrastructure, and highly efficient ports.  These will directly impact in improving performance of getting electricity and trading across border indicators as well as help improve Bangladesh’s GCI and GLI indices.  A very important reform will be that</w:t>
      </w:r>
      <w:r w:rsidR="002A2037" w:rsidRPr="002A2037">
        <w:t xml:space="preserve"> related to land administration and working of an efficient land market.</w:t>
      </w:r>
      <w:r w:rsidR="00D739BA" w:rsidRPr="002A2037">
        <w:t xml:space="preserve">  It </w:t>
      </w:r>
      <w:r w:rsidR="00AE32C1">
        <w:t>has potential to</w:t>
      </w:r>
      <w:r w:rsidR="002A2037" w:rsidRPr="002A2037">
        <w:t xml:space="preserve"> </w:t>
      </w:r>
      <w:r w:rsidR="00AE32C1">
        <w:t>help</w:t>
      </w:r>
      <w:r w:rsidR="002A2037" w:rsidRPr="002A2037">
        <w:t xml:space="preserve"> improve Doing Business </w:t>
      </w:r>
      <w:r w:rsidR="00AE32C1">
        <w:t xml:space="preserve">rankings </w:t>
      </w:r>
      <w:r w:rsidR="002A2037" w:rsidRPr="002A2037">
        <w:t>i</w:t>
      </w:r>
      <w:r w:rsidR="00AE32C1">
        <w:t xml:space="preserve">n three areas – enforcing contracts, </w:t>
      </w:r>
      <w:r w:rsidR="002A2037" w:rsidRPr="002A2037">
        <w:t xml:space="preserve">registering property, </w:t>
      </w:r>
      <w:r w:rsidR="00AE32C1">
        <w:t xml:space="preserve">and facilitating </w:t>
      </w:r>
      <w:r w:rsidR="002A2037" w:rsidRPr="002A2037">
        <w:t xml:space="preserve">construction permit.  As had been discussed earlier having well functioning land market would ease issuing of building permits; and if land related cases decline the courts will have more time for commercial cases and so enforcing of commercial contracts can gain momentum.  </w:t>
      </w:r>
    </w:p>
    <w:p w14:paraId="15A40762" w14:textId="1C0AD96E" w:rsidR="00E632CA" w:rsidRPr="00EB2523" w:rsidRDefault="00007DF3" w:rsidP="00EB2523">
      <w:pPr>
        <w:spacing w:line="276" w:lineRule="auto"/>
        <w:jc w:val="both"/>
        <w:rPr>
          <w:i/>
          <w:color w:val="0000FF"/>
        </w:rPr>
      </w:pPr>
      <w:r w:rsidRPr="00E632CA">
        <w:t xml:space="preserve">Since Bangladesh is substantially lagging behind in attracting FDI relative to comparator countries like China, </w:t>
      </w:r>
      <w:r w:rsidR="002A2037" w:rsidRPr="00E632CA">
        <w:t>Hong Kong</w:t>
      </w:r>
      <w:r w:rsidRPr="00E632CA">
        <w:t>, India, Vietnam and Singapore, policy reforms should focus on resolving issues that affect both domestic and foreign private investors. It is important to note that the reform agenda is large and priorities have to be set. The reform process should be seen as a continuous process that should be reviewed annually to assess progress and identify new issues.</w:t>
      </w:r>
      <w:bookmarkStart w:id="16" w:name="_Toc480722101"/>
    </w:p>
    <w:p w14:paraId="00ECE15C" w14:textId="0C92D110" w:rsidR="003518E8" w:rsidRDefault="00533733" w:rsidP="00BD2F9B">
      <w:pPr>
        <w:pStyle w:val="Heading2"/>
        <w:spacing w:line="276" w:lineRule="auto"/>
        <w:rPr>
          <w:rFonts w:ascii="Times New Roman" w:hAnsi="Times New Roman" w:cs="Times New Roman"/>
          <w:color w:val="auto"/>
          <w:sz w:val="24"/>
          <w:szCs w:val="24"/>
        </w:rPr>
      </w:pPr>
      <w:bookmarkStart w:id="17" w:name="_Toc480722104"/>
      <w:r>
        <w:rPr>
          <w:rFonts w:ascii="Times New Roman" w:hAnsi="Times New Roman" w:cs="Times New Roman"/>
          <w:color w:val="auto"/>
          <w:sz w:val="24"/>
          <w:szCs w:val="24"/>
        </w:rPr>
        <w:t xml:space="preserve">4.1 </w:t>
      </w:r>
      <w:r w:rsidR="003518E8" w:rsidRPr="003518E8">
        <w:rPr>
          <w:rFonts w:ascii="Times New Roman" w:hAnsi="Times New Roman" w:cs="Times New Roman"/>
          <w:color w:val="auto"/>
          <w:sz w:val="24"/>
          <w:szCs w:val="24"/>
        </w:rPr>
        <w:t>Simplifying regulations and improving implementation</w:t>
      </w:r>
      <w:bookmarkEnd w:id="17"/>
      <w:r w:rsidR="00BD2F9B">
        <w:rPr>
          <w:rFonts w:ascii="Times New Roman" w:hAnsi="Times New Roman" w:cs="Times New Roman"/>
          <w:color w:val="auto"/>
          <w:sz w:val="24"/>
          <w:szCs w:val="24"/>
        </w:rPr>
        <w:t xml:space="preserve"> – BIDA needs to anchor and steer the process.</w:t>
      </w:r>
    </w:p>
    <w:p w14:paraId="65061E9C" w14:textId="77777777" w:rsidR="00BD2F9B" w:rsidRPr="00BD2F9B" w:rsidRDefault="00BD2F9B" w:rsidP="00BD2F9B"/>
    <w:p w14:paraId="65355C48" w14:textId="69F81A48" w:rsidR="00825C13" w:rsidRPr="008175C3" w:rsidRDefault="003518E8" w:rsidP="003518E8">
      <w:pPr>
        <w:spacing w:after="240" w:line="276" w:lineRule="auto"/>
        <w:jc w:val="both"/>
      </w:pPr>
      <w:r w:rsidRPr="003518E8">
        <w:t>Despite past efforts to deregulate the business rules of operation, regulatory constraints remain serious in many areas and implementation is an even bigger problem. While it is understandable that improvements in the civil service is a long drawn process, several practical steps can be taken to alleviate the concerns without any major overhaul of the civil service</w:t>
      </w:r>
      <w:r w:rsidRPr="008175C3">
        <w:t>.</w:t>
      </w:r>
      <w:r w:rsidR="00825C13" w:rsidRPr="008175C3">
        <w:t xml:space="preserve">  </w:t>
      </w:r>
      <w:r w:rsidR="008175C3" w:rsidRPr="008175C3">
        <w:t>Government has already set up BIDA and BEZA as institutions to alleviate doing business challenges.  BIDA</w:t>
      </w:r>
      <w:r w:rsidR="00825C13" w:rsidRPr="008175C3">
        <w:t xml:space="preserve"> which has been tasked </w:t>
      </w:r>
      <w:r w:rsidR="001C5B54" w:rsidRPr="008175C3">
        <w:t>with improving</w:t>
      </w:r>
      <w:r w:rsidR="00825C13" w:rsidRPr="008175C3">
        <w:t xml:space="preserve"> global Doing Business ranking of Bangladesh by </w:t>
      </w:r>
      <w:r w:rsidR="001C5B54" w:rsidRPr="008175C3">
        <w:t>facilitating policy</w:t>
      </w:r>
      <w:r w:rsidR="00825C13" w:rsidRPr="008175C3">
        <w:t xml:space="preserve">, regulatory, and process changes should as priority undertake review of all regulations, processes, and policies </w:t>
      </w:r>
      <w:r w:rsidR="008175C3" w:rsidRPr="008175C3">
        <w:t xml:space="preserve">negatively </w:t>
      </w:r>
      <w:r w:rsidR="00825C13" w:rsidRPr="008175C3">
        <w:t>affecting business</w:t>
      </w:r>
      <w:r w:rsidR="008175C3" w:rsidRPr="008175C3">
        <w:t xml:space="preserve"> environment</w:t>
      </w:r>
      <w:proofErr w:type="gramStart"/>
      <w:r w:rsidR="008175C3" w:rsidRPr="008175C3">
        <w:t xml:space="preserve">, </w:t>
      </w:r>
      <w:r w:rsidR="00825C13" w:rsidRPr="008175C3">
        <w:t xml:space="preserve"> and</w:t>
      </w:r>
      <w:proofErr w:type="gramEnd"/>
      <w:r w:rsidR="00825C13" w:rsidRPr="008175C3">
        <w:t xml:space="preserve"> take measures to improve Bangladesh’s rankings GCI, DB, and GLI.</w:t>
      </w:r>
      <w:r w:rsidR="008175C3">
        <w:t xml:space="preserve">  More specifically some of the actions are as follows.</w:t>
      </w:r>
    </w:p>
    <w:p w14:paraId="5EDCAC61" w14:textId="7E397FE2" w:rsidR="003518E8" w:rsidRDefault="003518E8" w:rsidP="003518E8">
      <w:pPr>
        <w:pStyle w:val="ListParagraph"/>
        <w:numPr>
          <w:ilvl w:val="0"/>
          <w:numId w:val="7"/>
        </w:numPr>
        <w:spacing w:after="240" w:line="276" w:lineRule="auto"/>
        <w:jc w:val="both"/>
      </w:pPr>
      <w:r w:rsidRPr="003518E8">
        <w:t>A high-powered busines</w:t>
      </w:r>
      <w:r w:rsidR="00143C8B">
        <w:t>s deregulation task force needs to</w:t>
      </w:r>
      <w:r w:rsidRPr="003518E8">
        <w:t xml:space="preserve"> be established with representation from the private sector to overhaul the entire regulatory regime with a view to abolishing all regulations that constrain investment and ensuring that prudential regulations required to protect public interest are business friendly. BIDA could be the Secretariat for the task force.  It should be a continuous </w:t>
      </w:r>
      <w:r w:rsidR="008175C3">
        <w:t xml:space="preserve">process where with BIDA acting as the Secretariat, and prioritize policies, regulations, rules, and procedures that </w:t>
      </w:r>
      <w:proofErr w:type="gramStart"/>
      <w:r w:rsidR="008175C3">
        <w:t>needs</w:t>
      </w:r>
      <w:proofErr w:type="gramEnd"/>
      <w:r w:rsidR="008175C3">
        <w:t xml:space="preserve"> most urgent attention and facilitate implementing the changes.  It </w:t>
      </w:r>
      <w:r w:rsidRPr="003518E8">
        <w:t>should undertake periodic Regulatory Impact Assessments (RIA) to determine which regulations and policies need amendments or abrogation.</w:t>
      </w:r>
    </w:p>
    <w:p w14:paraId="46CFD546" w14:textId="7EEBEE45" w:rsidR="0084003A" w:rsidRDefault="0084003A" w:rsidP="0084003A">
      <w:pPr>
        <w:pStyle w:val="ListParagraph"/>
        <w:numPr>
          <w:ilvl w:val="0"/>
          <w:numId w:val="7"/>
        </w:numPr>
        <w:spacing w:line="276" w:lineRule="auto"/>
      </w:pPr>
      <w:r>
        <w:t xml:space="preserve">BIDA </w:t>
      </w:r>
      <w:r w:rsidR="00143C8B">
        <w:t xml:space="preserve">needs to </w:t>
      </w:r>
      <w:r>
        <w:t>set up specific targets and monitoring mechanisms to attain higher levels of GCI, DB, and GLI indices.  It will require good coordination with different Ministries and agencies to be able to come up with positions where investor surveys will show the positive developments.</w:t>
      </w:r>
    </w:p>
    <w:p w14:paraId="40F70DA3" w14:textId="65EDA813" w:rsidR="00BD2F9B" w:rsidRPr="00BD2F9B" w:rsidRDefault="00BD2F9B" w:rsidP="00BD2F9B">
      <w:pPr>
        <w:pStyle w:val="ListParagraph"/>
        <w:numPr>
          <w:ilvl w:val="0"/>
          <w:numId w:val="7"/>
        </w:numPr>
        <w:spacing w:line="276" w:lineRule="auto"/>
      </w:pPr>
      <w:r w:rsidRPr="00BD2F9B">
        <w:t>BIDA will have to work with both Customs and Port Authorities and their controlling Ministries in identifying procedural and regulatory steps/measures for urgent reforms and also facilitate private investments in related infrastructure through PPPs, particularly in improving capacity of Chittagong port in the short to medium term, and the new deep sea port in the longer run.</w:t>
      </w:r>
    </w:p>
    <w:p w14:paraId="3A82CBC3" w14:textId="3C20BFEF" w:rsidR="0084003A" w:rsidRPr="003518E8" w:rsidRDefault="0084003A" w:rsidP="00EC00A0">
      <w:pPr>
        <w:pStyle w:val="ListParagraph"/>
        <w:numPr>
          <w:ilvl w:val="0"/>
          <w:numId w:val="7"/>
        </w:numPr>
        <w:spacing w:line="276" w:lineRule="auto"/>
      </w:pPr>
      <w:r>
        <w:t>BIDA should set up a “</w:t>
      </w:r>
      <w:r w:rsidRPr="0084003A">
        <w:rPr>
          <w:i/>
        </w:rPr>
        <w:t>doable</w:t>
      </w:r>
      <w:r>
        <w:rPr>
          <w:i/>
        </w:rPr>
        <w:t>”</w:t>
      </w:r>
      <w:r>
        <w:t xml:space="preserve"> mechanism for instituting </w:t>
      </w:r>
      <w:r w:rsidR="00143C8B">
        <w:t xml:space="preserve">the proposed </w:t>
      </w:r>
      <w:r>
        <w:t>one stop service (OSS).  It will be very important to gain confidence of investors about OSS.  OSS needs to be cautiously approached with realism in time frames promised for delivery of particular services.</w:t>
      </w:r>
    </w:p>
    <w:p w14:paraId="52CDF0DF" w14:textId="77777777" w:rsidR="003518E8" w:rsidRPr="003518E8" w:rsidRDefault="003518E8" w:rsidP="003518E8">
      <w:pPr>
        <w:pStyle w:val="ListParagraph"/>
        <w:numPr>
          <w:ilvl w:val="0"/>
          <w:numId w:val="7"/>
        </w:numPr>
        <w:spacing w:after="240" w:line="276" w:lineRule="auto"/>
        <w:jc w:val="both"/>
      </w:pPr>
      <w:r w:rsidRPr="003518E8">
        <w:t>Government should take care to ensure the predictability of policies and avoid frequent changes that could hurt investment choices. This is particularly important in the case tax and tariff policies where periodic certainty must be ensured to allow investors to decide on taking risks.</w:t>
      </w:r>
    </w:p>
    <w:p w14:paraId="419E8543" w14:textId="77777777" w:rsidR="003518E8" w:rsidRPr="003518E8" w:rsidRDefault="003518E8" w:rsidP="003518E8">
      <w:pPr>
        <w:pStyle w:val="ListParagraph"/>
        <w:numPr>
          <w:ilvl w:val="0"/>
          <w:numId w:val="7"/>
        </w:numPr>
        <w:spacing w:after="240" w:line="276" w:lineRule="auto"/>
        <w:jc w:val="both"/>
      </w:pPr>
      <w:r w:rsidRPr="003518E8">
        <w:t xml:space="preserve">Public administration capacity prevents proper implementation of rules and regulations, especially in the areas of Drug Administration, environmental clearances, and testing labs. Along with efforts to strengthen these agencies, outsourcing options to private sources may be examined. </w:t>
      </w:r>
    </w:p>
    <w:p w14:paraId="796B248B" w14:textId="77777777" w:rsidR="003518E8" w:rsidRPr="003518E8" w:rsidRDefault="003518E8" w:rsidP="003518E8">
      <w:pPr>
        <w:pStyle w:val="ListParagraph"/>
        <w:numPr>
          <w:ilvl w:val="0"/>
          <w:numId w:val="7"/>
        </w:numPr>
        <w:spacing w:after="240" w:line="276" w:lineRule="auto"/>
        <w:jc w:val="both"/>
      </w:pPr>
      <w:r w:rsidRPr="003518E8">
        <w:t>All clearance and licensing agencies must be digitized with online applications and approvals.  Service standards for clearance/licensing lead times should be established.</w:t>
      </w:r>
    </w:p>
    <w:p w14:paraId="609FD7FF" w14:textId="1E8A2981" w:rsidR="00E632CA" w:rsidRDefault="003518E8" w:rsidP="00E632CA">
      <w:pPr>
        <w:pStyle w:val="ListParagraph"/>
        <w:numPr>
          <w:ilvl w:val="0"/>
          <w:numId w:val="7"/>
        </w:numPr>
        <w:spacing w:after="240" w:line="276" w:lineRule="auto"/>
        <w:jc w:val="both"/>
      </w:pPr>
      <w:r w:rsidRPr="003518E8">
        <w:t xml:space="preserve">Discretionary application of rules/regulations by bureaucracy should be avoided through political oversight at the Minister level.  </w:t>
      </w:r>
    </w:p>
    <w:p w14:paraId="37ABA94D" w14:textId="709D9343" w:rsidR="00007DF3" w:rsidRPr="00E632CA" w:rsidRDefault="00533733" w:rsidP="00007DF3">
      <w:pPr>
        <w:pStyle w:val="Heading2"/>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t>4.2</w:t>
      </w:r>
      <w:r w:rsidR="007B7AF3">
        <w:rPr>
          <w:rFonts w:ascii="Times New Roman" w:hAnsi="Times New Roman" w:cs="Times New Roman"/>
          <w:color w:val="auto"/>
          <w:sz w:val="24"/>
          <w:szCs w:val="24"/>
        </w:rPr>
        <w:t xml:space="preserve"> Improving</w:t>
      </w:r>
      <w:r w:rsidR="00007DF3" w:rsidRPr="00E632CA">
        <w:rPr>
          <w:rFonts w:ascii="Times New Roman" w:hAnsi="Times New Roman" w:cs="Times New Roman"/>
          <w:color w:val="auto"/>
          <w:sz w:val="24"/>
          <w:szCs w:val="24"/>
        </w:rPr>
        <w:t xml:space="preserve"> the tax regime for business</w:t>
      </w:r>
      <w:bookmarkEnd w:id="16"/>
      <w:r w:rsidR="00E632CA" w:rsidRPr="00E632CA">
        <w:rPr>
          <w:rFonts w:ascii="Times New Roman" w:hAnsi="Times New Roman" w:cs="Times New Roman"/>
          <w:color w:val="auto"/>
          <w:sz w:val="24"/>
          <w:szCs w:val="24"/>
        </w:rPr>
        <w:t xml:space="preserve">. </w:t>
      </w:r>
    </w:p>
    <w:p w14:paraId="38DAA520" w14:textId="77777777" w:rsidR="00E632CA" w:rsidRPr="00E632CA" w:rsidRDefault="00E632CA" w:rsidP="00E632CA"/>
    <w:p w14:paraId="4F8ABE79" w14:textId="558FA89A" w:rsidR="00007DF3" w:rsidRPr="00825C13" w:rsidRDefault="00007DF3" w:rsidP="00007DF3">
      <w:pPr>
        <w:pStyle w:val="ListParagraph"/>
        <w:spacing w:after="240" w:line="276" w:lineRule="auto"/>
        <w:ind w:left="0"/>
        <w:contextualSpacing w:val="0"/>
        <w:jc w:val="both"/>
      </w:pPr>
      <w:r w:rsidRPr="00E632CA">
        <w:t>The business sector is mindful that paying a fair share of taxes is a national obligation. It is therefore committed to working cooperatively with the government to help increase the revenue performance of the tax system. However, the tax system must be business friendly rather than averse to the development of the business sector. A strong private sector has been the engine of growth in Bangladesh.  As private sector grows total GDP also grows that helps tax revenues. The main challenge for NBR is to increase the tax base to bring in more enterprises that are out of the tax net either because they are in the informal sector or because they are able to take advantage of the loopholes in the tax laws.  The global experience is that high corporate tax rates discourage investment and encourage tax avoidance.  Similarly, too many tax exemptions to any one sector leads to unfair competition and discourages diversification.</w:t>
      </w:r>
      <w:r w:rsidRPr="00007DF3">
        <w:rPr>
          <w:color w:val="FF0000"/>
        </w:rPr>
        <w:t xml:space="preserve"> </w:t>
      </w:r>
      <w:r w:rsidR="00825C13" w:rsidRPr="00825C13">
        <w:t xml:space="preserve">Based on results of different IFC surveys and also on the basis some feedback form business groups </w:t>
      </w:r>
      <w:r w:rsidRPr="00825C13">
        <w:t>the following reform options</w:t>
      </w:r>
      <w:r w:rsidR="00825C13" w:rsidRPr="00825C13">
        <w:t xml:space="preserve"> are proposed which can be have very positive impact in improving DB indicator and raise Bangladesh’s ranking</w:t>
      </w:r>
      <w:r w:rsidRPr="00825C13">
        <w:t>.</w:t>
      </w:r>
    </w:p>
    <w:p w14:paraId="18B9F716" w14:textId="06A0CB67" w:rsidR="00007DF3" w:rsidRPr="00E632CA" w:rsidRDefault="00460181" w:rsidP="00007DF3">
      <w:pPr>
        <w:pStyle w:val="ListParagraph"/>
        <w:numPr>
          <w:ilvl w:val="0"/>
          <w:numId w:val="3"/>
        </w:numPr>
        <w:spacing w:after="240" w:line="276" w:lineRule="auto"/>
        <w:jc w:val="both"/>
      </w:pPr>
      <w:r>
        <w:t xml:space="preserve">There needs to be rationalization of the income and corporate tax rates to make it competitive with comparator countries. </w:t>
      </w:r>
      <w:r w:rsidR="00007DF3" w:rsidRPr="00E632CA">
        <w:t>T</w:t>
      </w:r>
      <w:r>
        <w:t xml:space="preserve">he </w:t>
      </w:r>
      <w:r w:rsidR="00143C8B">
        <w:t xml:space="preserve">government needs to consider lowering </w:t>
      </w:r>
      <w:r>
        <w:t>maximum corporate tax rate c</w:t>
      </w:r>
      <w:r w:rsidR="00143C8B">
        <w:t>ould</w:t>
      </w:r>
      <w:r w:rsidR="00007DF3" w:rsidRPr="00E632CA">
        <w:t xml:space="preserve"> to</w:t>
      </w:r>
      <w:r w:rsidR="00143C8B">
        <w:t xml:space="preserve"> around</w:t>
      </w:r>
      <w:r w:rsidR="00007DF3" w:rsidRPr="00E632CA">
        <w:t xml:space="preserve"> 25% over a </w:t>
      </w:r>
      <w:proofErr w:type="gramStart"/>
      <w:r w:rsidR="00007DF3" w:rsidRPr="00E632CA">
        <w:t>three year</w:t>
      </w:r>
      <w:proofErr w:type="gramEnd"/>
      <w:r w:rsidR="00007DF3" w:rsidRPr="00E632CA">
        <w:t xml:space="preserve"> period (35%; 30%, 25%) to be in line with more competitive economies like Malaysia (22%-24%), Thailand (20%) and Singapore (17%).</w:t>
      </w:r>
    </w:p>
    <w:p w14:paraId="3148B347" w14:textId="77777777" w:rsidR="00007DF3" w:rsidRPr="00E632CA" w:rsidRDefault="00007DF3" w:rsidP="00007DF3">
      <w:pPr>
        <w:pStyle w:val="ListParagraph"/>
        <w:numPr>
          <w:ilvl w:val="0"/>
          <w:numId w:val="3"/>
        </w:numPr>
        <w:spacing w:after="240" w:line="276" w:lineRule="auto"/>
        <w:jc w:val="both"/>
      </w:pPr>
      <w:r w:rsidRPr="00E632CA">
        <w:t>The tax laws, rules and regulations must be simplified and streamlined and made consistent with good international practices. NBR should consult business sector in this task. For the short term, several specific actions can be taken: (</w:t>
      </w:r>
      <w:proofErr w:type="spellStart"/>
      <w:r w:rsidRPr="00E632CA">
        <w:t>i</w:t>
      </w:r>
      <w:proofErr w:type="spellEnd"/>
      <w:r w:rsidRPr="00E632CA">
        <w:t xml:space="preserve">) withdraw the 20% withholding tax on technology service providers; (ii) remove the NBR pre-determined gross profit level set for the footwear industry and assess tax on actual profit; (iv) make the income tax refund process more streamlined (like VAT return) and excess tax payment should be refunded in designated company’s bank account within 30 days from assessment completion; and (v) withdraw the minimum tax provision for loss making companies. </w:t>
      </w:r>
    </w:p>
    <w:p w14:paraId="4D126BAE" w14:textId="202B9A91" w:rsidR="00007DF3" w:rsidRPr="0084003A" w:rsidRDefault="00007DF3" w:rsidP="0084003A">
      <w:pPr>
        <w:pStyle w:val="ListParagraph"/>
        <w:numPr>
          <w:ilvl w:val="0"/>
          <w:numId w:val="3"/>
        </w:numPr>
        <w:spacing w:after="240" w:line="276" w:lineRule="auto"/>
        <w:jc w:val="both"/>
        <w:rPr>
          <w:i/>
        </w:rPr>
      </w:pPr>
      <w:r w:rsidRPr="00E632CA">
        <w:t xml:space="preserve">A simplified low-tax regime will eliminate the need for expensive tax holidays and tax exemptions.  But when these are provided, these must be done in a simple non-discretionary way. </w:t>
      </w:r>
    </w:p>
    <w:p w14:paraId="56B9D796" w14:textId="14628AA9" w:rsidR="00007DF3" w:rsidRPr="00E632CA" w:rsidRDefault="00143C8B" w:rsidP="00007DF3">
      <w:pPr>
        <w:pStyle w:val="ListParagraph"/>
        <w:numPr>
          <w:ilvl w:val="0"/>
          <w:numId w:val="3"/>
        </w:numPr>
        <w:spacing w:after="240" w:line="276" w:lineRule="auto"/>
        <w:jc w:val="both"/>
      </w:pPr>
      <w:r>
        <w:t>The NBR needs to transform to</w:t>
      </w:r>
      <w:r w:rsidR="00007DF3" w:rsidRPr="00E632CA">
        <w:t xml:space="preserve"> a tax service agency rather than a </w:t>
      </w:r>
      <w:r w:rsidR="00460181" w:rsidRPr="00E632CA">
        <w:t>tax-policing</w:t>
      </w:r>
      <w:r w:rsidR="00007DF3" w:rsidRPr="00E632CA">
        <w:t xml:space="preserve"> agency with professional staff and service orientation.</w:t>
      </w:r>
    </w:p>
    <w:p w14:paraId="32908C7B" w14:textId="77777777" w:rsidR="00007DF3" w:rsidRPr="00E632CA" w:rsidRDefault="00007DF3" w:rsidP="00007DF3">
      <w:pPr>
        <w:pStyle w:val="ListParagraph"/>
        <w:numPr>
          <w:ilvl w:val="0"/>
          <w:numId w:val="3"/>
        </w:numPr>
        <w:spacing w:after="240" w:line="276" w:lineRule="auto"/>
        <w:jc w:val="both"/>
      </w:pPr>
      <w:r w:rsidRPr="00E632CA">
        <w:t>The interface between NBR staff and corporate staff should be minimized through digitized transactions.</w:t>
      </w:r>
    </w:p>
    <w:p w14:paraId="75D79F14" w14:textId="7287F326" w:rsidR="00007DF3" w:rsidRPr="00E632CA" w:rsidRDefault="00007DF3" w:rsidP="005753F2">
      <w:pPr>
        <w:pStyle w:val="ListParagraph"/>
        <w:numPr>
          <w:ilvl w:val="0"/>
          <w:numId w:val="3"/>
        </w:numPr>
        <w:spacing w:after="240" w:line="276" w:lineRule="auto"/>
        <w:jc w:val="both"/>
      </w:pPr>
      <w:r w:rsidRPr="00E632CA">
        <w:t xml:space="preserve">Dispute resolution mechanism including ADR must be made more efficient and effective.  </w:t>
      </w:r>
    </w:p>
    <w:p w14:paraId="5BA47C22" w14:textId="4C9D6ED8" w:rsidR="00E632CA" w:rsidRPr="00E632CA" w:rsidRDefault="00533733" w:rsidP="00E632CA">
      <w:pPr>
        <w:pStyle w:val="Heading2"/>
        <w:spacing w:line="480" w:lineRule="auto"/>
        <w:rPr>
          <w:rFonts w:ascii="Times New Roman" w:hAnsi="Times New Roman" w:cs="Times New Roman"/>
          <w:color w:val="auto"/>
          <w:sz w:val="24"/>
          <w:szCs w:val="24"/>
        </w:rPr>
      </w:pPr>
      <w:bookmarkStart w:id="18" w:name="_Toc480722102"/>
      <w:r>
        <w:rPr>
          <w:rFonts w:ascii="Times New Roman" w:hAnsi="Times New Roman" w:cs="Times New Roman"/>
          <w:color w:val="auto"/>
          <w:sz w:val="24"/>
          <w:szCs w:val="24"/>
        </w:rPr>
        <w:t>4.3</w:t>
      </w:r>
      <w:r w:rsidR="007B7AF3">
        <w:rPr>
          <w:rFonts w:ascii="Times New Roman" w:hAnsi="Times New Roman" w:cs="Times New Roman"/>
          <w:color w:val="auto"/>
          <w:sz w:val="24"/>
          <w:szCs w:val="24"/>
        </w:rPr>
        <w:t xml:space="preserve"> Addressing</w:t>
      </w:r>
      <w:r w:rsidR="00007DF3" w:rsidRPr="00E632CA">
        <w:rPr>
          <w:rFonts w:ascii="Times New Roman" w:hAnsi="Times New Roman" w:cs="Times New Roman"/>
          <w:color w:val="auto"/>
          <w:sz w:val="24"/>
          <w:szCs w:val="24"/>
        </w:rPr>
        <w:t xml:space="preserve"> the infrastructure problem</w:t>
      </w:r>
      <w:bookmarkEnd w:id="18"/>
      <w:r w:rsidR="00E632CA" w:rsidRPr="00E632CA">
        <w:rPr>
          <w:rFonts w:ascii="Times New Roman" w:hAnsi="Times New Roman" w:cs="Times New Roman"/>
          <w:color w:val="auto"/>
          <w:sz w:val="24"/>
          <w:szCs w:val="24"/>
        </w:rPr>
        <w:t>.</w:t>
      </w:r>
    </w:p>
    <w:p w14:paraId="24976873" w14:textId="77777777" w:rsidR="00007DF3" w:rsidRPr="00E632CA" w:rsidRDefault="00007DF3" w:rsidP="00007DF3">
      <w:pPr>
        <w:spacing w:after="240" w:line="276" w:lineRule="auto"/>
      </w:pPr>
      <w:r w:rsidRPr="00E632CA">
        <w:t xml:space="preserve">Despite considerable new investments in power generation and transport, business responses show that supply of infrastructure services and trade logistics, especially port services, are of major concern.  Several steps can be taken in the short term. </w:t>
      </w:r>
    </w:p>
    <w:p w14:paraId="603A9D66" w14:textId="020588E2" w:rsidR="001266CB" w:rsidRDefault="00007DF3" w:rsidP="00007DF3">
      <w:pPr>
        <w:pStyle w:val="ListParagraph"/>
        <w:numPr>
          <w:ilvl w:val="0"/>
          <w:numId w:val="4"/>
        </w:numPr>
        <w:spacing w:after="240" w:line="276" w:lineRule="auto"/>
        <w:jc w:val="both"/>
      </w:pPr>
      <w:r w:rsidRPr="00E632CA">
        <w:t xml:space="preserve"> </w:t>
      </w:r>
      <w:r w:rsidR="001266CB">
        <w:t xml:space="preserve">Bangladesh needs to build multimodal transport network backed up high quality express roads, higher speed double track railway, and accessible and efficient river transport system backed by efficient container and cargo handling at designated places.  </w:t>
      </w:r>
      <w:r w:rsidR="00733F77">
        <w:t>It will facilitate trade and</w:t>
      </w:r>
      <w:r w:rsidR="001266CB">
        <w:t xml:space="preserve"> will help raise </w:t>
      </w:r>
      <w:r w:rsidR="00733F77">
        <w:t>the DB, GLI and GCI indices for Bangladesh.</w:t>
      </w:r>
      <w:r w:rsidR="00BD2F9B">
        <w:t xml:space="preserve">  In this context all highways connecting to Chittagong port should have access controlled express lanes immediately implemented.</w:t>
      </w:r>
    </w:p>
    <w:p w14:paraId="2A47CD55" w14:textId="43B530B0" w:rsidR="0084003A" w:rsidRDefault="0084003A" w:rsidP="00007DF3">
      <w:pPr>
        <w:pStyle w:val="ListParagraph"/>
        <w:numPr>
          <w:ilvl w:val="0"/>
          <w:numId w:val="4"/>
        </w:numPr>
        <w:spacing w:after="240" w:line="276" w:lineRule="auto"/>
        <w:jc w:val="both"/>
      </w:pPr>
      <w:r>
        <w:t xml:space="preserve">Ensure long term supply of gas, other energy, and power supply.  Urgently complete implementation of LNG imports and ensure effective availability to all industries, particularly to SEZs by 2019/2020.  Implement the Power sector Master plan diligently and on time.  The plan should be that there should be enough along </w:t>
      </w:r>
      <w:r w:rsidR="00831791">
        <w:t>with quality</w:t>
      </w:r>
      <w:r>
        <w:t xml:space="preserve"> transmission, an</w:t>
      </w:r>
      <w:r w:rsidR="00831791">
        <w:t xml:space="preserve">d distribution back up to ensure that all industries coming on line from 2020 onwards are given connection certainty within reasonably declared time.  After 2025 this should be automatic on demand.  This measure will raise Bangladesh’s ranking on the electricity related DB, GCI indices. </w:t>
      </w:r>
    </w:p>
    <w:p w14:paraId="5F8ED107" w14:textId="306A1F6F" w:rsidR="00007DF3" w:rsidRPr="00E632CA" w:rsidRDefault="00831791" w:rsidP="00007DF3">
      <w:pPr>
        <w:pStyle w:val="ListParagraph"/>
        <w:numPr>
          <w:ilvl w:val="0"/>
          <w:numId w:val="4"/>
        </w:numPr>
        <w:spacing w:after="240" w:line="276" w:lineRule="auto"/>
        <w:jc w:val="both"/>
      </w:pPr>
      <w:r>
        <w:t>Meanwhile, a</w:t>
      </w:r>
      <w:r w:rsidR="00007DF3" w:rsidRPr="00E632CA">
        <w:t xml:space="preserve">dopt a fair and equitable gas connection policy for business enterprises, rather than on an ad-hoc policy based on personal connections. In this regard, enterprises that were given gas connection commitments prior to new investments /expansion programmes (e.g. the example of </w:t>
      </w:r>
      <w:proofErr w:type="spellStart"/>
      <w:r w:rsidR="00007DF3" w:rsidRPr="00E632CA">
        <w:t>Jalalabad</w:t>
      </w:r>
      <w:proofErr w:type="spellEnd"/>
      <w:r w:rsidR="00007DF3" w:rsidRPr="00E632CA">
        <w:t xml:space="preserve"> Gas Co, cited earlier) must be provided with gas connections to avoid large financial loses. </w:t>
      </w:r>
    </w:p>
    <w:p w14:paraId="04F5DDCD" w14:textId="50FF8ABB" w:rsidR="00007DF3" w:rsidRPr="00E632CA" w:rsidRDefault="00007DF3" w:rsidP="00007DF3">
      <w:pPr>
        <w:pStyle w:val="ListParagraph"/>
        <w:numPr>
          <w:ilvl w:val="0"/>
          <w:numId w:val="4"/>
        </w:numPr>
        <w:spacing w:after="240" w:line="276" w:lineRule="auto"/>
        <w:jc w:val="both"/>
      </w:pPr>
      <w:r w:rsidRPr="00E632CA">
        <w:t>Public utilities</w:t>
      </w:r>
      <w:r w:rsidR="00831791">
        <w:t>, e.g</w:t>
      </w:r>
      <w:proofErr w:type="gramStart"/>
      <w:r w:rsidR="00831791">
        <w:t xml:space="preserve">. </w:t>
      </w:r>
      <w:r w:rsidRPr="00E632CA">
        <w:t xml:space="preserve"> DE</w:t>
      </w:r>
      <w:r w:rsidR="00831791">
        <w:t>SCO</w:t>
      </w:r>
      <w:proofErr w:type="gramEnd"/>
      <w:r w:rsidR="00831791">
        <w:t xml:space="preserve">, </w:t>
      </w:r>
      <w:proofErr w:type="spellStart"/>
      <w:r w:rsidR="00831791">
        <w:t>Titas</w:t>
      </w:r>
      <w:proofErr w:type="spellEnd"/>
      <w:r w:rsidR="00831791">
        <w:t xml:space="preserve"> Gas, </w:t>
      </w:r>
      <w:r w:rsidRPr="00E632CA">
        <w:t>WASA</w:t>
      </w:r>
      <w:r w:rsidR="00831791">
        <w:t xml:space="preserve">, REB, etc.) </w:t>
      </w:r>
      <w:r w:rsidRPr="00E632CA">
        <w:t xml:space="preserve"> must adopt a proper policy for supplying timely and quality services with well-defined service standards.  The transaction costs in terms of time and money must be reduced in line with good international practice, published and monitored. </w:t>
      </w:r>
    </w:p>
    <w:p w14:paraId="674AB64C" w14:textId="77777777" w:rsidR="00007DF3" w:rsidRPr="00E632CA" w:rsidRDefault="00007DF3" w:rsidP="00007DF3">
      <w:pPr>
        <w:pStyle w:val="ListParagraph"/>
        <w:numPr>
          <w:ilvl w:val="0"/>
          <w:numId w:val="4"/>
        </w:numPr>
        <w:spacing w:after="240" w:line="276" w:lineRule="auto"/>
        <w:jc w:val="both"/>
      </w:pPr>
      <w:r w:rsidRPr="00E632CA">
        <w:t xml:space="preserve">All utility services should be digitized so that personal interface is not needed. </w:t>
      </w:r>
    </w:p>
    <w:p w14:paraId="38405D9F" w14:textId="34C443D0" w:rsidR="00007DF3" w:rsidRDefault="00007DF3" w:rsidP="00007DF3">
      <w:pPr>
        <w:pStyle w:val="ListParagraph"/>
        <w:numPr>
          <w:ilvl w:val="0"/>
          <w:numId w:val="4"/>
        </w:numPr>
        <w:spacing w:before="240" w:after="240" w:line="276" w:lineRule="auto"/>
        <w:jc w:val="both"/>
      </w:pPr>
      <w:r w:rsidRPr="00E632CA">
        <w:t>Improve the turnaround time of ships as Chittagong port faces congestion affecting trade facilitation.  There is urgent need to increase handling capacity of the ports and also recruiting necessary manpower.</w:t>
      </w:r>
      <w:r w:rsidR="00831791">
        <w:t xml:space="preserve">  The target should be to reach th</w:t>
      </w:r>
      <w:r w:rsidR="00D60D72">
        <w:t>e level of Colombo in both Turn-A</w:t>
      </w:r>
      <w:r w:rsidR="00831791">
        <w:t>round t</w:t>
      </w:r>
      <w:r w:rsidR="007B7AF3">
        <w:t>ime and Throughput by 2022.</w:t>
      </w:r>
      <w:r w:rsidR="00831791">
        <w:t xml:space="preserve"> This will improve Bangladesh’s </w:t>
      </w:r>
      <w:r w:rsidR="00733F77">
        <w:t xml:space="preserve">DB, </w:t>
      </w:r>
      <w:r w:rsidR="00831791">
        <w:t>GCI and GLI rankings.</w:t>
      </w:r>
    </w:p>
    <w:p w14:paraId="78CE7966" w14:textId="7F57ECF4" w:rsidR="00831791" w:rsidRPr="00E632CA" w:rsidRDefault="00831791" w:rsidP="007B7AF3">
      <w:pPr>
        <w:pStyle w:val="ListParagraph"/>
        <w:numPr>
          <w:ilvl w:val="0"/>
          <w:numId w:val="4"/>
        </w:numPr>
        <w:spacing w:line="276" w:lineRule="auto"/>
      </w:pPr>
      <w:r>
        <w:t>Accelerate implementation of the Deep seaport so that the Throughput of Bangladesh can be at par with ports like Shanghai.</w:t>
      </w:r>
      <w:r w:rsidR="00BD2F9B">
        <w:t xml:space="preserve"> </w:t>
      </w:r>
      <w:r w:rsidR="00BD2F9B" w:rsidRPr="00BD2F9B">
        <w:t>Use private investments through PPPs, particularly in improving capacity of Chittagong port in the short to medium term, and building the new deep-sea port in the longer run.</w:t>
      </w:r>
    </w:p>
    <w:p w14:paraId="185478B4" w14:textId="77777777" w:rsidR="00007DF3" w:rsidRPr="00E632CA" w:rsidRDefault="00007DF3" w:rsidP="00007DF3">
      <w:pPr>
        <w:pStyle w:val="ListParagraph"/>
        <w:numPr>
          <w:ilvl w:val="0"/>
          <w:numId w:val="4"/>
        </w:numPr>
        <w:spacing w:before="240" w:after="240" w:line="276" w:lineRule="auto"/>
        <w:jc w:val="both"/>
      </w:pPr>
      <w:r w:rsidRPr="00E632CA">
        <w:t>The Dhaka airport’s cargo handling facility needs to be improved urgently. A possible solution is to outsource the airport cargo handling services to the private sector and appoint the Civil Aviation Authority as a regulatory body.</w:t>
      </w:r>
    </w:p>
    <w:p w14:paraId="7BA73FFE" w14:textId="77777777" w:rsidR="00007DF3" w:rsidRPr="00E632CA" w:rsidRDefault="00007DF3" w:rsidP="00007DF3">
      <w:pPr>
        <w:pStyle w:val="ListParagraph"/>
        <w:numPr>
          <w:ilvl w:val="0"/>
          <w:numId w:val="4"/>
        </w:numPr>
        <w:tabs>
          <w:tab w:val="left" w:pos="450"/>
        </w:tabs>
        <w:spacing w:before="240" w:after="240" w:line="276" w:lineRule="auto"/>
        <w:jc w:val="both"/>
      </w:pPr>
      <w:r w:rsidRPr="00E632CA">
        <w:t xml:space="preserve">For ensuring road safety, the Bangladesh Road Transport Authority (BRTA) needs to reintroduce mandatory installation of speed governors in trucks and buses to control their speed and enforce it through the routine fitness test. </w:t>
      </w:r>
    </w:p>
    <w:p w14:paraId="5A4EF2BA" w14:textId="77777777" w:rsidR="00007DF3" w:rsidRPr="00E632CA" w:rsidRDefault="00007DF3" w:rsidP="00007DF3">
      <w:pPr>
        <w:pStyle w:val="ListParagraph"/>
        <w:numPr>
          <w:ilvl w:val="0"/>
          <w:numId w:val="4"/>
        </w:numPr>
        <w:tabs>
          <w:tab w:val="left" w:pos="450"/>
        </w:tabs>
        <w:spacing w:before="240" w:after="240" w:line="276" w:lineRule="auto"/>
        <w:jc w:val="both"/>
      </w:pPr>
      <w:r w:rsidRPr="00E632CA">
        <w:t>Revive use of railway for transporting tea from Sylhet Division to Chittagong for auction, thereby reducing pressure on Sylhet-Chittagong road connection.</w:t>
      </w:r>
    </w:p>
    <w:p w14:paraId="21C2A25D" w14:textId="77777777" w:rsidR="00007DF3" w:rsidRPr="00E632CA" w:rsidRDefault="00007DF3" w:rsidP="00007DF3">
      <w:pPr>
        <w:spacing w:after="240" w:line="276" w:lineRule="auto"/>
        <w:jc w:val="both"/>
      </w:pPr>
      <w:r w:rsidRPr="00E632CA">
        <w:t xml:space="preserve">Additional measures are necessary over the medium term. </w:t>
      </w:r>
    </w:p>
    <w:p w14:paraId="42DB86A1" w14:textId="77777777" w:rsidR="00007DF3" w:rsidRPr="00E632CA" w:rsidRDefault="00007DF3" w:rsidP="00007DF3">
      <w:pPr>
        <w:pStyle w:val="ListParagraph"/>
        <w:numPr>
          <w:ilvl w:val="0"/>
          <w:numId w:val="5"/>
        </w:numPr>
        <w:spacing w:after="240" w:line="276" w:lineRule="auto"/>
        <w:jc w:val="both"/>
      </w:pPr>
      <w:r w:rsidRPr="00E632CA">
        <w:t xml:space="preserve">The service quality in all land, air and </w:t>
      </w:r>
      <w:proofErr w:type="gramStart"/>
      <w:r w:rsidRPr="00E632CA">
        <w:t>sea ports</w:t>
      </w:r>
      <w:proofErr w:type="gramEnd"/>
      <w:r w:rsidRPr="00E632CA">
        <w:t xml:space="preserve"> need substantial upgrading through investments in port facilities, digitization and better staffing. </w:t>
      </w:r>
    </w:p>
    <w:p w14:paraId="7AC894D8" w14:textId="77777777" w:rsidR="00007DF3" w:rsidRPr="00E632CA" w:rsidRDefault="00007DF3" w:rsidP="00007DF3">
      <w:pPr>
        <w:pStyle w:val="ListParagraph"/>
        <w:numPr>
          <w:ilvl w:val="0"/>
          <w:numId w:val="5"/>
        </w:numPr>
        <w:spacing w:after="240" w:line="276" w:lineRule="auto"/>
        <w:jc w:val="both"/>
      </w:pPr>
      <w:r w:rsidRPr="00E632CA">
        <w:t>Connectivity from Chittagong Port to factory-gate service could be substantially improved by developing the inland water and rail services.</w:t>
      </w:r>
    </w:p>
    <w:p w14:paraId="7C0311CF" w14:textId="77777777" w:rsidR="00007DF3" w:rsidRPr="00E632CA" w:rsidRDefault="00007DF3" w:rsidP="00007DF3">
      <w:pPr>
        <w:pStyle w:val="ListParagraph"/>
        <w:numPr>
          <w:ilvl w:val="0"/>
          <w:numId w:val="5"/>
        </w:numPr>
        <w:tabs>
          <w:tab w:val="left" w:pos="450"/>
        </w:tabs>
        <w:spacing w:before="240" w:after="240" w:line="276" w:lineRule="auto"/>
        <w:jc w:val="both"/>
      </w:pPr>
      <w:r w:rsidRPr="00E632CA">
        <w:t xml:space="preserve">Establish a new Inland Container Depot (ICD) in the proposed site of </w:t>
      </w:r>
      <w:proofErr w:type="spellStart"/>
      <w:r w:rsidRPr="00E632CA">
        <w:t>Dhirasram</w:t>
      </w:r>
      <w:proofErr w:type="spellEnd"/>
      <w:r w:rsidRPr="00E632CA">
        <w:t xml:space="preserve"> in </w:t>
      </w:r>
      <w:proofErr w:type="spellStart"/>
      <w:r w:rsidRPr="00E632CA">
        <w:t>Tongi</w:t>
      </w:r>
      <w:proofErr w:type="spellEnd"/>
      <w:r w:rsidRPr="00E632CA">
        <w:t xml:space="preserve"> to ease the pressure on Kamlapur ICD and its connecting roads.</w:t>
      </w:r>
    </w:p>
    <w:p w14:paraId="1CCF2F68" w14:textId="77777777" w:rsidR="00007DF3" w:rsidRPr="00E632CA" w:rsidRDefault="00007DF3" w:rsidP="00007DF3">
      <w:pPr>
        <w:pStyle w:val="ListParagraph"/>
        <w:numPr>
          <w:ilvl w:val="0"/>
          <w:numId w:val="5"/>
        </w:numPr>
        <w:spacing w:after="240" w:line="276" w:lineRule="auto"/>
        <w:jc w:val="both"/>
      </w:pPr>
      <w:r w:rsidRPr="00E632CA">
        <w:t>The waste management and disposal service for manufacturing enterprises needs urgent attention with possible PPP solutions.</w:t>
      </w:r>
    </w:p>
    <w:p w14:paraId="535A7056" w14:textId="77777777" w:rsidR="00007DF3" w:rsidRPr="00E632CA" w:rsidRDefault="00007DF3" w:rsidP="00007DF3">
      <w:pPr>
        <w:pStyle w:val="ListParagraph"/>
        <w:numPr>
          <w:ilvl w:val="0"/>
          <w:numId w:val="5"/>
        </w:numPr>
        <w:spacing w:after="240" w:line="276" w:lineRule="auto"/>
        <w:jc w:val="both"/>
      </w:pPr>
      <w:r w:rsidRPr="00E632CA">
        <w:t>Over the longer term much higher investments in infrastructure will be needed. Public sector alone cannot deliver this.  The PPP initiative is dormant and must be energized by over-hauling the institution with internationally trained experts and a well thought out enabling framework learning from international good practices.</w:t>
      </w:r>
    </w:p>
    <w:p w14:paraId="0ED89165" w14:textId="3A09FA49" w:rsidR="00007DF3" w:rsidRPr="00E632CA" w:rsidRDefault="00007DF3" w:rsidP="005753F2">
      <w:pPr>
        <w:pStyle w:val="ListParagraph"/>
        <w:numPr>
          <w:ilvl w:val="0"/>
          <w:numId w:val="5"/>
        </w:numPr>
        <w:spacing w:after="240" w:line="276" w:lineRule="auto"/>
        <w:jc w:val="both"/>
      </w:pPr>
      <w:r w:rsidRPr="00E632CA">
        <w:t>China, Japan and Korea have substantial capacity and funding to develop large infrastructure projects on a turnkey basis. The government should look into this carefully.</w:t>
      </w:r>
    </w:p>
    <w:p w14:paraId="254E8F3C" w14:textId="27A11C1A" w:rsidR="00007DF3" w:rsidRPr="00E632CA" w:rsidRDefault="00533733" w:rsidP="00E632CA">
      <w:pPr>
        <w:pStyle w:val="Heading2"/>
        <w:spacing w:line="480" w:lineRule="auto"/>
        <w:rPr>
          <w:rFonts w:ascii="Times New Roman" w:hAnsi="Times New Roman" w:cs="Times New Roman"/>
          <w:color w:val="auto"/>
          <w:sz w:val="24"/>
          <w:szCs w:val="24"/>
        </w:rPr>
      </w:pPr>
      <w:bookmarkStart w:id="19" w:name="_Toc480722103"/>
      <w:r>
        <w:rPr>
          <w:rFonts w:ascii="Times New Roman" w:hAnsi="Times New Roman" w:cs="Times New Roman"/>
          <w:color w:val="auto"/>
          <w:sz w:val="24"/>
          <w:szCs w:val="24"/>
        </w:rPr>
        <w:t>4.4</w:t>
      </w:r>
      <w:r w:rsidR="007B7AF3">
        <w:rPr>
          <w:rFonts w:ascii="Times New Roman" w:hAnsi="Times New Roman" w:cs="Times New Roman"/>
          <w:color w:val="auto"/>
          <w:sz w:val="24"/>
          <w:szCs w:val="24"/>
        </w:rPr>
        <w:t xml:space="preserve"> Strengthening</w:t>
      </w:r>
      <w:r w:rsidR="00007DF3" w:rsidRPr="00E632CA">
        <w:rPr>
          <w:rFonts w:ascii="Times New Roman" w:hAnsi="Times New Roman" w:cs="Times New Roman"/>
          <w:color w:val="auto"/>
          <w:sz w:val="24"/>
          <w:szCs w:val="24"/>
        </w:rPr>
        <w:t xml:space="preserve"> land administration</w:t>
      </w:r>
      <w:bookmarkEnd w:id="19"/>
    </w:p>
    <w:p w14:paraId="2BD384E8" w14:textId="71F51CE2" w:rsidR="005753F2" w:rsidRDefault="00007DF3" w:rsidP="005753F2">
      <w:pPr>
        <w:spacing w:after="240" w:line="276" w:lineRule="auto"/>
        <w:jc w:val="both"/>
      </w:pPr>
      <w:r w:rsidRPr="00E632CA">
        <w:t xml:space="preserve">The long delays and high cost of land procurement are reflective of another binding constraint to private investment: the availability of land for manufacturing enterprises.  The land market is very inefficient in view of weak land ownership data, lack of computerization of land records, poor zoning laws, and high transaction cost. On top, population pressure and rapid urbanization have contributed to a growing scarcity of urban land.  As land prices have sky rocketed so have land disputes and various forms of corruption including land grabbing. </w:t>
      </w:r>
    </w:p>
    <w:p w14:paraId="4A4D44C1" w14:textId="77777777" w:rsidR="00E632CA" w:rsidRDefault="00E632CA" w:rsidP="00E632CA">
      <w:pPr>
        <w:pStyle w:val="ListParagraph"/>
        <w:numPr>
          <w:ilvl w:val="0"/>
          <w:numId w:val="6"/>
        </w:numPr>
        <w:spacing w:after="240" w:line="276" w:lineRule="auto"/>
        <w:jc w:val="both"/>
      </w:pPr>
      <w:r w:rsidRPr="00E632CA">
        <w:t>Computerize all land ownership data.</w:t>
      </w:r>
    </w:p>
    <w:p w14:paraId="6361F805" w14:textId="182E648A" w:rsidR="005753F2" w:rsidRDefault="005753F2" w:rsidP="00E632CA">
      <w:pPr>
        <w:pStyle w:val="ListParagraph"/>
        <w:numPr>
          <w:ilvl w:val="0"/>
          <w:numId w:val="6"/>
        </w:numPr>
        <w:spacing w:after="240" w:line="276" w:lineRule="auto"/>
        <w:jc w:val="both"/>
      </w:pPr>
      <w:r>
        <w:t xml:space="preserve">As priority complete cadastral survey using digital and satellite technology and digital record of rights of all land in greater Dhaka (includes Gazipur, Narayanganj, </w:t>
      </w:r>
      <w:proofErr w:type="spellStart"/>
      <w:r>
        <w:t>Narsingdhi</w:t>
      </w:r>
      <w:proofErr w:type="spellEnd"/>
      <w:r>
        <w:t xml:space="preserve">, </w:t>
      </w:r>
      <w:proofErr w:type="spellStart"/>
      <w:r>
        <w:t>Manikganj</w:t>
      </w:r>
      <w:proofErr w:type="spellEnd"/>
      <w:r>
        <w:t xml:space="preserve">, </w:t>
      </w:r>
      <w:proofErr w:type="spellStart"/>
      <w:r>
        <w:t>Munshiganj</w:t>
      </w:r>
      <w:proofErr w:type="spellEnd"/>
      <w:r>
        <w:t xml:space="preserve">, and </w:t>
      </w:r>
      <w:proofErr w:type="spellStart"/>
      <w:r>
        <w:t>Tangail</w:t>
      </w:r>
      <w:proofErr w:type="spellEnd"/>
      <w:r>
        <w:t xml:space="preserve"> Districts</w:t>
      </w:r>
      <w:proofErr w:type="gramStart"/>
      <w:r>
        <w:t>)  and</w:t>
      </w:r>
      <w:proofErr w:type="gramEnd"/>
      <w:r>
        <w:t xml:space="preserve"> greater Chittagong (includes Cox’s bazar District).</w:t>
      </w:r>
    </w:p>
    <w:p w14:paraId="3E352738" w14:textId="7E87F1E9" w:rsidR="005753F2" w:rsidRPr="00E632CA" w:rsidRDefault="005753F2" w:rsidP="00E632CA">
      <w:pPr>
        <w:pStyle w:val="ListParagraph"/>
        <w:numPr>
          <w:ilvl w:val="0"/>
          <w:numId w:val="6"/>
        </w:numPr>
        <w:spacing w:after="240" w:line="276" w:lineRule="auto"/>
        <w:jc w:val="both"/>
      </w:pPr>
      <w:r>
        <w:t>Work with Ministry of Land</w:t>
      </w:r>
      <w:r w:rsidR="003518E8">
        <w:t xml:space="preserve"> and other concerned Ministries</w:t>
      </w:r>
      <w:r>
        <w:t xml:space="preserve"> in </w:t>
      </w:r>
      <w:r w:rsidR="003518E8">
        <w:t xml:space="preserve">comprehensive </w:t>
      </w:r>
      <w:proofErr w:type="gramStart"/>
      <w:r>
        <w:t>Zoning</w:t>
      </w:r>
      <w:proofErr w:type="gramEnd"/>
      <w:r>
        <w:t xml:space="preserve"> the whole of Bangladesh, starting as priority greater Dhaka and </w:t>
      </w:r>
      <w:r w:rsidR="003518E8">
        <w:t>Chittagong</w:t>
      </w:r>
      <w:r>
        <w:t>.</w:t>
      </w:r>
    </w:p>
    <w:p w14:paraId="115383D9" w14:textId="77777777" w:rsidR="00E632CA" w:rsidRPr="00E632CA" w:rsidRDefault="00E632CA" w:rsidP="00E632CA">
      <w:pPr>
        <w:pStyle w:val="ListParagraph"/>
        <w:numPr>
          <w:ilvl w:val="0"/>
          <w:numId w:val="6"/>
        </w:numPr>
        <w:spacing w:after="240" w:line="276" w:lineRule="auto"/>
        <w:jc w:val="both"/>
      </w:pPr>
      <w:r w:rsidRPr="00E632CA">
        <w:t>Undertake regulatory reforms to simplify land transactions and registration and reduce the cost of land registration in terms of both time and finances.</w:t>
      </w:r>
    </w:p>
    <w:p w14:paraId="4BF5C63E" w14:textId="77777777" w:rsidR="00E632CA" w:rsidRPr="00E632CA" w:rsidRDefault="00E632CA" w:rsidP="00E632CA">
      <w:pPr>
        <w:pStyle w:val="ListParagraph"/>
        <w:numPr>
          <w:ilvl w:val="0"/>
          <w:numId w:val="6"/>
        </w:numPr>
        <w:spacing w:after="240" w:line="276" w:lineRule="auto"/>
        <w:jc w:val="both"/>
      </w:pPr>
      <w:r w:rsidRPr="00E632CA">
        <w:t xml:space="preserve">Implement institutional reforms to improve land administration and record keeping. </w:t>
      </w:r>
    </w:p>
    <w:p w14:paraId="6FF4B4E1" w14:textId="464CD6FA" w:rsidR="00E632CA" w:rsidRPr="00E632CA" w:rsidRDefault="00533733" w:rsidP="00007DF3">
      <w:pPr>
        <w:spacing w:after="240" w:line="276" w:lineRule="auto"/>
        <w:jc w:val="both"/>
        <w:rPr>
          <w:b/>
        </w:rPr>
      </w:pPr>
      <w:r>
        <w:rPr>
          <w:b/>
        </w:rPr>
        <w:t xml:space="preserve">4.5 </w:t>
      </w:r>
      <w:r w:rsidR="00E632CA">
        <w:rPr>
          <w:b/>
        </w:rPr>
        <w:t xml:space="preserve">Make all necessary policies, rules, </w:t>
      </w:r>
      <w:r w:rsidR="002514C7">
        <w:rPr>
          <w:b/>
        </w:rPr>
        <w:t>and procedures</w:t>
      </w:r>
      <w:r w:rsidR="00E632CA">
        <w:rPr>
          <w:b/>
        </w:rPr>
        <w:t xml:space="preserve"> including </w:t>
      </w:r>
      <w:r w:rsidR="002514C7">
        <w:rPr>
          <w:b/>
        </w:rPr>
        <w:t>proposed One Stop Service (</w:t>
      </w:r>
      <w:r w:rsidR="00E632CA">
        <w:rPr>
          <w:b/>
        </w:rPr>
        <w:t>OSS</w:t>
      </w:r>
      <w:r w:rsidR="002514C7">
        <w:rPr>
          <w:b/>
        </w:rPr>
        <w:t>)</w:t>
      </w:r>
      <w:r w:rsidR="00E632CA">
        <w:rPr>
          <w:b/>
        </w:rPr>
        <w:t xml:space="preserve"> fully operational for SEZs</w:t>
      </w:r>
      <w:r w:rsidR="002514C7">
        <w:rPr>
          <w:b/>
        </w:rPr>
        <w:t xml:space="preserve"> in the short run</w:t>
      </w:r>
      <w:r w:rsidR="00E632CA">
        <w:rPr>
          <w:b/>
        </w:rPr>
        <w:t>.</w:t>
      </w:r>
    </w:p>
    <w:p w14:paraId="51D9A579" w14:textId="1A46A1FB" w:rsidR="00007DF3" w:rsidRPr="00E632CA" w:rsidRDefault="00007DF3" w:rsidP="00007DF3">
      <w:pPr>
        <w:spacing w:after="240" w:line="276" w:lineRule="auto"/>
        <w:jc w:val="both"/>
      </w:pPr>
      <w:r w:rsidRPr="00E632CA">
        <w:t xml:space="preserve">The government has recognized this constraint and has responded by developing SEZs.  This is an excellent initiative. However, the process of completing SEZs in a shape that such that they land can be immediately used for productive purposes is fairly long. Also, the demand for land far outstrips the SEZ plans.  So, measures will have to be taken to both </w:t>
      </w:r>
      <w:r w:rsidR="002514C7">
        <w:t>fast-</w:t>
      </w:r>
      <w:r w:rsidR="002514C7" w:rsidRPr="00E632CA">
        <w:t>track</w:t>
      </w:r>
      <w:r w:rsidRPr="00E632CA">
        <w:t xml:space="preserve"> the completion of SEZ projects as well as to develop the land market to facilitate efficient private land transactions.  A range of policy actions are needed here including:</w:t>
      </w:r>
    </w:p>
    <w:p w14:paraId="4F6DD8AD" w14:textId="5CC75A0D" w:rsidR="00733F77" w:rsidRDefault="00733F77" w:rsidP="00007DF3">
      <w:pPr>
        <w:pStyle w:val="ListParagraph"/>
        <w:numPr>
          <w:ilvl w:val="0"/>
          <w:numId w:val="6"/>
        </w:numPr>
        <w:spacing w:after="240" w:line="276" w:lineRule="auto"/>
        <w:jc w:val="both"/>
      </w:pPr>
      <w:r>
        <w:t xml:space="preserve">BEZA should immediately operationalize its OSS, given that it will be much easy to implement within each SEZ.  </w:t>
      </w:r>
    </w:p>
    <w:p w14:paraId="29E90BC0" w14:textId="77777777" w:rsidR="00007DF3" w:rsidRDefault="00007DF3" w:rsidP="00007DF3">
      <w:pPr>
        <w:pStyle w:val="ListParagraph"/>
        <w:numPr>
          <w:ilvl w:val="0"/>
          <w:numId w:val="6"/>
        </w:numPr>
        <w:spacing w:after="240" w:line="276" w:lineRule="auto"/>
        <w:jc w:val="both"/>
      </w:pPr>
      <w:r w:rsidRPr="00E632CA">
        <w:t xml:space="preserve">Ensure timely supply of necessary social and economic infrastructure to enable quick completion of SEZs.  In addition to supply of road connectivity, electricity, gas and water supply, schooling facilities also need to be provided to enable worker and family relocation to SEZs </w:t>
      </w:r>
    </w:p>
    <w:p w14:paraId="483F296C" w14:textId="5F9F4D05" w:rsidR="005856CE" w:rsidRDefault="005856CE" w:rsidP="00007DF3">
      <w:pPr>
        <w:pStyle w:val="ListParagraph"/>
        <w:numPr>
          <w:ilvl w:val="0"/>
          <w:numId w:val="6"/>
        </w:numPr>
        <w:spacing w:after="240" w:line="276" w:lineRule="auto"/>
        <w:jc w:val="both"/>
      </w:pPr>
      <w:r>
        <w:t>BEZA should complete the Mirershai SEZ within its stipulated time and ensure that at</w:t>
      </w:r>
      <w:r w:rsidR="00460181">
        <w:t xml:space="preserve"> </w:t>
      </w:r>
      <w:r>
        <w:t xml:space="preserve">least one anchor investor (e.g. Samsung or Toyota type global brand) sets factory there within 2020, followed </w:t>
      </w:r>
      <w:r w:rsidR="009746E8">
        <w:t>by another by 2023.  In between other industry could be set up.</w:t>
      </w:r>
    </w:p>
    <w:p w14:paraId="3FC64328" w14:textId="3566FCDA" w:rsidR="009746E8" w:rsidRDefault="009746E8" w:rsidP="00007DF3">
      <w:pPr>
        <w:pStyle w:val="ListParagraph"/>
        <w:numPr>
          <w:ilvl w:val="0"/>
          <w:numId w:val="6"/>
        </w:numPr>
        <w:spacing w:after="240" w:line="276" w:lineRule="auto"/>
        <w:jc w:val="both"/>
      </w:pPr>
      <w:r>
        <w:t>Ensure that Chinese and India specific Anwara, Kushtia, and Mongla SEZs be up an</w:t>
      </w:r>
      <w:r w:rsidR="00B60EAD">
        <w:t>d</w:t>
      </w:r>
      <w:r>
        <w:t xml:space="preserve"> running within 2020. </w:t>
      </w:r>
    </w:p>
    <w:p w14:paraId="2B8120F9" w14:textId="77777777" w:rsidR="00056BC6" w:rsidRPr="009746E8" w:rsidRDefault="00056BC6" w:rsidP="00056BC6">
      <w:pPr>
        <w:pStyle w:val="ListParagraph"/>
        <w:widowControl w:val="0"/>
        <w:numPr>
          <w:ilvl w:val="0"/>
          <w:numId w:val="6"/>
        </w:numPr>
        <w:autoSpaceDE w:val="0"/>
        <w:autoSpaceDN w:val="0"/>
        <w:adjustRightInd w:val="0"/>
        <w:spacing w:line="276" w:lineRule="auto"/>
        <w:jc w:val="both"/>
      </w:pPr>
      <w:r w:rsidRPr="009746E8">
        <w:t xml:space="preserve">The success of BEZA will greatly depend on its capacity to manage implementation of PPP based zones.  It needs to work closely with PPP Office for it.  Besides, it should find ways of leveraging BEPZA experience in not only Zone development but also the PPPs implemented by them in their EPZs.  </w:t>
      </w:r>
    </w:p>
    <w:p w14:paraId="6AC1E528" w14:textId="7EF98E13" w:rsidR="00056BC6" w:rsidRPr="00E632CA" w:rsidRDefault="00056BC6" w:rsidP="00007DF3">
      <w:pPr>
        <w:pStyle w:val="ListParagraph"/>
        <w:numPr>
          <w:ilvl w:val="0"/>
          <w:numId w:val="6"/>
        </w:numPr>
        <w:spacing w:after="240" w:line="276" w:lineRule="auto"/>
        <w:jc w:val="both"/>
      </w:pPr>
      <w:r>
        <w:t xml:space="preserve">Since BIDA has </w:t>
      </w:r>
      <w:r w:rsidR="000C6FF8">
        <w:t>SOE assets in its control it could work with BEPZA or BEZA to develop these as economic Zones.  BEPZA’s experience in successfully converting two SOEs into EPZs can be used.</w:t>
      </w:r>
    </w:p>
    <w:p w14:paraId="6C74A04F" w14:textId="77777777" w:rsidR="00007DF3" w:rsidRPr="00E632CA" w:rsidRDefault="00007DF3" w:rsidP="00007DF3">
      <w:pPr>
        <w:pStyle w:val="ListParagraph"/>
        <w:numPr>
          <w:ilvl w:val="0"/>
          <w:numId w:val="6"/>
        </w:numPr>
        <w:spacing w:after="240" w:line="276" w:lineRule="auto"/>
        <w:jc w:val="both"/>
      </w:pPr>
      <w:r w:rsidRPr="00E632CA">
        <w:t>Facilitate private investments in SEZs to provide land for domestic and foreign private investors, including simplifying the clearance procedures and ensuring that these clearances are provided without inordinate delays, and ensuring timely infrastructure supply to the private EZs.</w:t>
      </w:r>
    </w:p>
    <w:p w14:paraId="5136F58D" w14:textId="77777777" w:rsidR="00007DF3" w:rsidRPr="00E632CA" w:rsidRDefault="00007DF3" w:rsidP="00007DF3">
      <w:pPr>
        <w:pStyle w:val="ListParagraph"/>
        <w:numPr>
          <w:ilvl w:val="0"/>
          <w:numId w:val="6"/>
        </w:numPr>
        <w:spacing w:after="240" w:line="276" w:lineRule="auto"/>
        <w:jc w:val="both"/>
      </w:pPr>
      <w:r w:rsidRPr="00E632CA">
        <w:t xml:space="preserve">Revisit the restrictions on agricultural land holdings to facilitate commercial agriculture for agro-processing industries </w:t>
      </w:r>
    </w:p>
    <w:p w14:paraId="44770FFE" w14:textId="77777777" w:rsidR="00007DF3" w:rsidRPr="00E632CA" w:rsidRDefault="00007DF3" w:rsidP="00007DF3">
      <w:pPr>
        <w:pStyle w:val="ListParagraph"/>
        <w:numPr>
          <w:ilvl w:val="0"/>
          <w:numId w:val="6"/>
        </w:numPr>
        <w:spacing w:after="240" w:line="276" w:lineRule="auto"/>
        <w:jc w:val="both"/>
      </w:pPr>
      <w:r w:rsidRPr="00E632CA">
        <w:t>Strengthen enforcement of zoning laws. This is a serious problem causing haphazard growth of commercial enterprises in residential areas that has contributed to severe traffic jams and law and order problems.</w:t>
      </w:r>
    </w:p>
    <w:p w14:paraId="26AD6116" w14:textId="29248092" w:rsidR="00007DF3" w:rsidRPr="00E632CA" w:rsidRDefault="005856CE" w:rsidP="00825C13">
      <w:pPr>
        <w:pStyle w:val="ListParagraph"/>
        <w:widowControl w:val="0"/>
        <w:numPr>
          <w:ilvl w:val="0"/>
          <w:numId w:val="6"/>
        </w:numPr>
        <w:autoSpaceDE w:val="0"/>
        <w:autoSpaceDN w:val="0"/>
        <w:adjustRightInd w:val="0"/>
        <w:spacing w:line="276" w:lineRule="auto"/>
        <w:jc w:val="both"/>
      </w:pPr>
      <w:r w:rsidRPr="00825C13">
        <w:t>Given the difficulty in building new institutions and also having different institutions (BEZA, BEPZA, HTPA, Private EPZ Cell, BSCIC) pursuing the same goal under different paradigms, it would be optimum for a country like Bangladesh to have one Authority regulating the entire zone development program, be it private, public, or PPP.  One challenge will be to separate regula</w:t>
      </w:r>
      <w:r w:rsidR="009746E8" w:rsidRPr="00825C13">
        <w:t xml:space="preserve">tory authority from development of public funded zones.  </w:t>
      </w:r>
    </w:p>
    <w:p w14:paraId="378E5909" w14:textId="0C5FA6E5" w:rsidR="00007DF3" w:rsidRPr="003518E8" w:rsidRDefault="00533733" w:rsidP="003518E8">
      <w:pPr>
        <w:pStyle w:val="Heading2"/>
        <w:spacing w:line="480" w:lineRule="auto"/>
        <w:rPr>
          <w:rFonts w:ascii="Times New Roman" w:hAnsi="Times New Roman" w:cs="Times New Roman"/>
          <w:color w:val="auto"/>
          <w:sz w:val="24"/>
          <w:szCs w:val="24"/>
        </w:rPr>
      </w:pPr>
      <w:bookmarkStart w:id="20" w:name="_Toc480722105"/>
      <w:r>
        <w:rPr>
          <w:rFonts w:ascii="Times New Roman" w:hAnsi="Times New Roman" w:cs="Times New Roman"/>
          <w:color w:val="auto"/>
          <w:sz w:val="24"/>
          <w:szCs w:val="24"/>
        </w:rPr>
        <w:t>4.6</w:t>
      </w:r>
      <w:r w:rsidR="007B7AF3">
        <w:rPr>
          <w:rFonts w:ascii="Times New Roman" w:hAnsi="Times New Roman" w:cs="Times New Roman"/>
          <w:color w:val="auto"/>
          <w:sz w:val="24"/>
          <w:szCs w:val="24"/>
        </w:rPr>
        <w:t xml:space="preserve"> </w:t>
      </w:r>
      <w:r w:rsidR="00007DF3" w:rsidRPr="003518E8">
        <w:rPr>
          <w:rFonts w:ascii="Times New Roman" w:hAnsi="Times New Roman" w:cs="Times New Roman"/>
          <w:color w:val="auto"/>
          <w:sz w:val="24"/>
          <w:szCs w:val="24"/>
        </w:rPr>
        <w:t>Lowering the cost of trading across borders</w:t>
      </w:r>
      <w:bookmarkEnd w:id="20"/>
    </w:p>
    <w:p w14:paraId="6AFA7021" w14:textId="5176C14E" w:rsidR="00007DF3" w:rsidRPr="003518E8" w:rsidRDefault="00007DF3" w:rsidP="003518E8">
      <w:pPr>
        <w:pStyle w:val="ListParagraph"/>
        <w:spacing w:after="240" w:line="276" w:lineRule="auto"/>
        <w:ind w:left="0"/>
        <w:contextualSpacing w:val="0"/>
      </w:pPr>
      <w:r w:rsidRPr="003518E8">
        <w:t xml:space="preserve">With increasing integration with the global economy the cost of trading across borders for both imports and exports have a determining influence on the global competitiveness of the Bangladesh economy.  Bangladesh has done well to eliminate most export duties.  It has also abolished most quantitative restrictions on imports and reduced import duties.  Yet, owing to a complex system of supplementary and regulatory duties (SRDs), overall trade protection is high and there is a huge anti-export bias of the trade regime. While Bangladesh has tended to address this concern by allowing duty-free imports for a few large export products, especially RMG, through the bonded warehouse system and has established a duty drawback system for exporters, feedback from business sector showed that there are problems with the implementation of these measures.  Importantly, the </w:t>
      </w:r>
      <w:r w:rsidR="00733F77" w:rsidRPr="003518E8">
        <w:t>complexities of the tariff and SRD system and their uneven application create</w:t>
      </w:r>
      <w:r w:rsidRPr="003518E8">
        <w:t xml:space="preserve"> many problems for business.  Additionally, the customs administration process involves high transaction costs. Given these concerns, several policy measures can be taken to lower the cost of trading across borders.</w:t>
      </w:r>
    </w:p>
    <w:p w14:paraId="24AC953B" w14:textId="0B3FF35D" w:rsidR="00007DF3" w:rsidRPr="003518E8" w:rsidRDefault="00007DF3" w:rsidP="003518E8">
      <w:pPr>
        <w:pStyle w:val="ListParagraph"/>
        <w:numPr>
          <w:ilvl w:val="0"/>
          <w:numId w:val="10"/>
        </w:numPr>
        <w:spacing w:after="240" w:line="276" w:lineRule="auto"/>
      </w:pPr>
      <w:r w:rsidRPr="003518E8">
        <w:t xml:space="preserve">Establish a customs tariff reform commission drawing from officers from the NBR, </w:t>
      </w:r>
      <w:r w:rsidR="003518E8" w:rsidRPr="003518E8">
        <w:t>the and</w:t>
      </w:r>
      <w:r w:rsidRPr="003518E8">
        <w:t xml:space="preserve"> the finance and commerce ministries as well as outside experts and representatives from private business to develop a comprehensive reform proposal that seeks to simplify the customs tariff regime and substantially reduce its anti-export bias. </w:t>
      </w:r>
    </w:p>
    <w:p w14:paraId="0BE5BA00" w14:textId="77777777" w:rsidR="00007DF3" w:rsidRPr="003518E8" w:rsidRDefault="00007DF3" w:rsidP="00007DF3">
      <w:pPr>
        <w:pStyle w:val="ListParagraph"/>
        <w:numPr>
          <w:ilvl w:val="0"/>
          <w:numId w:val="10"/>
        </w:numPr>
        <w:spacing w:after="240" w:line="276" w:lineRule="auto"/>
        <w:jc w:val="both"/>
      </w:pPr>
      <w:r w:rsidRPr="003518E8">
        <w:t>Computerize all import/export clearance processes.</w:t>
      </w:r>
    </w:p>
    <w:p w14:paraId="071D4302" w14:textId="77777777" w:rsidR="00007DF3" w:rsidRPr="003518E8" w:rsidRDefault="00007DF3" w:rsidP="00007DF3">
      <w:pPr>
        <w:pStyle w:val="ListParagraph"/>
        <w:numPr>
          <w:ilvl w:val="0"/>
          <w:numId w:val="10"/>
        </w:numPr>
        <w:spacing w:after="240" w:line="276" w:lineRule="auto"/>
        <w:jc w:val="both"/>
      </w:pPr>
      <w:r w:rsidRPr="003518E8">
        <w:t>Improve customs clearance facilities in all land ports.</w:t>
      </w:r>
    </w:p>
    <w:p w14:paraId="090D8546" w14:textId="26FE25E9" w:rsidR="00007DF3" w:rsidRPr="003518E8" w:rsidRDefault="00007DF3" w:rsidP="00825C13">
      <w:pPr>
        <w:pStyle w:val="ListParagraph"/>
        <w:numPr>
          <w:ilvl w:val="0"/>
          <w:numId w:val="10"/>
        </w:numPr>
        <w:spacing w:before="240" w:after="240" w:line="276" w:lineRule="auto"/>
        <w:jc w:val="both"/>
      </w:pPr>
      <w:r w:rsidRPr="003518E8">
        <w:t>As in the case of RMG, allow bonded warehousing facility for all export industries. Like RMG the warehousing should also be allowed on 60 KM radius similar to bond facility for all other export oriented industries. Also, the renewal of bond license and Utilization Declaration (UD) should be brought under similar footing as that provided to RMG through BGMEA. Where Customs certification is needed for renewal, this should be done within 7 days since they already have all data on imports and usage.</w:t>
      </w:r>
    </w:p>
    <w:p w14:paraId="7CC941C5" w14:textId="25CD6C89" w:rsidR="002C3DAD" w:rsidRPr="00AA7E7E" w:rsidRDefault="00533733" w:rsidP="00AA7E7E">
      <w:pPr>
        <w:pStyle w:val="Heading2"/>
        <w:spacing w:line="480" w:lineRule="auto"/>
        <w:rPr>
          <w:rFonts w:ascii="Times New Roman" w:hAnsi="Times New Roman" w:cs="Times New Roman"/>
          <w:b w:val="0"/>
          <w:color w:val="auto"/>
          <w:sz w:val="24"/>
          <w:szCs w:val="24"/>
        </w:rPr>
      </w:pPr>
      <w:bookmarkStart w:id="21" w:name="_Toc480722106"/>
      <w:r>
        <w:rPr>
          <w:rFonts w:ascii="Times New Roman" w:hAnsi="Times New Roman" w:cs="Times New Roman"/>
          <w:color w:val="auto"/>
          <w:sz w:val="24"/>
          <w:szCs w:val="24"/>
        </w:rPr>
        <w:t>4.7</w:t>
      </w:r>
      <w:r w:rsidR="00824BA4" w:rsidRPr="00AA7E7E">
        <w:rPr>
          <w:rFonts w:ascii="Times New Roman" w:hAnsi="Times New Roman" w:cs="Times New Roman"/>
          <w:color w:val="auto"/>
          <w:sz w:val="24"/>
          <w:szCs w:val="24"/>
        </w:rPr>
        <w:t xml:space="preserve"> Improving Access to Credit to MSMEs</w:t>
      </w:r>
    </w:p>
    <w:p w14:paraId="1EEE9EF6" w14:textId="77777777" w:rsidR="006628E6" w:rsidRDefault="002C3DAD" w:rsidP="006628E6">
      <w:pPr>
        <w:widowControl w:val="0"/>
        <w:autoSpaceDE w:val="0"/>
        <w:autoSpaceDN w:val="0"/>
        <w:adjustRightInd w:val="0"/>
        <w:spacing w:line="276" w:lineRule="auto"/>
        <w:ind w:right="-90"/>
      </w:pPr>
      <w:r w:rsidRPr="00AA7E7E">
        <w:rPr>
          <w:bCs/>
        </w:rPr>
        <w:t xml:space="preserve">The financial infrastructure in Bangladesh needs to be studied </w:t>
      </w:r>
      <w:r w:rsidR="00460181" w:rsidRPr="00AA7E7E">
        <w:rPr>
          <w:bCs/>
        </w:rPr>
        <w:t xml:space="preserve">to identify specific </w:t>
      </w:r>
      <w:r w:rsidRPr="00AA7E7E">
        <w:rPr>
          <w:bCs/>
        </w:rPr>
        <w:t xml:space="preserve">bottlenecks </w:t>
      </w:r>
      <w:r w:rsidR="00776654" w:rsidRPr="00AA7E7E">
        <w:rPr>
          <w:bCs/>
        </w:rPr>
        <w:t>to higher levels of MSME financing</w:t>
      </w:r>
      <w:r w:rsidR="00AA7E7E" w:rsidRPr="00AA7E7E">
        <w:rPr>
          <w:bCs/>
        </w:rPr>
        <w:t>.  Given the discussions earlier on getting credit challenges that constrains the doing business environment particularly for small and lower end of the medium segments of MSMEs some</w:t>
      </w:r>
      <w:r w:rsidR="00776654" w:rsidRPr="00AA7E7E">
        <w:rPr>
          <w:bCs/>
        </w:rPr>
        <w:t xml:space="preserve"> </w:t>
      </w:r>
      <w:r w:rsidR="00460181" w:rsidRPr="00AA7E7E">
        <w:rPr>
          <w:bCs/>
        </w:rPr>
        <w:t xml:space="preserve">actionable </w:t>
      </w:r>
      <w:r w:rsidRPr="00AA7E7E">
        <w:rPr>
          <w:bCs/>
        </w:rPr>
        <w:t xml:space="preserve">recommendations </w:t>
      </w:r>
      <w:r w:rsidR="00AA7E7E" w:rsidRPr="00AA7E7E">
        <w:rPr>
          <w:bCs/>
        </w:rPr>
        <w:t xml:space="preserve">are suggested below </w:t>
      </w:r>
      <w:r w:rsidRPr="00AA7E7E">
        <w:rPr>
          <w:bCs/>
        </w:rPr>
        <w:t xml:space="preserve">to address the deficiencies. </w:t>
      </w:r>
    </w:p>
    <w:p w14:paraId="30828C21" w14:textId="77777777" w:rsidR="006628E6" w:rsidRDefault="006628E6" w:rsidP="006628E6">
      <w:pPr>
        <w:widowControl w:val="0"/>
        <w:autoSpaceDE w:val="0"/>
        <w:autoSpaceDN w:val="0"/>
        <w:adjustRightInd w:val="0"/>
        <w:spacing w:line="276" w:lineRule="auto"/>
        <w:ind w:right="-90"/>
      </w:pPr>
    </w:p>
    <w:p w14:paraId="143D2ECC" w14:textId="4CD526A7" w:rsidR="006628E6" w:rsidRPr="006628E6" w:rsidRDefault="006628E6" w:rsidP="006628E6">
      <w:pPr>
        <w:pStyle w:val="ListParagraph"/>
        <w:widowControl w:val="0"/>
        <w:numPr>
          <w:ilvl w:val="0"/>
          <w:numId w:val="31"/>
        </w:numPr>
        <w:autoSpaceDE w:val="0"/>
        <w:autoSpaceDN w:val="0"/>
        <w:adjustRightInd w:val="0"/>
        <w:spacing w:line="276" w:lineRule="auto"/>
        <w:ind w:right="-90"/>
      </w:pPr>
      <w:r w:rsidRPr="006628E6">
        <w:rPr>
          <w:bCs/>
          <w:i/>
        </w:rPr>
        <w:t>There needs to be in place the infrastructure to have in place a continuously expanding and easy access to high quality credit information</w:t>
      </w:r>
      <w:r w:rsidRPr="006628E6">
        <w:rPr>
          <w:bCs/>
        </w:rPr>
        <w:t>, and the private sector can play a role in the credit information market – as an example the telephone companies have large database on which could be used if proper policies are adopted.</w:t>
      </w:r>
      <w:r>
        <w:t xml:space="preserve"> </w:t>
      </w:r>
      <w:r w:rsidR="007141A5" w:rsidRPr="006628E6">
        <w:t>As discussed earlier, the low rank for Bangladesh in getting credit access are its very low</w:t>
      </w:r>
      <w:r w:rsidR="007141A5">
        <w:t xml:space="preserve"> scores in</w:t>
      </w:r>
      <w:r w:rsidR="007141A5" w:rsidRPr="00FD20EE">
        <w:t xml:space="preserve"> </w:t>
      </w:r>
      <w:r w:rsidR="007141A5">
        <w:t xml:space="preserve">its </w:t>
      </w:r>
      <w:r w:rsidR="007141A5" w:rsidRPr="006628E6">
        <w:rPr>
          <w:bCs/>
        </w:rPr>
        <w:t xml:space="preserve">Depth of Credit Information index, Credit Registry Coverage index, and Credit Bureau Coverage index. </w:t>
      </w:r>
    </w:p>
    <w:p w14:paraId="25F9AB21" w14:textId="77777777" w:rsidR="00A81F63" w:rsidRPr="00A81F63" w:rsidRDefault="006628E6" w:rsidP="006628E6">
      <w:pPr>
        <w:pStyle w:val="ListParagraph"/>
        <w:numPr>
          <w:ilvl w:val="0"/>
          <w:numId w:val="27"/>
        </w:numPr>
        <w:spacing w:after="200" w:line="276" w:lineRule="auto"/>
        <w:rPr>
          <w:bCs/>
        </w:rPr>
      </w:pPr>
      <w:r>
        <w:rPr>
          <w:bCs/>
          <w:i/>
        </w:rPr>
        <w:t xml:space="preserve">Bangladesh needs to introduce secured transactions regime by enacting necessary laws so as to </w:t>
      </w:r>
      <w:r w:rsidR="00640578" w:rsidRPr="006628E6">
        <w:rPr>
          <w:bCs/>
        </w:rPr>
        <w:t>enable lending against movable collateral</w:t>
      </w:r>
      <w:r>
        <w:rPr>
          <w:bCs/>
        </w:rPr>
        <w:t xml:space="preserve"> and help</w:t>
      </w:r>
      <w:r w:rsidR="00640578" w:rsidRPr="006628E6">
        <w:rPr>
          <w:bCs/>
        </w:rPr>
        <w:t xml:space="preserve"> reduce the financial sector’s relianc</w:t>
      </w:r>
      <w:r>
        <w:rPr>
          <w:bCs/>
        </w:rPr>
        <w:t xml:space="preserve">e on fixed assets as collateral. This is very important as </w:t>
      </w:r>
      <w:r w:rsidR="00A81F63">
        <w:rPr>
          <w:bCs/>
        </w:rPr>
        <w:t>w</w:t>
      </w:r>
      <w:r>
        <w:rPr>
          <w:bCs/>
        </w:rPr>
        <w:t>eakness in</w:t>
      </w:r>
      <w:r w:rsidRPr="006628E6">
        <w:rPr>
          <w:bCs/>
        </w:rPr>
        <w:t xml:space="preserve"> the credit information system causes the scheduled </w:t>
      </w:r>
      <w:r w:rsidRPr="00640578">
        <w:t>banks to tend to be less flexible about the collateral requirement in the case of the SMEs as they perceive SME loan to be more risky and the cost of monitoring and supervision of small loans to be higher.</w:t>
      </w:r>
      <w:r w:rsidRPr="006628E6">
        <w:rPr>
          <w:bCs/>
        </w:rPr>
        <w:t xml:space="preserve">  The </w:t>
      </w:r>
      <w:r w:rsidRPr="00640578">
        <w:t>stringent collateral and guarantee requirement practices of the banks makes SME lending rates relatively higher, thus acting as a barrier SMEs to access credit.</w:t>
      </w:r>
    </w:p>
    <w:p w14:paraId="10FE56C2" w14:textId="643523C0" w:rsidR="00963E12" w:rsidRPr="00706180" w:rsidRDefault="00A81F63" w:rsidP="00963E12">
      <w:pPr>
        <w:pStyle w:val="ListParagraph"/>
        <w:numPr>
          <w:ilvl w:val="0"/>
          <w:numId w:val="27"/>
        </w:numPr>
        <w:spacing w:after="200" w:line="276" w:lineRule="auto"/>
        <w:rPr>
          <w:bCs/>
        </w:rPr>
      </w:pPr>
      <w:r>
        <w:rPr>
          <w:bCs/>
        </w:rPr>
        <w:t xml:space="preserve">Policies and regulatory changes need to be brought so the mobile financial services are able to go beyond the present scope and move to a digital financial regime provide different financial services that will make access to finance to small and the lower end of the </w:t>
      </w:r>
      <w:r w:rsidR="00706180">
        <w:rPr>
          <w:bCs/>
        </w:rPr>
        <w:t xml:space="preserve">medium enterprises easy.  </w:t>
      </w:r>
      <w:r w:rsidR="00706180">
        <w:t>Bangladesh should draw</w:t>
      </w:r>
      <w:r w:rsidR="00706180" w:rsidRPr="00A81F63">
        <w:t xml:space="preserve"> on international experiences in East Africa (mainly Kenya), India, China and elsewhere</w:t>
      </w:r>
      <w:r w:rsidR="00706180">
        <w:t xml:space="preserve"> and put in place </w:t>
      </w:r>
      <w:r w:rsidR="00706180" w:rsidRPr="00A81F63">
        <w:t>various Fintech enabled SME financing business models</w:t>
      </w:r>
      <w:r w:rsidR="00706180">
        <w:t>.  It needs to put in place</w:t>
      </w:r>
      <w:r w:rsidR="00706180" w:rsidRPr="00A81F63">
        <w:t xml:space="preserve"> the policy and regulatory actions that are necessary to allow these business models to flourish while mitigating risks to financial integrity, stability and investor protection.</w:t>
      </w:r>
    </w:p>
    <w:p w14:paraId="6382C6D2" w14:textId="51BC68DE" w:rsidR="00007DF3" w:rsidRPr="003518E8" w:rsidRDefault="00533733" w:rsidP="003518E8">
      <w:pPr>
        <w:pStyle w:val="Heading2"/>
        <w:spacing w:line="480" w:lineRule="auto"/>
        <w:rPr>
          <w:rFonts w:ascii="Times New Roman" w:hAnsi="Times New Roman" w:cs="Times New Roman"/>
          <w:color w:val="auto"/>
          <w:sz w:val="24"/>
          <w:szCs w:val="24"/>
        </w:rPr>
      </w:pPr>
      <w:bookmarkStart w:id="22" w:name="_Toc480722107"/>
      <w:bookmarkEnd w:id="21"/>
      <w:r>
        <w:rPr>
          <w:rFonts w:ascii="Times New Roman" w:hAnsi="Times New Roman" w:cs="Times New Roman"/>
          <w:color w:val="auto"/>
          <w:sz w:val="24"/>
          <w:szCs w:val="24"/>
        </w:rPr>
        <w:t>4.8</w:t>
      </w:r>
      <w:r w:rsidR="00856646">
        <w:rPr>
          <w:rFonts w:ascii="Times New Roman" w:hAnsi="Times New Roman" w:cs="Times New Roman"/>
          <w:color w:val="auto"/>
          <w:sz w:val="24"/>
          <w:szCs w:val="24"/>
        </w:rPr>
        <w:t xml:space="preserve"> Improving</w:t>
      </w:r>
      <w:r w:rsidR="00007DF3" w:rsidRPr="003518E8">
        <w:rPr>
          <w:rFonts w:ascii="Times New Roman" w:hAnsi="Times New Roman" w:cs="Times New Roman"/>
          <w:color w:val="auto"/>
          <w:sz w:val="24"/>
          <w:szCs w:val="24"/>
        </w:rPr>
        <w:t xml:space="preserve"> the legal framework for contract enforcement and solvency</w:t>
      </w:r>
      <w:bookmarkEnd w:id="22"/>
    </w:p>
    <w:p w14:paraId="2B12558F" w14:textId="2FDA9B81" w:rsidR="00007DF3" w:rsidRPr="003518E8" w:rsidRDefault="00007DF3" w:rsidP="003518E8">
      <w:pPr>
        <w:spacing w:after="240" w:line="276" w:lineRule="auto"/>
      </w:pPr>
      <w:r w:rsidRPr="003518E8">
        <w:t xml:space="preserve">The total FDI </w:t>
      </w:r>
      <w:r w:rsidR="003518E8" w:rsidRPr="003518E8">
        <w:t>inflows into Bangladesh are</w:t>
      </w:r>
      <w:r w:rsidRPr="003518E8">
        <w:t xml:space="preserve"> a mere $2 billion as compared with a total supply of $600 billion for all developing countries. While the dynamic East Asian economies of China, </w:t>
      </w:r>
      <w:r w:rsidR="0002655B" w:rsidRPr="003518E8">
        <w:t>Hong Kong</w:t>
      </w:r>
      <w:r w:rsidRPr="003518E8">
        <w:t xml:space="preserve"> and Singapore have led the way for the developing countries in attracting FDI</w:t>
      </w:r>
      <w:r w:rsidR="003518E8" w:rsidRPr="003518E8">
        <w:t>, India</w:t>
      </w:r>
      <w:r w:rsidRPr="003518E8">
        <w:t xml:space="preserve"> and Vietnam are also doing well. Armed with low-cost labor and good macroeconomic management, Bangladesh has tremendous potential to attract FDI. The investment climate improvement measures noted above should have a positive impact on this.  Additional, foreign investors are very particular in paying attention to certain aspects of the legal framework, including   contract enforcement and resolving business insolvency.  The IFC ease of doing business </w:t>
      </w:r>
      <w:proofErr w:type="gramStart"/>
      <w:r w:rsidRPr="003518E8">
        <w:t>have</w:t>
      </w:r>
      <w:proofErr w:type="gramEnd"/>
      <w:r w:rsidRPr="003518E8">
        <w:t xml:space="preserve"> identified these two issues as the biggest investor concerns, especially for foreign investors.  So, it is imperative to modernize the regulatory framework for private investment, especially for foreign investors, through proper policy actions in these two areas.</w:t>
      </w:r>
    </w:p>
    <w:p w14:paraId="79691EAB" w14:textId="77777777" w:rsidR="00007DF3" w:rsidRPr="003518E8" w:rsidRDefault="00007DF3" w:rsidP="00007DF3">
      <w:pPr>
        <w:spacing w:after="240" w:line="276" w:lineRule="auto"/>
        <w:jc w:val="both"/>
      </w:pPr>
      <w:r w:rsidRPr="003518E8">
        <w:t>A number of actions are recommended.</w:t>
      </w:r>
    </w:p>
    <w:p w14:paraId="50CA9083" w14:textId="77777777" w:rsidR="00007DF3" w:rsidRPr="003518E8" w:rsidRDefault="00007DF3" w:rsidP="00007DF3">
      <w:pPr>
        <w:pStyle w:val="ListParagraph"/>
        <w:numPr>
          <w:ilvl w:val="0"/>
          <w:numId w:val="9"/>
        </w:numPr>
        <w:spacing w:after="240" w:line="276" w:lineRule="auto"/>
        <w:jc w:val="both"/>
      </w:pPr>
      <w:r w:rsidRPr="003518E8">
        <w:t xml:space="preserve">As a first step, the Law Ministry should check the adequacy of these two important enabling regulations in light of international good practice.  Based on that review, appropriate steps have to be taken to streamline and strengthen the related regulations. </w:t>
      </w:r>
    </w:p>
    <w:p w14:paraId="312BC2E9" w14:textId="393862E9" w:rsidR="00007DF3" w:rsidRPr="00C82F92" w:rsidRDefault="00007DF3" w:rsidP="00C82F92">
      <w:pPr>
        <w:pStyle w:val="ListParagraph"/>
        <w:numPr>
          <w:ilvl w:val="0"/>
          <w:numId w:val="9"/>
        </w:numPr>
        <w:spacing w:after="240" w:line="276" w:lineRule="auto"/>
        <w:jc w:val="both"/>
      </w:pPr>
      <w:r w:rsidRPr="003518E8">
        <w:t>Secondly, the government should ensure that adequate administrative and legal procedures are in place to enforce the sound implementation of these regulations.  The government can learn from the experience of good practice examples how business disputes are resolved and how bankruptcy proceedings are implemented internationally.  This review can then inform what actions are needed to enforce proper implementation, including whether there is a need for separate legal entities to resolve business disputes in a timely manner and with minimum transaction costs.</w:t>
      </w:r>
    </w:p>
    <w:p w14:paraId="61A91E2E" w14:textId="7C95DB5E" w:rsidR="00733F77" w:rsidRPr="004C6FA5" w:rsidRDefault="00533733" w:rsidP="0029703F">
      <w:pPr>
        <w:spacing w:line="276" w:lineRule="auto"/>
      </w:pPr>
      <w:r>
        <w:rPr>
          <w:b/>
        </w:rPr>
        <w:t>5</w:t>
      </w:r>
      <w:r w:rsidR="00824BA4" w:rsidRPr="00824BA4">
        <w:rPr>
          <w:b/>
        </w:rPr>
        <w:t>. Conclusion</w:t>
      </w:r>
      <w:r w:rsidR="004C6FA5">
        <w:rPr>
          <w:b/>
        </w:rPr>
        <w:t>.</w:t>
      </w:r>
      <w:r w:rsidR="00753A20">
        <w:t xml:space="preserve"> </w:t>
      </w:r>
      <w:r w:rsidR="00BC0E50" w:rsidRPr="00AC670B">
        <w:t>Over the next two decades, the r</w:t>
      </w:r>
      <w:r w:rsidR="00223A96" w:rsidRPr="00AC670B">
        <w:t xml:space="preserve">egulatory regime </w:t>
      </w:r>
      <w:r w:rsidR="00BC0E50" w:rsidRPr="00AC670B">
        <w:t xml:space="preserve">will have to reach a </w:t>
      </w:r>
      <w:r w:rsidR="00AC670B" w:rsidRPr="00AC670B">
        <w:t>transparency</w:t>
      </w:r>
      <w:r w:rsidR="00BC0E50" w:rsidRPr="00AC670B">
        <w:t xml:space="preserve"> level that will provide </w:t>
      </w:r>
      <w:r w:rsidR="00AC670B" w:rsidRPr="00AC670B">
        <w:t>certainty</w:t>
      </w:r>
      <w:r w:rsidR="00BC0E50" w:rsidRPr="00AC670B">
        <w:t xml:space="preserve"> to the entrepreneur to undertake inv</w:t>
      </w:r>
      <w:r w:rsidR="0029703F">
        <w:t>estment risks similar to the</w:t>
      </w:r>
      <w:r w:rsidR="00BC0E50" w:rsidRPr="00AC670B">
        <w:t xml:space="preserve"> </w:t>
      </w:r>
      <w:r w:rsidR="00AC670B" w:rsidRPr="00AC670B">
        <w:t xml:space="preserve">more developed countries now. During this period </w:t>
      </w:r>
      <w:r w:rsidR="00BC0E50" w:rsidRPr="00AC670B">
        <w:t xml:space="preserve">the focus should </w:t>
      </w:r>
      <w:r w:rsidR="00AC670B" w:rsidRPr="00AC670B">
        <w:t>make</w:t>
      </w:r>
      <w:r w:rsidR="00733F77" w:rsidRPr="00AC670B">
        <w:t xml:space="preserve"> i</w:t>
      </w:r>
      <w:r w:rsidR="00E25527" w:rsidRPr="00AC670B">
        <w:t xml:space="preserve">nstitutions and regulatory agencies </w:t>
      </w:r>
      <w:r w:rsidR="00BC0E50" w:rsidRPr="00AC670B">
        <w:t>impac</w:t>
      </w:r>
      <w:r w:rsidR="00AC670B" w:rsidRPr="00AC670B">
        <w:t>t</w:t>
      </w:r>
      <w:r w:rsidR="00BC0E50" w:rsidRPr="00AC670B">
        <w:t xml:space="preserve">ing doing business environment </w:t>
      </w:r>
      <w:r w:rsidR="00AC670B" w:rsidRPr="00AC670B">
        <w:t>to</w:t>
      </w:r>
      <w:r w:rsidR="00BC0E50" w:rsidRPr="00AC670B">
        <w:t xml:space="preserve"> become</w:t>
      </w:r>
      <w:r w:rsidR="00E25527" w:rsidRPr="00AC670B">
        <w:t xml:space="preserve"> world class</w:t>
      </w:r>
      <w:r w:rsidR="00B85D75">
        <w:t xml:space="preserve"> and fully digitized.</w:t>
      </w:r>
      <w:r w:rsidR="00AC670B">
        <w:t xml:space="preserve">  In this context some of those</w:t>
      </w:r>
      <w:r w:rsidR="00733F77" w:rsidRPr="00AC670B">
        <w:t xml:space="preserve"> key institutions which sh</w:t>
      </w:r>
      <w:r w:rsidR="00AC670B">
        <w:t xml:space="preserve">ould be leading the way are Tax </w:t>
      </w:r>
      <w:r w:rsidR="00B34C88" w:rsidRPr="00AC670B">
        <w:t>Administration</w:t>
      </w:r>
      <w:r w:rsidR="00733F77" w:rsidRPr="00AC670B">
        <w:t>, Customs Administ</w:t>
      </w:r>
      <w:r w:rsidR="004C6FA5">
        <w:t>ration, VAT</w:t>
      </w:r>
      <w:r w:rsidR="00733F77" w:rsidRPr="00AC670B">
        <w:t xml:space="preserve"> Administration, Land Titling Administration, Land Registration, </w:t>
      </w:r>
      <w:r w:rsidR="001B0146" w:rsidRPr="00AC670B">
        <w:t>Department of Environment, Registrar of Joint Stock Companies, BIDA, BEZA</w:t>
      </w:r>
      <w:r w:rsidR="00E05629" w:rsidRPr="00AC670B">
        <w:t xml:space="preserve">.  </w:t>
      </w:r>
      <w:r w:rsidR="00640C84">
        <w:t>At the same time there has to be zoned development and backed by adequate and high quality infrastructure.</w:t>
      </w:r>
    </w:p>
    <w:p w14:paraId="65E2A1A1" w14:textId="77777777" w:rsidR="00E05629" w:rsidRDefault="00E05629" w:rsidP="00E05629">
      <w:pPr>
        <w:tabs>
          <w:tab w:val="left" w:pos="0"/>
        </w:tabs>
        <w:spacing w:line="276" w:lineRule="auto"/>
        <w:rPr>
          <w:color w:val="FF0000"/>
        </w:rPr>
      </w:pPr>
    </w:p>
    <w:sectPr w:rsidR="00E05629" w:rsidSect="00FA6CC3">
      <w:footerReference w:type="even" r:id="rId27"/>
      <w:footerReference w:type="default" r:id="rId28"/>
      <w:pgSz w:w="12240" w:h="15840"/>
      <w:pgMar w:top="1440" w:right="135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676CD" w14:textId="77777777" w:rsidR="001B13FB" w:rsidRDefault="001B13FB" w:rsidP="00762105">
      <w:r>
        <w:separator/>
      </w:r>
    </w:p>
  </w:endnote>
  <w:endnote w:type="continuationSeparator" w:id="0">
    <w:p w14:paraId="50E3862D" w14:textId="77777777" w:rsidR="001B13FB" w:rsidRDefault="001B13FB" w:rsidP="0076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
    <w:altName w:val="MS Mincho"/>
    <w:panose1 w:val="00000000000000000000"/>
    <w:charset w:val="80"/>
    <w:family w:val="auto"/>
    <w:notTrueType/>
    <w:pitch w:val="variable"/>
    <w:sig w:usb0="00000000" w:usb1="08070000" w:usb2="00000010" w:usb3="00000000" w:csb0="00020000" w:csb1="00000000"/>
  </w:font>
  <w:font w:name="HelveticaLTStd-Light">
    <w:altName w:val="MS Mincho"/>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7BD40" w14:textId="77777777" w:rsidR="001B13FB" w:rsidRDefault="001B13FB" w:rsidP="001F79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E7F17B" w14:textId="77777777" w:rsidR="001B13FB" w:rsidRDefault="001B13F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40DD2" w14:textId="77777777" w:rsidR="001B13FB" w:rsidRDefault="001B13FB" w:rsidP="001F79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E47">
      <w:rPr>
        <w:rStyle w:val="PageNumber"/>
        <w:noProof/>
      </w:rPr>
      <w:t>48</w:t>
    </w:r>
    <w:r>
      <w:rPr>
        <w:rStyle w:val="PageNumber"/>
      </w:rPr>
      <w:fldChar w:fldCharType="end"/>
    </w:r>
  </w:p>
  <w:p w14:paraId="489B3383" w14:textId="77777777" w:rsidR="001B13FB" w:rsidRDefault="001B13F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E8848" w14:textId="77777777" w:rsidR="001B13FB" w:rsidRDefault="001B13FB" w:rsidP="00762105">
      <w:r>
        <w:separator/>
      </w:r>
    </w:p>
  </w:footnote>
  <w:footnote w:type="continuationSeparator" w:id="0">
    <w:p w14:paraId="185C5249" w14:textId="77777777" w:rsidR="001B13FB" w:rsidRDefault="001B13FB" w:rsidP="00762105">
      <w:r>
        <w:continuationSeparator/>
      </w:r>
    </w:p>
  </w:footnote>
  <w:footnote w:id="1">
    <w:p w14:paraId="38DF0F45" w14:textId="79B476C8" w:rsidR="001B13FB" w:rsidRPr="001353FA" w:rsidRDefault="001B13FB" w:rsidP="005343F3">
      <w:pPr>
        <w:pStyle w:val="FootnoteText"/>
        <w:jc w:val="both"/>
        <w:rPr>
          <w:sz w:val="18"/>
          <w:szCs w:val="18"/>
          <w:lang w:val="en-US"/>
        </w:rPr>
      </w:pPr>
      <w:r w:rsidRPr="00C4578C">
        <w:rPr>
          <w:rStyle w:val="FootnoteReference"/>
          <w:rFonts w:ascii="Calibri" w:hAnsi="Calibri" w:cs="Calibri"/>
        </w:rPr>
        <w:footnoteRef/>
      </w:r>
      <w:r w:rsidRPr="00C4578C">
        <w:rPr>
          <w:rFonts w:ascii="Calibri" w:hAnsi="Calibri" w:cs="Calibri"/>
        </w:rPr>
        <w:t xml:space="preserve"> </w:t>
      </w:r>
      <w:r w:rsidRPr="001353FA">
        <w:rPr>
          <w:sz w:val="18"/>
          <w:szCs w:val="18"/>
          <w:lang w:val="en-US"/>
        </w:rPr>
        <w:t>ESCAP (2017</w:t>
      </w:r>
      <w:proofErr w:type="gramStart"/>
      <w:r w:rsidRPr="001353FA">
        <w:rPr>
          <w:sz w:val="18"/>
          <w:szCs w:val="18"/>
          <w:lang w:val="en-US"/>
        </w:rPr>
        <w:t>),</w:t>
      </w:r>
      <w:proofErr w:type="gramEnd"/>
      <w:r w:rsidRPr="001353FA">
        <w:rPr>
          <w:sz w:val="18"/>
          <w:szCs w:val="18"/>
          <w:lang w:val="en-US"/>
        </w:rPr>
        <w:t xml:space="preserve"> estimated Bangladesh would need to investment $ 10 billion only to cover the huge infrastructure gap between 2015 and 2030. This investment would however increase GDP by about 3.94</w:t>
      </w:r>
      <w:r w:rsidRPr="00C4578C">
        <w:rPr>
          <w:rFonts w:ascii="Calibri" w:hAnsi="Calibri" w:cs="Calibri"/>
          <w:lang w:val="en-US"/>
        </w:rPr>
        <w:t xml:space="preserve"> </w:t>
      </w:r>
      <w:r w:rsidRPr="001353FA">
        <w:rPr>
          <w:sz w:val="18"/>
          <w:szCs w:val="18"/>
          <w:lang w:val="en-US"/>
        </w:rPr>
        <w:t>percentage points implying annual addition to GDP growth of 0.26 percent only from this source. This scenario also includes USD 33 billion investments for Delta projects.</w:t>
      </w:r>
    </w:p>
  </w:footnote>
  <w:footnote w:id="2">
    <w:p w14:paraId="602001D4" w14:textId="77777777" w:rsidR="001B13FB" w:rsidRPr="00E675DE" w:rsidRDefault="001B13FB" w:rsidP="003570F3">
      <w:pPr>
        <w:pStyle w:val="FootnoteText"/>
        <w:jc w:val="both"/>
      </w:pPr>
      <w:r w:rsidRPr="00E675DE">
        <w:rPr>
          <w:rStyle w:val="FootnoteReference"/>
        </w:rPr>
        <w:footnoteRef/>
      </w:r>
      <w:r w:rsidRPr="00E675DE">
        <w:t>FIAS Report on SEZs</w:t>
      </w:r>
    </w:p>
  </w:footnote>
  <w:footnote w:id="3">
    <w:p w14:paraId="46F31DF2" w14:textId="77777777" w:rsidR="001B13FB" w:rsidRPr="00E675DE" w:rsidRDefault="001B13FB" w:rsidP="003570F3">
      <w:pPr>
        <w:widowControl w:val="0"/>
        <w:autoSpaceDE w:val="0"/>
        <w:autoSpaceDN w:val="0"/>
        <w:adjustRightInd w:val="0"/>
        <w:spacing w:after="120"/>
        <w:jc w:val="both"/>
        <w:rPr>
          <w:i/>
          <w:sz w:val="20"/>
          <w:szCs w:val="20"/>
        </w:rPr>
      </w:pPr>
      <w:r w:rsidRPr="00E675DE">
        <w:rPr>
          <w:rStyle w:val="FootnoteReference"/>
          <w:rFonts w:eastAsia="Calibri"/>
        </w:rPr>
        <w:footnoteRef/>
      </w:r>
      <w:r w:rsidRPr="00E675DE">
        <w:rPr>
          <w:sz w:val="20"/>
          <w:szCs w:val="20"/>
        </w:rPr>
        <w:t xml:space="preserve"> Jin Wang, London School of Economics Job market Paper Version of November 2009 – The Economic Impact of Special Economic Zones: Evidence from Chinese Municipalities.  </w:t>
      </w:r>
      <w:r w:rsidRPr="00E675DE">
        <w:rPr>
          <w:i/>
          <w:sz w:val="20"/>
          <w:szCs w:val="20"/>
        </w:rPr>
        <w:t>His research concluded that, the SEZ related policy package, including private property rights protection, tax breaks and land use policy, increases per capita municipal FDI by 58% in the form of foreign-invested and export oriented industrial enterprises.  The report also found out it increased municipal foreign owned capital stock and did not crowd out domestic capital (and investment), and showed that it helped bring in more advanced technology and increased municipality TFP growth by 0.6 percentage points.</w:t>
      </w:r>
    </w:p>
  </w:footnote>
  <w:footnote w:id="4">
    <w:p w14:paraId="1209DFEB" w14:textId="77777777" w:rsidR="001B13FB" w:rsidRPr="00E675DE" w:rsidRDefault="001B13FB" w:rsidP="000A0879">
      <w:pPr>
        <w:pStyle w:val="FootnoteText"/>
        <w:jc w:val="both"/>
      </w:pPr>
      <w:r w:rsidRPr="00E675DE">
        <w:rPr>
          <w:rStyle w:val="FootnoteReference"/>
        </w:rPr>
        <w:footnoteRef/>
      </w:r>
      <w:r w:rsidRPr="00E675DE">
        <w:t xml:space="preserve"> Special Economic Zones, World Bank</w:t>
      </w:r>
    </w:p>
  </w:footnote>
  <w:footnote w:id="5">
    <w:p w14:paraId="5B497652" w14:textId="77777777" w:rsidR="001B13FB" w:rsidRPr="00E675DE" w:rsidRDefault="001B13FB" w:rsidP="000A0879">
      <w:pPr>
        <w:pStyle w:val="FootnoteText"/>
      </w:pPr>
      <w:r w:rsidRPr="00E675DE">
        <w:rPr>
          <w:rStyle w:val="FootnoteReference"/>
        </w:rPr>
        <w:footnoteRef/>
      </w:r>
      <w:r w:rsidRPr="00E675DE">
        <w:t>FIAS Report, April 2008</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B66"/>
    <w:multiLevelType w:val="hybridMultilevel"/>
    <w:tmpl w:val="F720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62599"/>
    <w:multiLevelType w:val="hybridMultilevel"/>
    <w:tmpl w:val="CBEC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A0789"/>
    <w:multiLevelType w:val="hybridMultilevel"/>
    <w:tmpl w:val="12269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C183B"/>
    <w:multiLevelType w:val="hybridMultilevel"/>
    <w:tmpl w:val="883CDF2C"/>
    <w:lvl w:ilvl="0" w:tplc="04090001">
      <w:start w:val="1"/>
      <w:numFmt w:val="bullet"/>
      <w:lvlText w:val=""/>
      <w:lvlJc w:val="left"/>
      <w:pPr>
        <w:tabs>
          <w:tab w:val="num" w:pos="720"/>
        </w:tabs>
        <w:ind w:left="720" w:hanging="360"/>
      </w:pPr>
      <w:rPr>
        <w:rFonts w:ascii="Symbol" w:hAnsi="Symbol" w:hint="default"/>
      </w:rPr>
    </w:lvl>
    <w:lvl w:ilvl="1" w:tplc="7A069948" w:tentative="1">
      <w:start w:val="1"/>
      <w:numFmt w:val="bullet"/>
      <w:lvlText w:val=""/>
      <w:lvlJc w:val="left"/>
      <w:pPr>
        <w:tabs>
          <w:tab w:val="num" w:pos="1440"/>
        </w:tabs>
        <w:ind w:left="1440" w:hanging="360"/>
      </w:pPr>
      <w:rPr>
        <w:rFonts w:ascii="Wingdings" w:hAnsi="Wingdings" w:hint="default"/>
      </w:rPr>
    </w:lvl>
    <w:lvl w:ilvl="2" w:tplc="CA8CEC02" w:tentative="1">
      <w:start w:val="1"/>
      <w:numFmt w:val="bullet"/>
      <w:lvlText w:val=""/>
      <w:lvlJc w:val="left"/>
      <w:pPr>
        <w:tabs>
          <w:tab w:val="num" w:pos="2160"/>
        </w:tabs>
        <w:ind w:left="2160" w:hanging="360"/>
      </w:pPr>
      <w:rPr>
        <w:rFonts w:ascii="Wingdings" w:hAnsi="Wingdings" w:hint="default"/>
      </w:rPr>
    </w:lvl>
    <w:lvl w:ilvl="3" w:tplc="A60ED856" w:tentative="1">
      <w:start w:val="1"/>
      <w:numFmt w:val="bullet"/>
      <w:lvlText w:val=""/>
      <w:lvlJc w:val="left"/>
      <w:pPr>
        <w:tabs>
          <w:tab w:val="num" w:pos="2880"/>
        </w:tabs>
        <w:ind w:left="2880" w:hanging="360"/>
      </w:pPr>
      <w:rPr>
        <w:rFonts w:ascii="Wingdings" w:hAnsi="Wingdings" w:hint="default"/>
      </w:rPr>
    </w:lvl>
    <w:lvl w:ilvl="4" w:tplc="EDE4C834" w:tentative="1">
      <w:start w:val="1"/>
      <w:numFmt w:val="bullet"/>
      <w:lvlText w:val=""/>
      <w:lvlJc w:val="left"/>
      <w:pPr>
        <w:tabs>
          <w:tab w:val="num" w:pos="3600"/>
        </w:tabs>
        <w:ind w:left="3600" w:hanging="360"/>
      </w:pPr>
      <w:rPr>
        <w:rFonts w:ascii="Wingdings" w:hAnsi="Wingdings" w:hint="default"/>
      </w:rPr>
    </w:lvl>
    <w:lvl w:ilvl="5" w:tplc="0F86D586" w:tentative="1">
      <w:start w:val="1"/>
      <w:numFmt w:val="bullet"/>
      <w:lvlText w:val=""/>
      <w:lvlJc w:val="left"/>
      <w:pPr>
        <w:tabs>
          <w:tab w:val="num" w:pos="4320"/>
        </w:tabs>
        <w:ind w:left="4320" w:hanging="360"/>
      </w:pPr>
      <w:rPr>
        <w:rFonts w:ascii="Wingdings" w:hAnsi="Wingdings" w:hint="default"/>
      </w:rPr>
    </w:lvl>
    <w:lvl w:ilvl="6" w:tplc="1496344C" w:tentative="1">
      <w:start w:val="1"/>
      <w:numFmt w:val="bullet"/>
      <w:lvlText w:val=""/>
      <w:lvlJc w:val="left"/>
      <w:pPr>
        <w:tabs>
          <w:tab w:val="num" w:pos="5040"/>
        </w:tabs>
        <w:ind w:left="5040" w:hanging="360"/>
      </w:pPr>
      <w:rPr>
        <w:rFonts w:ascii="Wingdings" w:hAnsi="Wingdings" w:hint="default"/>
      </w:rPr>
    </w:lvl>
    <w:lvl w:ilvl="7" w:tplc="C6CE858E" w:tentative="1">
      <w:start w:val="1"/>
      <w:numFmt w:val="bullet"/>
      <w:lvlText w:val=""/>
      <w:lvlJc w:val="left"/>
      <w:pPr>
        <w:tabs>
          <w:tab w:val="num" w:pos="5760"/>
        </w:tabs>
        <w:ind w:left="5760" w:hanging="360"/>
      </w:pPr>
      <w:rPr>
        <w:rFonts w:ascii="Wingdings" w:hAnsi="Wingdings" w:hint="default"/>
      </w:rPr>
    </w:lvl>
    <w:lvl w:ilvl="8" w:tplc="391E946A" w:tentative="1">
      <w:start w:val="1"/>
      <w:numFmt w:val="bullet"/>
      <w:lvlText w:val=""/>
      <w:lvlJc w:val="left"/>
      <w:pPr>
        <w:tabs>
          <w:tab w:val="num" w:pos="6480"/>
        </w:tabs>
        <w:ind w:left="6480" w:hanging="360"/>
      </w:pPr>
      <w:rPr>
        <w:rFonts w:ascii="Wingdings" w:hAnsi="Wingdings" w:hint="default"/>
      </w:rPr>
    </w:lvl>
  </w:abstractNum>
  <w:abstractNum w:abstractNumId="4">
    <w:nsid w:val="1B467F1C"/>
    <w:multiLevelType w:val="hybridMultilevel"/>
    <w:tmpl w:val="3C7E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F595E"/>
    <w:multiLevelType w:val="hybridMultilevel"/>
    <w:tmpl w:val="48F6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7D5FF9"/>
    <w:multiLevelType w:val="hybridMultilevel"/>
    <w:tmpl w:val="BD7A6400"/>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7">
    <w:nsid w:val="2AB04C1F"/>
    <w:multiLevelType w:val="hybridMultilevel"/>
    <w:tmpl w:val="F76C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466FC"/>
    <w:multiLevelType w:val="hybridMultilevel"/>
    <w:tmpl w:val="F19A4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41D74"/>
    <w:multiLevelType w:val="hybridMultilevel"/>
    <w:tmpl w:val="EA3CC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958C8"/>
    <w:multiLevelType w:val="hybridMultilevel"/>
    <w:tmpl w:val="36D2A4EA"/>
    <w:lvl w:ilvl="0" w:tplc="04090005">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nsid w:val="378E01B3"/>
    <w:multiLevelType w:val="hybridMultilevel"/>
    <w:tmpl w:val="BAEA3AB4"/>
    <w:lvl w:ilvl="0" w:tplc="703E8846">
      <w:start w:val="1"/>
      <w:numFmt w:val="bullet"/>
      <w:lvlText w:val="•"/>
      <w:lvlJc w:val="left"/>
      <w:pPr>
        <w:tabs>
          <w:tab w:val="num" w:pos="720"/>
        </w:tabs>
        <w:ind w:left="720" w:hanging="360"/>
      </w:pPr>
      <w:rPr>
        <w:rFonts w:ascii="Arial" w:hAnsi="Arial" w:hint="default"/>
      </w:rPr>
    </w:lvl>
    <w:lvl w:ilvl="1" w:tplc="4E2C7344" w:tentative="1">
      <w:start w:val="1"/>
      <w:numFmt w:val="bullet"/>
      <w:lvlText w:val="•"/>
      <w:lvlJc w:val="left"/>
      <w:pPr>
        <w:tabs>
          <w:tab w:val="num" w:pos="1440"/>
        </w:tabs>
        <w:ind w:left="1440" w:hanging="360"/>
      </w:pPr>
      <w:rPr>
        <w:rFonts w:ascii="Arial" w:hAnsi="Arial" w:hint="default"/>
      </w:rPr>
    </w:lvl>
    <w:lvl w:ilvl="2" w:tplc="7EBC7B3A">
      <w:start w:val="1"/>
      <w:numFmt w:val="bullet"/>
      <w:lvlText w:val="•"/>
      <w:lvlJc w:val="left"/>
      <w:pPr>
        <w:tabs>
          <w:tab w:val="num" w:pos="2160"/>
        </w:tabs>
        <w:ind w:left="2160" w:hanging="360"/>
      </w:pPr>
      <w:rPr>
        <w:rFonts w:ascii="Arial" w:hAnsi="Arial" w:hint="default"/>
      </w:rPr>
    </w:lvl>
    <w:lvl w:ilvl="3" w:tplc="E5E083E6" w:tentative="1">
      <w:start w:val="1"/>
      <w:numFmt w:val="bullet"/>
      <w:lvlText w:val="•"/>
      <w:lvlJc w:val="left"/>
      <w:pPr>
        <w:tabs>
          <w:tab w:val="num" w:pos="2880"/>
        </w:tabs>
        <w:ind w:left="2880" w:hanging="360"/>
      </w:pPr>
      <w:rPr>
        <w:rFonts w:ascii="Arial" w:hAnsi="Arial" w:hint="default"/>
      </w:rPr>
    </w:lvl>
    <w:lvl w:ilvl="4" w:tplc="B782AC36" w:tentative="1">
      <w:start w:val="1"/>
      <w:numFmt w:val="bullet"/>
      <w:lvlText w:val="•"/>
      <w:lvlJc w:val="left"/>
      <w:pPr>
        <w:tabs>
          <w:tab w:val="num" w:pos="3600"/>
        </w:tabs>
        <w:ind w:left="3600" w:hanging="360"/>
      </w:pPr>
      <w:rPr>
        <w:rFonts w:ascii="Arial" w:hAnsi="Arial" w:hint="default"/>
      </w:rPr>
    </w:lvl>
    <w:lvl w:ilvl="5" w:tplc="2052574E" w:tentative="1">
      <w:start w:val="1"/>
      <w:numFmt w:val="bullet"/>
      <w:lvlText w:val="•"/>
      <w:lvlJc w:val="left"/>
      <w:pPr>
        <w:tabs>
          <w:tab w:val="num" w:pos="4320"/>
        </w:tabs>
        <w:ind w:left="4320" w:hanging="360"/>
      </w:pPr>
      <w:rPr>
        <w:rFonts w:ascii="Arial" w:hAnsi="Arial" w:hint="default"/>
      </w:rPr>
    </w:lvl>
    <w:lvl w:ilvl="6" w:tplc="B7C23908" w:tentative="1">
      <w:start w:val="1"/>
      <w:numFmt w:val="bullet"/>
      <w:lvlText w:val="•"/>
      <w:lvlJc w:val="left"/>
      <w:pPr>
        <w:tabs>
          <w:tab w:val="num" w:pos="5040"/>
        </w:tabs>
        <w:ind w:left="5040" w:hanging="360"/>
      </w:pPr>
      <w:rPr>
        <w:rFonts w:ascii="Arial" w:hAnsi="Arial" w:hint="default"/>
      </w:rPr>
    </w:lvl>
    <w:lvl w:ilvl="7" w:tplc="6126672E" w:tentative="1">
      <w:start w:val="1"/>
      <w:numFmt w:val="bullet"/>
      <w:lvlText w:val="•"/>
      <w:lvlJc w:val="left"/>
      <w:pPr>
        <w:tabs>
          <w:tab w:val="num" w:pos="5760"/>
        </w:tabs>
        <w:ind w:left="5760" w:hanging="360"/>
      </w:pPr>
      <w:rPr>
        <w:rFonts w:ascii="Arial" w:hAnsi="Arial" w:hint="default"/>
      </w:rPr>
    </w:lvl>
    <w:lvl w:ilvl="8" w:tplc="A5E4BD2A" w:tentative="1">
      <w:start w:val="1"/>
      <w:numFmt w:val="bullet"/>
      <w:lvlText w:val="•"/>
      <w:lvlJc w:val="left"/>
      <w:pPr>
        <w:tabs>
          <w:tab w:val="num" w:pos="6480"/>
        </w:tabs>
        <w:ind w:left="6480" w:hanging="360"/>
      </w:pPr>
      <w:rPr>
        <w:rFonts w:ascii="Arial" w:hAnsi="Arial" w:hint="default"/>
      </w:rPr>
    </w:lvl>
  </w:abstractNum>
  <w:abstractNum w:abstractNumId="12">
    <w:nsid w:val="3B1E3D69"/>
    <w:multiLevelType w:val="hybridMultilevel"/>
    <w:tmpl w:val="B77E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C11CF"/>
    <w:multiLevelType w:val="hybridMultilevel"/>
    <w:tmpl w:val="B2B8A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B314B9E"/>
    <w:multiLevelType w:val="hybridMultilevel"/>
    <w:tmpl w:val="4C8E4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D07BE7"/>
    <w:multiLevelType w:val="hybridMultilevel"/>
    <w:tmpl w:val="6648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A568DD"/>
    <w:multiLevelType w:val="hybridMultilevel"/>
    <w:tmpl w:val="A4586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160F07"/>
    <w:multiLevelType w:val="hybridMultilevel"/>
    <w:tmpl w:val="3D90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B63D0D"/>
    <w:multiLevelType w:val="hybridMultilevel"/>
    <w:tmpl w:val="ACF0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3378F4"/>
    <w:multiLevelType w:val="hybridMultilevel"/>
    <w:tmpl w:val="71EC04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D318B4"/>
    <w:multiLevelType w:val="hybridMultilevel"/>
    <w:tmpl w:val="E9AC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1B4352"/>
    <w:multiLevelType w:val="hybridMultilevel"/>
    <w:tmpl w:val="A63A7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912483F"/>
    <w:multiLevelType w:val="hybridMultilevel"/>
    <w:tmpl w:val="CC74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659C7"/>
    <w:multiLevelType w:val="hybridMultilevel"/>
    <w:tmpl w:val="F198F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865C0F"/>
    <w:multiLevelType w:val="hybridMultilevel"/>
    <w:tmpl w:val="CC30FAF6"/>
    <w:lvl w:ilvl="0" w:tplc="0CC0848E">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3643E8"/>
    <w:multiLevelType w:val="hybridMultilevel"/>
    <w:tmpl w:val="99C6B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963B23"/>
    <w:multiLevelType w:val="hybridMultilevel"/>
    <w:tmpl w:val="303A82E2"/>
    <w:lvl w:ilvl="0" w:tplc="04090001">
      <w:start w:val="1"/>
      <w:numFmt w:val="bullet"/>
      <w:lvlText w:val=""/>
      <w:lvlJc w:val="left"/>
      <w:pPr>
        <w:ind w:left="720" w:hanging="360"/>
      </w:pPr>
      <w:rPr>
        <w:rFonts w:ascii="Symbol" w:hAnsi="Symbol" w:hint="default"/>
      </w:rPr>
    </w:lvl>
    <w:lvl w:ilvl="1" w:tplc="E30CCEE4" w:tentative="1">
      <w:start w:val="1"/>
      <w:numFmt w:val="bullet"/>
      <w:lvlText w:val=""/>
      <w:lvlJc w:val="left"/>
      <w:pPr>
        <w:tabs>
          <w:tab w:val="num" w:pos="1440"/>
        </w:tabs>
        <w:ind w:left="1440" w:hanging="360"/>
      </w:pPr>
      <w:rPr>
        <w:rFonts w:ascii="Wingdings" w:hAnsi="Wingdings" w:hint="default"/>
      </w:rPr>
    </w:lvl>
    <w:lvl w:ilvl="2" w:tplc="C17AFE72" w:tentative="1">
      <w:start w:val="1"/>
      <w:numFmt w:val="bullet"/>
      <w:lvlText w:val=""/>
      <w:lvlJc w:val="left"/>
      <w:pPr>
        <w:tabs>
          <w:tab w:val="num" w:pos="2160"/>
        </w:tabs>
        <w:ind w:left="2160" w:hanging="360"/>
      </w:pPr>
      <w:rPr>
        <w:rFonts w:ascii="Wingdings" w:hAnsi="Wingdings" w:hint="default"/>
      </w:rPr>
    </w:lvl>
    <w:lvl w:ilvl="3" w:tplc="1E3C3358" w:tentative="1">
      <w:start w:val="1"/>
      <w:numFmt w:val="bullet"/>
      <w:lvlText w:val=""/>
      <w:lvlJc w:val="left"/>
      <w:pPr>
        <w:tabs>
          <w:tab w:val="num" w:pos="2880"/>
        </w:tabs>
        <w:ind w:left="2880" w:hanging="360"/>
      </w:pPr>
      <w:rPr>
        <w:rFonts w:ascii="Wingdings" w:hAnsi="Wingdings" w:hint="default"/>
      </w:rPr>
    </w:lvl>
    <w:lvl w:ilvl="4" w:tplc="0CC2E47E" w:tentative="1">
      <w:start w:val="1"/>
      <w:numFmt w:val="bullet"/>
      <w:lvlText w:val=""/>
      <w:lvlJc w:val="left"/>
      <w:pPr>
        <w:tabs>
          <w:tab w:val="num" w:pos="3600"/>
        </w:tabs>
        <w:ind w:left="3600" w:hanging="360"/>
      </w:pPr>
      <w:rPr>
        <w:rFonts w:ascii="Wingdings" w:hAnsi="Wingdings" w:hint="default"/>
      </w:rPr>
    </w:lvl>
    <w:lvl w:ilvl="5" w:tplc="6B74A734" w:tentative="1">
      <w:start w:val="1"/>
      <w:numFmt w:val="bullet"/>
      <w:lvlText w:val=""/>
      <w:lvlJc w:val="left"/>
      <w:pPr>
        <w:tabs>
          <w:tab w:val="num" w:pos="4320"/>
        </w:tabs>
        <w:ind w:left="4320" w:hanging="360"/>
      </w:pPr>
      <w:rPr>
        <w:rFonts w:ascii="Wingdings" w:hAnsi="Wingdings" w:hint="default"/>
      </w:rPr>
    </w:lvl>
    <w:lvl w:ilvl="6" w:tplc="F17231E6" w:tentative="1">
      <w:start w:val="1"/>
      <w:numFmt w:val="bullet"/>
      <w:lvlText w:val=""/>
      <w:lvlJc w:val="left"/>
      <w:pPr>
        <w:tabs>
          <w:tab w:val="num" w:pos="5040"/>
        </w:tabs>
        <w:ind w:left="5040" w:hanging="360"/>
      </w:pPr>
      <w:rPr>
        <w:rFonts w:ascii="Wingdings" w:hAnsi="Wingdings" w:hint="default"/>
      </w:rPr>
    </w:lvl>
    <w:lvl w:ilvl="7" w:tplc="D13ED192" w:tentative="1">
      <w:start w:val="1"/>
      <w:numFmt w:val="bullet"/>
      <w:lvlText w:val=""/>
      <w:lvlJc w:val="left"/>
      <w:pPr>
        <w:tabs>
          <w:tab w:val="num" w:pos="5760"/>
        </w:tabs>
        <w:ind w:left="5760" w:hanging="360"/>
      </w:pPr>
      <w:rPr>
        <w:rFonts w:ascii="Wingdings" w:hAnsi="Wingdings" w:hint="default"/>
      </w:rPr>
    </w:lvl>
    <w:lvl w:ilvl="8" w:tplc="702E362A" w:tentative="1">
      <w:start w:val="1"/>
      <w:numFmt w:val="bullet"/>
      <w:lvlText w:val=""/>
      <w:lvlJc w:val="left"/>
      <w:pPr>
        <w:tabs>
          <w:tab w:val="num" w:pos="6480"/>
        </w:tabs>
        <w:ind w:left="6480" w:hanging="360"/>
      </w:pPr>
      <w:rPr>
        <w:rFonts w:ascii="Wingdings" w:hAnsi="Wingdings" w:hint="default"/>
      </w:rPr>
    </w:lvl>
  </w:abstractNum>
  <w:abstractNum w:abstractNumId="27">
    <w:nsid w:val="6C7D34B3"/>
    <w:multiLevelType w:val="hybridMultilevel"/>
    <w:tmpl w:val="0BBC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244F09"/>
    <w:multiLevelType w:val="hybridMultilevel"/>
    <w:tmpl w:val="2766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0859E7"/>
    <w:multiLevelType w:val="hybridMultilevel"/>
    <w:tmpl w:val="C97AD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360BBB"/>
    <w:multiLevelType w:val="hybridMultilevel"/>
    <w:tmpl w:val="42BC81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8"/>
  </w:num>
  <w:num w:numId="3">
    <w:abstractNumId w:val="26"/>
  </w:num>
  <w:num w:numId="4">
    <w:abstractNumId w:val="8"/>
  </w:num>
  <w:num w:numId="5">
    <w:abstractNumId w:val="15"/>
  </w:num>
  <w:num w:numId="6">
    <w:abstractNumId w:val="28"/>
  </w:num>
  <w:num w:numId="7">
    <w:abstractNumId w:val="3"/>
  </w:num>
  <w:num w:numId="8">
    <w:abstractNumId w:val="21"/>
  </w:num>
  <w:num w:numId="9">
    <w:abstractNumId w:val="12"/>
  </w:num>
  <w:num w:numId="10">
    <w:abstractNumId w:val="20"/>
  </w:num>
  <w:num w:numId="11">
    <w:abstractNumId w:val="6"/>
  </w:num>
  <w:num w:numId="12">
    <w:abstractNumId w:val="27"/>
  </w:num>
  <w:num w:numId="13">
    <w:abstractNumId w:val="24"/>
  </w:num>
  <w:num w:numId="14">
    <w:abstractNumId w:val="13"/>
  </w:num>
  <w:num w:numId="15">
    <w:abstractNumId w:val="16"/>
  </w:num>
  <w:num w:numId="16">
    <w:abstractNumId w:val="19"/>
  </w:num>
  <w:num w:numId="17">
    <w:abstractNumId w:val="17"/>
  </w:num>
  <w:num w:numId="18">
    <w:abstractNumId w:val="1"/>
  </w:num>
  <w:num w:numId="19">
    <w:abstractNumId w:val="0"/>
  </w:num>
  <w:num w:numId="20">
    <w:abstractNumId w:val="9"/>
  </w:num>
  <w:num w:numId="21">
    <w:abstractNumId w:val="29"/>
  </w:num>
  <w:num w:numId="22">
    <w:abstractNumId w:val="10"/>
  </w:num>
  <w:num w:numId="23">
    <w:abstractNumId w:val="22"/>
  </w:num>
  <w:num w:numId="24">
    <w:abstractNumId w:val="11"/>
  </w:num>
  <w:num w:numId="25">
    <w:abstractNumId w:val="30"/>
  </w:num>
  <w:num w:numId="26">
    <w:abstractNumId w:val="2"/>
  </w:num>
  <w:num w:numId="27">
    <w:abstractNumId w:val="5"/>
  </w:num>
  <w:num w:numId="28">
    <w:abstractNumId w:val="25"/>
  </w:num>
  <w:num w:numId="29">
    <w:abstractNumId w:val="14"/>
  </w:num>
  <w:num w:numId="30">
    <w:abstractNumId w:val="7"/>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F0"/>
    <w:rsid w:val="00003764"/>
    <w:rsid w:val="00007DF3"/>
    <w:rsid w:val="00012ED7"/>
    <w:rsid w:val="00021072"/>
    <w:rsid w:val="00022983"/>
    <w:rsid w:val="00022FB6"/>
    <w:rsid w:val="0002655B"/>
    <w:rsid w:val="0003220F"/>
    <w:rsid w:val="00043261"/>
    <w:rsid w:val="00056BC6"/>
    <w:rsid w:val="0006358D"/>
    <w:rsid w:val="00066491"/>
    <w:rsid w:val="00072CE8"/>
    <w:rsid w:val="00086BE2"/>
    <w:rsid w:val="00091C90"/>
    <w:rsid w:val="00097502"/>
    <w:rsid w:val="000A0879"/>
    <w:rsid w:val="000A0952"/>
    <w:rsid w:val="000A709E"/>
    <w:rsid w:val="000A767B"/>
    <w:rsid w:val="000A7A57"/>
    <w:rsid w:val="000B0529"/>
    <w:rsid w:val="000B327C"/>
    <w:rsid w:val="000B543D"/>
    <w:rsid w:val="000B746A"/>
    <w:rsid w:val="000C49DB"/>
    <w:rsid w:val="000C6FF8"/>
    <w:rsid w:val="000D17B7"/>
    <w:rsid w:val="000D286B"/>
    <w:rsid w:val="000D2EF6"/>
    <w:rsid w:val="000D3268"/>
    <w:rsid w:val="000D56DC"/>
    <w:rsid w:val="000E4C21"/>
    <w:rsid w:val="000E74A9"/>
    <w:rsid w:val="000F1270"/>
    <w:rsid w:val="000F270B"/>
    <w:rsid w:val="000F2EA7"/>
    <w:rsid w:val="000F454B"/>
    <w:rsid w:val="00101B08"/>
    <w:rsid w:val="00101E39"/>
    <w:rsid w:val="001129AB"/>
    <w:rsid w:val="00112F86"/>
    <w:rsid w:val="00115340"/>
    <w:rsid w:val="00116059"/>
    <w:rsid w:val="001174FC"/>
    <w:rsid w:val="00117502"/>
    <w:rsid w:val="001266CB"/>
    <w:rsid w:val="001353FA"/>
    <w:rsid w:val="001360AB"/>
    <w:rsid w:val="00143C8B"/>
    <w:rsid w:val="001605D3"/>
    <w:rsid w:val="00170887"/>
    <w:rsid w:val="00171818"/>
    <w:rsid w:val="00175040"/>
    <w:rsid w:val="00180208"/>
    <w:rsid w:val="001842C4"/>
    <w:rsid w:val="001906DB"/>
    <w:rsid w:val="00193F5B"/>
    <w:rsid w:val="00194734"/>
    <w:rsid w:val="00196DEA"/>
    <w:rsid w:val="001B0146"/>
    <w:rsid w:val="001B13FB"/>
    <w:rsid w:val="001B14D3"/>
    <w:rsid w:val="001B7C64"/>
    <w:rsid w:val="001C5B54"/>
    <w:rsid w:val="001D490B"/>
    <w:rsid w:val="001E01EA"/>
    <w:rsid w:val="001E36A2"/>
    <w:rsid w:val="001F6E94"/>
    <w:rsid w:val="001F799A"/>
    <w:rsid w:val="002025EF"/>
    <w:rsid w:val="002063F9"/>
    <w:rsid w:val="00206685"/>
    <w:rsid w:val="002111E4"/>
    <w:rsid w:val="00214A77"/>
    <w:rsid w:val="00217DB1"/>
    <w:rsid w:val="00223A96"/>
    <w:rsid w:val="002412AC"/>
    <w:rsid w:val="002514C7"/>
    <w:rsid w:val="00251580"/>
    <w:rsid w:val="00253845"/>
    <w:rsid w:val="002563EA"/>
    <w:rsid w:val="00256BB9"/>
    <w:rsid w:val="002632F1"/>
    <w:rsid w:val="0027244B"/>
    <w:rsid w:val="002732E5"/>
    <w:rsid w:val="00274625"/>
    <w:rsid w:val="002823A1"/>
    <w:rsid w:val="00284894"/>
    <w:rsid w:val="00286569"/>
    <w:rsid w:val="002917BF"/>
    <w:rsid w:val="00296725"/>
    <w:rsid w:val="0029703F"/>
    <w:rsid w:val="002977C7"/>
    <w:rsid w:val="002A0EB1"/>
    <w:rsid w:val="002A2037"/>
    <w:rsid w:val="002A3C3C"/>
    <w:rsid w:val="002A4A50"/>
    <w:rsid w:val="002B1AB6"/>
    <w:rsid w:val="002B55E8"/>
    <w:rsid w:val="002B70CC"/>
    <w:rsid w:val="002C039C"/>
    <w:rsid w:val="002C0657"/>
    <w:rsid w:val="002C3DAD"/>
    <w:rsid w:val="002D2E83"/>
    <w:rsid w:val="002D3E7C"/>
    <w:rsid w:val="002D4472"/>
    <w:rsid w:val="002D4550"/>
    <w:rsid w:val="002D47FB"/>
    <w:rsid w:val="002D5A70"/>
    <w:rsid w:val="002F2E0D"/>
    <w:rsid w:val="002F4A5E"/>
    <w:rsid w:val="002F5864"/>
    <w:rsid w:val="00300038"/>
    <w:rsid w:val="00311C33"/>
    <w:rsid w:val="0031535B"/>
    <w:rsid w:val="0032195E"/>
    <w:rsid w:val="003245D4"/>
    <w:rsid w:val="00326793"/>
    <w:rsid w:val="00326988"/>
    <w:rsid w:val="00331A4B"/>
    <w:rsid w:val="00332E13"/>
    <w:rsid w:val="00334DB2"/>
    <w:rsid w:val="0033598E"/>
    <w:rsid w:val="00340DA2"/>
    <w:rsid w:val="00342E2C"/>
    <w:rsid w:val="00347920"/>
    <w:rsid w:val="003518E8"/>
    <w:rsid w:val="003570F3"/>
    <w:rsid w:val="0036290B"/>
    <w:rsid w:val="00363C13"/>
    <w:rsid w:val="00376561"/>
    <w:rsid w:val="0038019F"/>
    <w:rsid w:val="003811C5"/>
    <w:rsid w:val="00387F88"/>
    <w:rsid w:val="0039162F"/>
    <w:rsid w:val="003A3237"/>
    <w:rsid w:val="003B748E"/>
    <w:rsid w:val="003C0F6D"/>
    <w:rsid w:val="003C1320"/>
    <w:rsid w:val="003D10EE"/>
    <w:rsid w:val="003D3936"/>
    <w:rsid w:val="003E332C"/>
    <w:rsid w:val="003E63D5"/>
    <w:rsid w:val="003F4B1F"/>
    <w:rsid w:val="003F5B61"/>
    <w:rsid w:val="003F692C"/>
    <w:rsid w:val="003F69DA"/>
    <w:rsid w:val="0041360F"/>
    <w:rsid w:val="0042168E"/>
    <w:rsid w:val="00436139"/>
    <w:rsid w:val="004407E7"/>
    <w:rsid w:val="004417EA"/>
    <w:rsid w:val="00445446"/>
    <w:rsid w:val="00450D94"/>
    <w:rsid w:val="00450E47"/>
    <w:rsid w:val="00452D50"/>
    <w:rsid w:val="00456591"/>
    <w:rsid w:val="00460181"/>
    <w:rsid w:val="00471229"/>
    <w:rsid w:val="00492A1A"/>
    <w:rsid w:val="00492DC9"/>
    <w:rsid w:val="004A077F"/>
    <w:rsid w:val="004A3619"/>
    <w:rsid w:val="004A7F5A"/>
    <w:rsid w:val="004B15CB"/>
    <w:rsid w:val="004B1DF7"/>
    <w:rsid w:val="004B2F6B"/>
    <w:rsid w:val="004B429F"/>
    <w:rsid w:val="004B7157"/>
    <w:rsid w:val="004C2304"/>
    <w:rsid w:val="004C6FA5"/>
    <w:rsid w:val="004D7160"/>
    <w:rsid w:val="004E3C1D"/>
    <w:rsid w:val="004E4903"/>
    <w:rsid w:val="00501EB5"/>
    <w:rsid w:val="0050533D"/>
    <w:rsid w:val="00507E68"/>
    <w:rsid w:val="00511521"/>
    <w:rsid w:val="005165AE"/>
    <w:rsid w:val="00521D34"/>
    <w:rsid w:val="0052365D"/>
    <w:rsid w:val="00532F6A"/>
    <w:rsid w:val="00533733"/>
    <w:rsid w:val="005343F3"/>
    <w:rsid w:val="00535C58"/>
    <w:rsid w:val="005375F8"/>
    <w:rsid w:val="005414C6"/>
    <w:rsid w:val="00543E94"/>
    <w:rsid w:val="00547D0E"/>
    <w:rsid w:val="005507DA"/>
    <w:rsid w:val="00550DD0"/>
    <w:rsid w:val="00553B4D"/>
    <w:rsid w:val="0055440B"/>
    <w:rsid w:val="005707D8"/>
    <w:rsid w:val="005753F2"/>
    <w:rsid w:val="0058066C"/>
    <w:rsid w:val="005837A5"/>
    <w:rsid w:val="005856CE"/>
    <w:rsid w:val="005A0B8C"/>
    <w:rsid w:val="005A6A24"/>
    <w:rsid w:val="005A7044"/>
    <w:rsid w:val="005B189D"/>
    <w:rsid w:val="005B368E"/>
    <w:rsid w:val="005C2E9F"/>
    <w:rsid w:val="005C4D5D"/>
    <w:rsid w:val="005D2A6E"/>
    <w:rsid w:val="005D51E3"/>
    <w:rsid w:val="005D566D"/>
    <w:rsid w:val="005D5FAF"/>
    <w:rsid w:val="005D64BE"/>
    <w:rsid w:val="005D7AE5"/>
    <w:rsid w:val="005E5B6A"/>
    <w:rsid w:val="005F30E4"/>
    <w:rsid w:val="005F3E38"/>
    <w:rsid w:val="005F592A"/>
    <w:rsid w:val="005F72D8"/>
    <w:rsid w:val="005F7BAA"/>
    <w:rsid w:val="00602863"/>
    <w:rsid w:val="006037A4"/>
    <w:rsid w:val="00607C04"/>
    <w:rsid w:val="00627FFC"/>
    <w:rsid w:val="00634840"/>
    <w:rsid w:val="00640578"/>
    <w:rsid w:val="00640C84"/>
    <w:rsid w:val="006416BF"/>
    <w:rsid w:val="0064379C"/>
    <w:rsid w:val="00643B1F"/>
    <w:rsid w:val="00643ED6"/>
    <w:rsid w:val="006628E6"/>
    <w:rsid w:val="006649DD"/>
    <w:rsid w:val="006879CA"/>
    <w:rsid w:val="006A31B8"/>
    <w:rsid w:val="006C758D"/>
    <w:rsid w:val="006D6030"/>
    <w:rsid w:val="006F55E7"/>
    <w:rsid w:val="0070283B"/>
    <w:rsid w:val="00706180"/>
    <w:rsid w:val="007079F0"/>
    <w:rsid w:val="007141A5"/>
    <w:rsid w:val="00723E87"/>
    <w:rsid w:val="00724DC8"/>
    <w:rsid w:val="00727DC5"/>
    <w:rsid w:val="00733DFB"/>
    <w:rsid w:val="00733F77"/>
    <w:rsid w:val="007351B0"/>
    <w:rsid w:val="00736418"/>
    <w:rsid w:val="0074210F"/>
    <w:rsid w:val="0074278C"/>
    <w:rsid w:val="00742893"/>
    <w:rsid w:val="00751B3D"/>
    <w:rsid w:val="00753910"/>
    <w:rsid w:val="00753A20"/>
    <w:rsid w:val="00762105"/>
    <w:rsid w:val="00775B97"/>
    <w:rsid w:val="00776654"/>
    <w:rsid w:val="00784658"/>
    <w:rsid w:val="007858A9"/>
    <w:rsid w:val="0079414D"/>
    <w:rsid w:val="007A29B5"/>
    <w:rsid w:val="007A2E03"/>
    <w:rsid w:val="007A2EFA"/>
    <w:rsid w:val="007A7FDC"/>
    <w:rsid w:val="007B3277"/>
    <w:rsid w:val="007B6825"/>
    <w:rsid w:val="007B7AF3"/>
    <w:rsid w:val="007C0237"/>
    <w:rsid w:val="007C2215"/>
    <w:rsid w:val="007C5B16"/>
    <w:rsid w:val="007C6224"/>
    <w:rsid w:val="007D13F7"/>
    <w:rsid w:val="007D208C"/>
    <w:rsid w:val="007D263C"/>
    <w:rsid w:val="007D4F0E"/>
    <w:rsid w:val="007E03D4"/>
    <w:rsid w:val="007E3A3A"/>
    <w:rsid w:val="007E413B"/>
    <w:rsid w:val="007E7131"/>
    <w:rsid w:val="00803A47"/>
    <w:rsid w:val="00816B61"/>
    <w:rsid w:val="008175C3"/>
    <w:rsid w:val="008226F8"/>
    <w:rsid w:val="00824BA4"/>
    <w:rsid w:val="00825C13"/>
    <w:rsid w:val="00825ED4"/>
    <w:rsid w:val="00831791"/>
    <w:rsid w:val="0083788C"/>
    <w:rsid w:val="0084003A"/>
    <w:rsid w:val="00840B53"/>
    <w:rsid w:val="00850204"/>
    <w:rsid w:val="00851E6C"/>
    <w:rsid w:val="00853E09"/>
    <w:rsid w:val="00856285"/>
    <w:rsid w:val="00856646"/>
    <w:rsid w:val="00862925"/>
    <w:rsid w:val="00862E9B"/>
    <w:rsid w:val="008708C6"/>
    <w:rsid w:val="00875DE5"/>
    <w:rsid w:val="008765CC"/>
    <w:rsid w:val="00876C5E"/>
    <w:rsid w:val="00876F8F"/>
    <w:rsid w:val="00877035"/>
    <w:rsid w:val="00883845"/>
    <w:rsid w:val="00890C6E"/>
    <w:rsid w:val="0089303E"/>
    <w:rsid w:val="00897347"/>
    <w:rsid w:val="008A0ED7"/>
    <w:rsid w:val="008A45BE"/>
    <w:rsid w:val="008C4135"/>
    <w:rsid w:val="008C5F88"/>
    <w:rsid w:val="008C66ED"/>
    <w:rsid w:val="008D0C69"/>
    <w:rsid w:val="008D1D57"/>
    <w:rsid w:val="008D6D4B"/>
    <w:rsid w:val="008E5AF3"/>
    <w:rsid w:val="00900DDD"/>
    <w:rsid w:val="009039B8"/>
    <w:rsid w:val="00920BDA"/>
    <w:rsid w:val="0092152A"/>
    <w:rsid w:val="00930980"/>
    <w:rsid w:val="00930EA1"/>
    <w:rsid w:val="00940438"/>
    <w:rsid w:val="009444C1"/>
    <w:rsid w:val="0095436B"/>
    <w:rsid w:val="009607AB"/>
    <w:rsid w:val="00962746"/>
    <w:rsid w:val="00963E12"/>
    <w:rsid w:val="00965121"/>
    <w:rsid w:val="00965A81"/>
    <w:rsid w:val="0097319A"/>
    <w:rsid w:val="00974111"/>
    <w:rsid w:val="009741CC"/>
    <w:rsid w:val="009746E8"/>
    <w:rsid w:val="009853CE"/>
    <w:rsid w:val="009875DD"/>
    <w:rsid w:val="00996CF7"/>
    <w:rsid w:val="00997A22"/>
    <w:rsid w:val="009A2CC4"/>
    <w:rsid w:val="009A5445"/>
    <w:rsid w:val="009B6A12"/>
    <w:rsid w:val="009D2AEC"/>
    <w:rsid w:val="009D7240"/>
    <w:rsid w:val="009E15CA"/>
    <w:rsid w:val="009E3261"/>
    <w:rsid w:val="009E44B8"/>
    <w:rsid w:val="009F570C"/>
    <w:rsid w:val="009F6E01"/>
    <w:rsid w:val="00A05E2F"/>
    <w:rsid w:val="00A06919"/>
    <w:rsid w:val="00A11040"/>
    <w:rsid w:val="00A122E5"/>
    <w:rsid w:val="00A126FA"/>
    <w:rsid w:val="00A12F43"/>
    <w:rsid w:val="00A13A5D"/>
    <w:rsid w:val="00A21825"/>
    <w:rsid w:val="00A27CFC"/>
    <w:rsid w:val="00A321E0"/>
    <w:rsid w:val="00A3613C"/>
    <w:rsid w:val="00A401F5"/>
    <w:rsid w:val="00A44A08"/>
    <w:rsid w:val="00A52C6F"/>
    <w:rsid w:val="00A56A0B"/>
    <w:rsid w:val="00A57F37"/>
    <w:rsid w:val="00A60747"/>
    <w:rsid w:val="00A60A24"/>
    <w:rsid w:val="00A7375D"/>
    <w:rsid w:val="00A75DAA"/>
    <w:rsid w:val="00A81F63"/>
    <w:rsid w:val="00A82C6E"/>
    <w:rsid w:val="00A83A2D"/>
    <w:rsid w:val="00A91AD1"/>
    <w:rsid w:val="00A92A35"/>
    <w:rsid w:val="00A92ED1"/>
    <w:rsid w:val="00AA2BC2"/>
    <w:rsid w:val="00AA4CEB"/>
    <w:rsid w:val="00AA7E7E"/>
    <w:rsid w:val="00AB4F33"/>
    <w:rsid w:val="00AC0C78"/>
    <w:rsid w:val="00AC4601"/>
    <w:rsid w:val="00AC670B"/>
    <w:rsid w:val="00AC7C16"/>
    <w:rsid w:val="00AD72DF"/>
    <w:rsid w:val="00AE0F6A"/>
    <w:rsid w:val="00AE18EB"/>
    <w:rsid w:val="00AE2AB8"/>
    <w:rsid w:val="00AE2E45"/>
    <w:rsid w:val="00AE32C1"/>
    <w:rsid w:val="00AF3343"/>
    <w:rsid w:val="00B01F82"/>
    <w:rsid w:val="00B03220"/>
    <w:rsid w:val="00B1227D"/>
    <w:rsid w:val="00B12F37"/>
    <w:rsid w:val="00B2157E"/>
    <w:rsid w:val="00B25FBC"/>
    <w:rsid w:val="00B3079A"/>
    <w:rsid w:val="00B3183A"/>
    <w:rsid w:val="00B34C88"/>
    <w:rsid w:val="00B43205"/>
    <w:rsid w:val="00B5035F"/>
    <w:rsid w:val="00B511EF"/>
    <w:rsid w:val="00B60EAD"/>
    <w:rsid w:val="00B80B8B"/>
    <w:rsid w:val="00B81B28"/>
    <w:rsid w:val="00B84B02"/>
    <w:rsid w:val="00B85D75"/>
    <w:rsid w:val="00B90DA6"/>
    <w:rsid w:val="00B976AF"/>
    <w:rsid w:val="00BA355D"/>
    <w:rsid w:val="00BB199A"/>
    <w:rsid w:val="00BB351C"/>
    <w:rsid w:val="00BC0C85"/>
    <w:rsid w:val="00BC0E50"/>
    <w:rsid w:val="00BC1EF2"/>
    <w:rsid w:val="00BC3001"/>
    <w:rsid w:val="00BD2F9B"/>
    <w:rsid w:val="00BE413D"/>
    <w:rsid w:val="00BF1979"/>
    <w:rsid w:val="00BF1B56"/>
    <w:rsid w:val="00C034FD"/>
    <w:rsid w:val="00C06219"/>
    <w:rsid w:val="00C10AE0"/>
    <w:rsid w:val="00C16FD6"/>
    <w:rsid w:val="00C25016"/>
    <w:rsid w:val="00C32540"/>
    <w:rsid w:val="00C332EE"/>
    <w:rsid w:val="00C33F2D"/>
    <w:rsid w:val="00C37FEC"/>
    <w:rsid w:val="00C4578C"/>
    <w:rsid w:val="00C469DE"/>
    <w:rsid w:val="00C528D4"/>
    <w:rsid w:val="00C61A30"/>
    <w:rsid w:val="00C63FDE"/>
    <w:rsid w:val="00C6440C"/>
    <w:rsid w:val="00C64844"/>
    <w:rsid w:val="00C70FA1"/>
    <w:rsid w:val="00C7290B"/>
    <w:rsid w:val="00C777A4"/>
    <w:rsid w:val="00C8188F"/>
    <w:rsid w:val="00C82EF7"/>
    <w:rsid w:val="00C82F92"/>
    <w:rsid w:val="00C97A39"/>
    <w:rsid w:val="00C97C9B"/>
    <w:rsid w:val="00CA66AF"/>
    <w:rsid w:val="00CC29A3"/>
    <w:rsid w:val="00CD14F3"/>
    <w:rsid w:val="00CD2B8F"/>
    <w:rsid w:val="00CD3897"/>
    <w:rsid w:val="00CE32CA"/>
    <w:rsid w:val="00D00F19"/>
    <w:rsid w:val="00D10EDD"/>
    <w:rsid w:val="00D11167"/>
    <w:rsid w:val="00D16678"/>
    <w:rsid w:val="00D20AB2"/>
    <w:rsid w:val="00D23099"/>
    <w:rsid w:val="00D40FFF"/>
    <w:rsid w:val="00D509FD"/>
    <w:rsid w:val="00D51568"/>
    <w:rsid w:val="00D548AE"/>
    <w:rsid w:val="00D604A6"/>
    <w:rsid w:val="00D60D72"/>
    <w:rsid w:val="00D62C97"/>
    <w:rsid w:val="00D678F2"/>
    <w:rsid w:val="00D71D8A"/>
    <w:rsid w:val="00D739BA"/>
    <w:rsid w:val="00D76BB6"/>
    <w:rsid w:val="00D76DCA"/>
    <w:rsid w:val="00D77942"/>
    <w:rsid w:val="00D864E3"/>
    <w:rsid w:val="00D87DBA"/>
    <w:rsid w:val="00D959E7"/>
    <w:rsid w:val="00DA0F7C"/>
    <w:rsid w:val="00DA558D"/>
    <w:rsid w:val="00DB6649"/>
    <w:rsid w:val="00DB777A"/>
    <w:rsid w:val="00DC2624"/>
    <w:rsid w:val="00DC7401"/>
    <w:rsid w:val="00DD4530"/>
    <w:rsid w:val="00DD6896"/>
    <w:rsid w:val="00DD7CBC"/>
    <w:rsid w:val="00DE0E56"/>
    <w:rsid w:val="00DE39AE"/>
    <w:rsid w:val="00DE61CC"/>
    <w:rsid w:val="00DE63A5"/>
    <w:rsid w:val="00DF68EA"/>
    <w:rsid w:val="00DF7507"/>
    <w:rsid w:val="00E00845"/>
    <w:rsid w:val="00E05629"/>
    <w:rsid w:val="00E05A2D"/>
    <w:rsid w:val="00E11B08"/>
    <w:rsid w:val="00E11F98"/>
    <w:rsid w:val="00E17028"/>
    <w:rsid w:val="00E2006C"/>
    <w:rsid w:val="00E25527"/>
    <w:rsid w:val="00E34F2B"/>
    <w:rsid w:val="00E369BA"/>
    <w:rsid w:val="00E37028"/>
    <w:rsid w:val="00E42DDB"/>
    <w:rsid w:val="00E57031"/>
    <w:rsid w:val="00E60C03"/>
    <w:rsid w:val="00E632CA"/>
    <w:rsid w:val="00E6367E"/>
    <w:rsid w:val="00E63F9E"/>
    <w:rsid w:val="00E65B14"/>
    <w:rsid w:val="00E73C80"/>
    <w:rsid w:val="00E83866"/>
    <w:rsid w:val="00E8532A"/>
    <w:rsid w:val="00E87E5C"/>
    <w:rsid w:val="00EA7FF0"/>
    <w:rsid w:val="00EB2523"/>
    <w:rsid w:val="00EB6896"/>
    <w:rsid w:val="00EC00A0"/>
    <w:rsid w:val="00EC2053"/>
    <w:rsid w:val="00EC259F"/>
    <w:rsid w:val="00EC307A"/>
    <w:rsid w:val="00EC30A5"/>
    <w:rsid w:val="00EC5CE1"/>
    <w:rsid w:val="00ED743C"/>
    <w:rsid w:val="00EE21DC"/>
    <w:rsid w:val="00EF2FE7"/>
    <w:rsid w:val="00EF72C8"/>
    <w:rsid w:val="00F0040C"/>
    <w:rsid w:val="00F013EF"/>
    <w:rsid w:val="00F039AF"/>
    <w:rsid w:val="00F112F7"/>
    <w:rsid w:val="00F13FB5"/>
    <w:rsid w:val="00F1610B"/>
    <w:rsid w:val="00F21117"/>
    <w:rsid w:val="00F25E4B"/>
    <w:rsid w:val="00F27BC7"/>
    <w:rsid w:val="00F30C08"/>
    <w:rsid w:val="00F31EA4"/>
    <w:rsid w:val="00F33E6B"/>
    <w:rsid w:val="00F45062"/>
    <w:rsid w:val="00F52197"/>
    <w:rsid w:val="00F54A3F"/>
    <w:rsid w:val="00F56793"/>
    <w:rsid w:val="00F56935"/>
    <w:rsid w:val="00F95D53"/>
    <w:rsid w:val="00F96346"/>
    <w:rsid w:val="00FA6CC3"/>
    <w:rsid w:val="00FB1B6B"/>
    <w:rsid w:val="00FB23CF"/>
    <w:rsid w:val="00FB3AD8"/>
    <w:rsid w:val="00FB7D9C"/>
    <w:rsid w:val="00FC479A"/>
    <w:rsid w:val="00FD20EE"/>
    <w:rsid w:val="00FD30F6"/>
    <w:rsid w:val="00FD7F72"/>
    <w:rsid w:val="00FF2785"/>
    <w:rsid w:val="00FF401E"/>
    <w:rsid w:val="00FF5F9F"/>
    <w:rsid w:val="00FF7263"/>
    <w:rsid w:val="00FF7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4EC8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F0"/>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07D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3C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63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ListParagraph"/>
    <w:next w:val="Normal"/>
    <w:link w:val="Heading5Char"/>
    <w:uiPriority w:val="9"/>
    <w:unhideWhenUsed/>
    <w:qFormat/>
    <w:rsid w:val="00BB351C"/>
    <w:pPr>
      <w:spacing w:after="120" w:line="276" w:lineRule="auto"/>
      <w:ind w:left="0"/>
      <w:contextualSpacing w:val="0"/>
      <w:jc w:val="center"/>
      <w:outlineLvl w:val="4"/>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Normal 2,List Paragraph (numbered (a)),List_Paragraph,Multilevel para_II,List Paragraph1,Citation List,Resume Title,Bullets,Numbered List Paragraph,123 List Paragraph,Celula,Main numbered paragraph,Liste 1,ANNEX,List Paragraph2"/>
    <w:basedOn w:val="Normal"/>
    <w:link w:val="ListParagraphChar"/>
    <w:uiPriority w:val="34"/>
    <w:qFormat/>
    <w:rsid w:val="00BA355D"/>
    <w:pPr>
      <w:ind w:left="720"/>
      <w:contextualSpacing/>
    </w:pPr>
  </w:style>
  <w:style w:type="character" w:customStyle="1" w:styleId="Heading5Char">
    <w:name w:val="Heading 5 Char"/>
    <w:basedOn w:val="DefaultParagraphFont"/>
    <w:link w:val="Heading5"/>
    <w:uiPriority w:val="9"/>
    <w:rsid w:val="00BB351C"/>
    <w:rPr>
      <w:rFonts w:ascii="Times New Roman" w:hAnsi="Times New Roman" w:cs="Times New Roman"/>
      <w:b/>
      <w:bCs/>
    </w:rPr>
  </w:style>
  <w:style w:type="paragraph" w:styleId="BalloonText">
    <w:name w:val="Balloon Text"/>
    <w:basedOn w:val="Normal"/>
    <w:link w:val="BalloonTextChar"/>
    <w:uiPriority w:val="99"/>
    <w:semiHidden/>
    <w:unhideWhenUsed/>
    <w:rsid w:val="00BB35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51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F96346"/>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007DF3"/>
    <w:rPr>
      <w:rFonts w:asciiTheme="majorHAnsi" w:eastAsiaTheme="majorEastAsia" w:hAnsiTheme="majorHAnsi" w:cstheme="majorBidi"/>
      <w:b/>
      <w:bCs/>
      <w:color w:val="4F81BD" w:themeColor="accent1"/>
      <w:sz w:val="26"/>
      <w:szCs w:val="26"/>
    </w:rPr>
  </w:style>
  <w:style w:type="paragraph" w:styleId="FootnoteText">
    <w:name w:val="footnote text"/>
    <w:aliases w:val="DSI Footnote Text,Ja Footnote Text,DSI Footnote Text11,ft Char11,ft1,DSI Footnote Text1,ft Char1,ft,DSI Footnote Reference,DSI Footnote Text111,ft Char111,ft11,DSI Footnote Text112,ft Char112,ft12,DSI Footnote Text2,DSI Footnote Text1111,f"/>
    <w:basedOn w:val="Normal"/>
    <w:link w:val="FootnoteTextChar"/>
    <w:uiPriority w:val="99"/>
    <w:unhideWhenUsed/>
    <w:rsid w:val="00762105"/>
    <w:rPr>
      <w:rFonts w:eastAsia="Calibri"/>
      <w:sz w:val="20"/>
      <w:szCs w:val="20"/>
      <w:lang w:val="en-GB"/>
    </w:rPr>
  </w:style>
  <w:style w:type="character" w:customStyle="1" w:styleId="FootnoteTextChar">
    <w:name w:val="Footnote Text Char"/>
    <w:aliases w:val="DSI Footnote Text Char,Ja Footnote Text Char,DSI Footnote Text11 Char,ft Char11 Char,ft1 Char,DSI Footnote Text1 Char,ft Char1 Char,ft Char,DSI Footnote Reference Char,DSI Footnote Text111 Char,ft Char111 Char,ft11 Char,ft12 Char"/>
    <w:basedOn w:val="DefaultParagraphFont"/>
    <w:link w:val="FootnoteText"/>
    <w:uiPriority w:val="99"/>
    <w:rsid w:val="00762105"/>
    <w:rPr>
      <w:rFonts w:ascii="Times New Roman" w:eastAsia="Calibri" w:hAnsi="Times New Roman" w:cs="Times New Roman"/>
      <w:sz w:val="20"/>
      <w:szCs w:val="20"/>
      <w:lang w:val="en-GB"/>
    </w:rPr>
  </w:style>
  <w:style w:type="character" w:styleId="FootnoteReference">
    <w:name w:val="footnote reference"/>
    <w:aliases w:val="ftref,Знак сноски-FN,16 Point,Superscript 6 Point,BVI fnr,Знак сноски 1,(NECG) Footnote Reference,fr,Footnote + Arial,10 pt,Black,Fußnotenzeichen DISS,Superscript 6 Point + 11 pt,Footnote Ref in FtNote,FnR-ANZDEC,de nota al pie,Ref"/>
    <w:basedOn w:val="DefaultParagraphFont"/>
    <w:uiPriority w:val="99"/>
    <w:unhideWhenUsed/>
    <w:rsid w:val="00762105"/>
    <w:rPr>
      <w:vertAlign w:val="superscript"/>
    </w:rPr>
  </w:style>
  <w:style w:type="paragraph" w:styleId="NormalWeb">
    <w:name w:val="Normal (Web)"/>
    <w:basedOn w:val="Normal"/>
    <w:uiPriority w:val="99"/>
    <w:unhideWhenUsed/>
    <w:rsid w:val="005F3E38"/>
    <w:pPr>
      <w:spacing w:before="100" w:beforeAutospacing="1" w:after="100" w:afterAutospacing="1"/>
      <w:jc w:val="both"/>
    </w:pPr>
  </w:style>
  <w:style w:type="character" w:customStyle="1" w:styleId="Heading3Char">
    <w:name w:val="Heading 3 Char"/>
    <w:basedOn w:val="DefaultParagraphFont"/>
    <w:link w:val="Heading3"/>
    <w:uiPriority w:val="9"/>
    <w:rsid w:val="004E3C1D"/>
    <w:rPr>
      <w:rFonts w:asciiTheme="majorHAnsi" w:eastAsiaTheme="majorEastAsia" w:hAnsiTheme="majorHAnsi" w:cstheme="majorBidi"/>
      <w:b/>
      <w:bCs/>
      <w:color w:val="4F81BD" w:themeColor="accent1"/>
    </w:rPr>
  </w:style>
  <w:style w:type="table" w:styleId="TableGrid">
    <w:name w:val="Table Grid"/>
    <w:aliases w:val="Table Grid (Appendix list)"/>
    <w:basedOn w:val="TableNormal"/>
    <w:uiPriority w:val="59"/>
    <w:rsid w:val="00DA0F7C"/>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7E7131"/>
    <w:pPr>
      <w:jc w:val="both"/>
    </w:pPr>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D5A70"/>
    <w:pPr>
      <w:autoSpaceDE w:val="0"/>
      <w:autoSpaceDN w:val="0"/>
      <w:adjustRightInd w:val="0"/>
    </w:pPr>
    <w:rPr>
      <w:rFonts w:ascii="Times New Roman" w:eastAsia="Times New Roman" w:hAnsi="Times New Roman" w:cs="Times New Roman"/>
      <w:color w:val="000000"/>
    </w:rPr>
  </w:style>
  <w:style w:type="paragraph" w:styleId="Footer">
    <w:name w:val="footer"/>
    <w:basedOn w:val="Normal"/>
    <w:link w:val="FooterChar"/>
    <w:uiPriority w:val="99"/>
    <w:unhideWhenUsed/>
    <w:rsid w:val="001F799A"/>
    <w:pPr>
      <w:tabs>
        <w:tab w:val="center" w:pos="4320"/>
        <w:tab w:val="right" w:pos="8640"/>
      </w:tabs>
    </w:pPr>
  </w:style>
  <w:style w:type="character" w:customStyle="1" w:styleId="FooterChar">
    <w:name w:val="Footer Char"/>
    <w:basedOn w:val="DefaultParagraphFont"/>
    <w:link w:val="Footer"/>
    <w:uiPriority w:val="99"/>
    <w:rsid w:val="001F799A"/>
    <w:rPr>
      <w:rFonts w:ascii="Times New Roman" w:eastAsia="Times New Roman" w:hAnsi="Times New Roman" w:cs="Times New Roman"/>
    </w:rPr>
  </w:style>
  <w:style w:type="character" w:styleId="PageNumber">
    <w:name w:val="page number"/>
    <w:basedOn w:val="DefaultParagraphFont"/>
    <w:uiPriority w:val="99"/>
    <w:semiHidden/>
    <w:unhideWhenUsed/>
    <w:rsid w:val="001F799A"/>
  </w:style>
  <w:style w:type="character" w:customStyle="1" w:styleId="ListParagraphChar">
    <w:name w:val="List Paragraph Char"/>
    <w:aliases w:val="References Char,Normal 2 Char,List Paragraph (numbered (a)) Char,List_Paragraph Char,Multilevel para_II Char,List Paragraph1 Char,Citation List Char,Resume Title Char,Bullets Char,Numbered List Paragraph Char,123 List Paragraph Char"/>
    <w:basedOn w:val="DefaultParagraphFont"/>
    <w:link w:val="ListParagraph"/>
    <w:uiPriority w:val="34"/>
    <w:qFormat/>
    <w:rsid w:val="00DA558D"/>
    <w:rPr>
      <w:rFonts w:ascii="Times New Roman" w:eastAsia="Times New Roman" w:hAnsi="Times New Roman" w:cs="Times New Roman"/>
    </w:rPr>
  </w:style>
  <w:style w:type="paragraph" w:styleId="BodyText">
    <w:name w:val="Body Text"/>
    <w:basedOn w:val="Normal"/>
    <w:link w:val="BodyTextChar"/>
    <w:uiPriority w:val="1"/>
    <w:unhideWhenUsed/>
    <w:qFormat/>
    <w:rsid w:val="007A7FDC"/>
    <w:pPr>
      <w:spacing w:after="120" w:line="259" w:lineRule="auto"/>
    </w:pPr>
    <w:rPr>
      <w:rFonts w:eastAsia="MS ??" w:cstheme="minorBidi"/>
      <w:szCs w:val="22"/>
    </w:rPr>
  </w:style>
  <w:style w:type="character" w:customStyle="1" w:styleId="BodyTextChar">
    <w:name w:val="Body Text Char"/>
    <w:basedOn w:val="DefaultParagraphFont"/>
    <w:link w:val="BodyText"/>
    <w:uiPriority w:val="1"/>
    <w:rsid w:val="007A7FDC"/>
    <w:rPr>
      <w:rFonts w:ascii="Times New Roman" w:eastAsia="MS ??" w:hAnsi="Times New Roman"/>
      <w:szCs w:val="22"/>
    </w:rPr>
  </w:style>
  <w:style w:type="paragraph" w:styleId="Header">
    <w:name w:val="header"/>
    <w:basedOn w:val="Normal"/>
    <w:link w:val="HeaderChar"/>
    <w:uiPriority w:val="99"/>
    <w:unhideWhenUsed/>
    <w:rsid w:val="002917BF"/>
    <w:pPr>
      <w:tabs>
        <w:tab w:val="center" w:pos="4320"/>
        <w:tab w:val="right" w:pos="8640"/>
      </w:tabs>
    </w:pPr>
  </w:style>
  <w:style w:type="character" w:customStyle="1" w:styleId="HeaderChar">
    <w:name w:val="Header Char"/>
    <w:basedOn w:val="DefaultParagraphFont"/>
    <w:link w:val="Header"/>
    <w:uiPriority w:val="99"/>
    <w:rsid w:val="002917BF"/>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F0"/>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07D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E3C1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634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ListParagraph"/>
    <w:next w:val="Normal"/>
    <w:link w:val="Heading5Char"/>
    <w:uiPriority w:val="9"/>
    <w:unhideWhenUsed/>
    <w:qFormat/>
    <w:rsid w:val="00BB351C"/>
    <w:pPr>
      <w:spacing w:after="120" w:line="276" w:lineRule="auto"/>
      <w:ind w:left="0"/>
      <w:contextualSpacing w:val="0"/>
      <w:jc w:val="center"/>
      <w:outlineLvl w:val="4"/>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Normal 2,List Paragraph (numbered (a)),List_Paragraph,Multilevel para_II,List Paragraph1,Citation List,Resume Title,Bullets,Numbered List Paragraph,123 List Paragraph,Celula,Main numbered paragraph,Liste 1,ANNEX,List Paragraph2"/>
    <w:basedOn w:val="Normal"/>
    <w:link w:val="ListParagraphChar"/>
    <w:uiPriority w:val="34"/>
    <w:qFormat/>
    <w:rsid w:val="00BA355D"/>
    <w:pPr>
      <w:ind w:left="720"/>
      <w:contextualSpacing/>
    </w:pPr>
  </w:style>
  <w:style w:type="character" w:customStyle="1" w:styleId="Heading5Char">
    <w:name w:val="Heading 5 Char"/>
    <w:basedOn w:val="DefaultParagraphFont"/>
    <w:link w:val="Heading5"/>
    <w:uiPriority w:val="9"/>
    <w:rsid w:val="00BB351C"/>
    <w:rPr>
      <w:rFonts w:ascii="Times New Roman" w:hAnsi="Times New Roman" w:cs="Times New Roman"/>
      <w:b/>
      <w:bCs/>
    </w:rPr>
  </w:style>
  <w:style w:type="paragraph" w:styleId="BalloonText">
    <w:name w:val="Balloon Text"/>
    <w:basedOn w:val="Normal"/>
    <w:link w:val="BalloonTextChar"/>
    <w:uiPriority w:val="99"/>
    <w:semiHidden/>
    <w:unhideWhenUsed/>
    <w:rsid w:val="00BB35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51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F96346"/>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007DF3"/>
    <w:rPr>
      <w:rFonts w:asciiTheme="majorHAnsi" w:eastAsiaTheme="majorEastAsia" w:hAnsiTheme="majorHAnsi" w:cstheme="majorBidi"/>
      <w:b/>
      <w:bCs/>
      <w:color w:val="4F81BD" w:themeColor="accent1"/>
      <w:sz w:val="26"/>
      <w:szCs w:val="26"/>
    </w:rPr>
  </w:style>
  <w:style w:type="paragraph" w:styleId="FootnoteText">
    <w:name w:val="footnote text"/>
    <w:aliases w:val="DSI Footnote Text,Ja Footnote Text,DSI Footnote Text11,ft Char11,ft1,DSI Footnote Text1,ft Char1,ft,DSI Footnote Reference,DSI Footnote Text111,ft Char111,ft11,DSI Footnote Text112,ft Char112,ft12,DSI Footnote Text2,DSI Footnote Text1111,f"/>
    <w:basedOn w:val="Normal"/>
    <w:link w:val="FootnoteTextChar"/>
    <w:uiPriority w:val="99"/>
    <w:unhideWhenUsed/>
    <w:rsid w:val="00762105"/>
    <w:rPr>
      <w:rFonts w:eastAsia="Calibri"/>
      <w:sz w:val="20"/>
      <w:szCs w:val="20"/>
      <w:lang w:val="en-GB"/>
    </w:rPr>
  </w:style>
  <w:style w:type="character" w:customStyle="1" w:styleId="FootnoteTextChar">
    <w:name w:val="Footnote Text Char"/>
    <w:aliases w:val="DSI Footnote Text Char,Ja Footnote Text Char,DSI Footnote Text11 Char,ft Char11 Char,ft1 Char,DSI Footnote Text1 Char,ft Char1 Char,ft Char,DSI Footnote Reference Char,DSI Footnote Text111 Char,ft Char111 Char,ft11 Char,ft12 Char"/>
    <w:basedOn w:val="DefaultParagraphFont"/>
    <w:link w:val="FootnoteText"/>
    <w:uiPriority w:val="99"/>
    <w:rsid w:val="00762105"/>
    <w:rPr>
      <w:rFonts w:ascii="Times New Roman" w:eastAsia="Calibri" w:hAnsi="Times New Roman" w:cs="Times New Roman"/>
      <w:sz w:val="20"/>
      <w:szCs w:val="20"/>
      <w:lang w:val="en-GB"/>
    </w:rPr>
  </w:style>
  <w:style w:type="character" w:styleId="FootnoteReference">
    <w:name w:val="footnote reference"/>
    <w:aliases w:val="ftref,Знак сноски-FN,16 Point,Superscript 6 Point,BVI fnr,Знак сноски 1,(NECG) Footnote Reference,fr,Footnote + Arial,10 pt,Black,Fußnotenzeichen DISS,Superscript 6 Point + 11 pt,Footnote Ref in FtNote,FnR-ANZDEC,de nota al pie,Ref"/>
    <w:basedOn w:val="DefaultParagraphFont"/>
    <w:uiPriority w:val="99"/>
    <w:unhideWhenUsed/>
    <w:rsid w:val="00762105"/>
    <w:rPr>
      <w:vertAlign w:val="superscript"/>
    </w:rPr>
  </w:style>
  <w:style w:type="paragraph" w:styleId="NormalWeb">
    <w:name w:val="Normal (Web)"/>
    <w:basedOn w:val="Normal"/>
    <w:uiPriority w:val="99"/>
    <w:unhideWhenUsed/>
    <w:rsid w:val="005F3E38"/>
    <w:pPr>
      <w:spacing w:before="100" w:beforeAutospacing="1" w:after="100" w:afterAutospacing="1"/>
      <w:jc w:val="both"/>
    </w:pPr>
  </w:style>
  <w:style w:type="character" w:customStyle="1" w:styleId="Heading3Char">
    <w:name w:val="Heading 3 Char"/>
    <w:basedOn w:val="DefaultParagraphFont"/>
    <w:link w:val="Heading3"/>
    <w:uiPriority w:val="9"/>
    <w:rsid w:val="004E3C1D"/>
    <w:rPr>
      <w:rFonts w:asciiTheme="majorHAnsi" w:eastAsiaTheme="majorEastAsia" w:hAnsiTheme="majorHAnsi" w:cstheme="majorBidi"/>
      <w:b/>
      <w:bCs/>
      <w:color w:val="4F81BD" w:themeColor="accent1"/>
    </w:rPr>
  </w:style>
  <w:style w:type="table" w:styleId="TableGrid">
    <w:name w:val="Table Grid"/>
    <w:aliases w:val="Table Grid (Appendix list)"/>
    <w:basedOn w:val="TableNormal"/>
    <w:uiPriority w:val="59"/>
    <w:rsid w:val="00DA0F7C"/>
    <w:rPr>
      <w:rFonts w:eastAsia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7E7131"/>
    <w:pPr>
      <w:jc w:val="both"/>
    </w:pPr>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2D5A70"/>
    <w:pPr>
      <w:autoSpaceDE w:val="0"/>
      <w:autoSpaceDN w:val="0"/>
      <w:adjustRightInd w:val="0"/>
    </w:pPr>
    <w:rPr>
      <w:rFonts w:ascii="Times New Roman" w:eastAsia="Times New Roman" w:hAnsi="Times New Roman" w:cs="Times New Roman"/>
      <w:color w:val="000000"/>
    </w:rPr>
  </w:style>
  <w:style w:type="paragraph" w:styleId="Footer">
    <w:name w:val="footer"/>
    <w:basedOn w:val="Normal"/>
    <w:link w:val="FooterChar"/>
    <w:uiPriority w:val="99"/>
    <w:unhideWhenUsed/>
    <w:rsid w:val="001F799A"/>
    <w:pPr>
      <w:tabs>
        <w:tab w:val="center" w:pos="4320"/>
        <w:tab w:val="right" w:pos="8640"/>
      </w:tabs>
    </w:pPr>
  </w:style>
  <w:style w:type="character" w:customStyle="1" w:styleId="FooterChar">
    <w:name w:val="Footer Char"/>
    <w:basedOn w:val="DefaultParagraphFont"/>
    <w:link w:val="Footer"/>
    <w:uiPriority w:val="99"/>
    <w:rsid w:val="001F799A"/>
    <w:rPr>
      <w:rFonts w:ascii="Times New Roman" w:eastAsia="Times New Roman" w:hAnsi="Times New Roman" w:cs="Times New Roman"/>
    </w:rPr>
  </w:style>
  <w:style w:type="character" w:styleId="PageNumber">
    <w:name w:val="page number"/>
    <w:basedOn w:val="DefaultParagraphFont"/>
    <w:uiPriority w:val="99"/>
    <w:semiHidden/>
    <w:unhideWhenUsed/>
    <w:rsid w:val="001F799A"/>
  </w:style>
  <w:style w:type="character" w:customStyle="1" w:styleId="ListParagraphChar">
    <w:name w:val="List Paragraph Char"/>
    <w:aliases w:val="References Char,Normal 2 Char,List Paragraph (numbered (a)) Char,List_Paragraph Char,Multilevel para_II Char,List Paragraph1 Char,Citation List Char,Resume Title Char,Bullets Char,Numbered List Paragraph Char,123 List Paragraph Char"/>
    <w:basedOn w:val="DefaultParagraphFont"/>
    <w:link w:val="ListParagraph"/>
    <w:uiPriority w:val="34"/>
    <w:qFormat/>
    <w:rsid w:val="00DA558D"/>
    <w:rPr>
      <w:rFonts w:ascii="Times New Roman" w:eastAsia="Times New Roman" w:hAnsi="Times New Roman" w:cs="Times New Roman"/>
    </w:rPr>
  </w:style>
  <w:style w:type="paragraph" w:styleId="BodyText">
    <w:name w:val="Body Text"/>
    <w:basedOn w:val="Normal"/>
    <w:link w:val="BodyTextChar"/>
    <w:uiPriority w:val="1"/>
    <w:unhideWhenUsed/>
    <w:qFormat/>
    <w:rsid w:val="007A7FDC"/>
    <w:pPr>
      <w:spacing w:after="120" w:line="259" w:lineRule="auto"/>
    </w:pPr>
    <w:rPr>
      <w:rFonts w:eastAsia="MS ??" w:cstheme="minorBidi"/>
      <w:szCs w:val="22"/>
    </w:rPr>
  </w:style>
  <w:style w:type="character" w:customStyle="1" w:styleId="BodyTextChar">
    <w:name w:val="Body Text Char"/>
    <w:basedOn w:val="DefaultParagraphFont"/>
    <w:link w:val="BodyText"/>
    <w:uiPriority w:val="1"/>
    <w:rsid w:val="007A7FDC"/>
    <w:rPr>
      <w:rFonts w:ascii="Times New Roman" w:eastAsia="MS ??" w:hAnsi="Times New Roman"/>
      <w:szCs w:val="22"/>
    </w:rPr>
  </w:style>
  <w:style w:type="paragraph" w:styleId="Header">
    <w:name w:val="header"/>
    <w:basedOn w:val="Normal"/>
    <w:link w:val="HeaderChar"/>
    <w:uiPriority w:val="99"/>
    <w:unhideWhenUsed/>
    <w:rsid w:val="002917BF"/>
    <w:pPr>
      <w:tabs>
        <w:tab w:val="center" w:pos="4320"/>
        <w:tab w:val="right" w:pos="8640"/>
      </w:tabs>
    </w:pPr>
  </w:style>
  <w:style w:type="character" w:customStyle="1" w:styleId="HeaderChar">
    <w:name w:val="Header Char"/>
    <w:basedOn w:val="DefaultParagraphFont"/>
    <w:link w:val="Header"/>
    <w:uiPriority w:val="99"/>
    <w:rsid w:val="002917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319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20" Type="http://schemas.openxmlformats.org/officeDocument/2006/relationships/chart" Target="charts/chart13.xml"/><Relationship Id="rId21" Type="http://schemas.openxmlformats.org/officeDocument/2006/relationships/chart" Target="charts/chart14.xml"/><Relationship Id="rId22" Type="http://schemas.openxmlformats.org/officeDocument/2006/relationships/chart" Target="charts/chart15.xml"/><Relationship Id="rId23" Type="http://schemas.openxmlformats.org/officeDocument/2006/relationships/chart" Target="charts/chart16.xml"/><Relationship Id="rId24" Type="http://schemas.openxmlformats.org/officeDocument/2006/relationships/chart" Target="charts/chart17.xml"/><Relationship Id="rId25" Type="http://schemas.openxmlformats.org/officeDocument/2006/relationships/chart" Target="charts/chart18.xml"/><Relationship Id="rId26" Type="http://schemas.openxmlformats.org/officeDocument/2006/relationships/chart" Target="charts/chart19.xm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chart" Target="charts/chart8.xml"/><Relationship Id="rId16" Type="http://schemas.openxmlformats.org/officeDocument/2006/relationships/chart" Target="charts/chart9.xml"/><Relationship Id="rId17" Type="http://schemas.openxmlformats.org/officeDocument/2006/relationships/chart" Target="charts/chart10.xml"/><Relationship Id="rId18" Type="http://schemas.openxmlformats.org/officeDocument/2006/relationships/chart" Target="charts/chart11.xml"/><Relationship Id="rId19" Type="http://schemas.openxmlformats.org/officeDocument/2006/relationships/chart" Target="charts/chart1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adiq%20Ahmed\Documents\Doing%20Business%20Charts%20201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cuments\Bangladesh%20GDP%20Progress%20June%207,%20201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PRI\Book1.xlsx" TargetMode="External"/><Relationship Id="rId2" Type="http://schemas.openxmlformats.org/officeDocument/2006/relationships/chartUserShapes" Target="../drawings/drawing1.xml"/></Relationships>
</file>

<file path=word/charts/_rels/chart14.xml.rels><?xml version="1.0" encoding="UTF-8" standalone="yes"?>
<Relationships xmlns="http://schemas.openxmlformats.org/package/2006/relationships"><Relationship Id="rId1" Type="http://schemas.openxmlformats.org/officeDocument/2006/relationships/oleObject" Target="file:///E:\Azmina\SadiqSir\Chart%20Update_16Feb\Book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adiq%20Ahmed\Documents\Doing%20Business%20Charts%202017.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ocuments\Bangladesh%20Growth%20Analysis%20201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adiq%20Ahmed\Documents\Doing%20Business%20Charts%202017.xlsx" TargetMode="Externa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Sheet2.xlsx"/><Relationship Id="rId2" Type="http://schemas.openxmlformats.org/officeDocument/2006/relationships/chartUserShapes" Target="../drawings/drawing2.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ownloads\PerspectivePlan(deltaExtension)30May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diq%20Ahmed\Documents\Doing%20Business%20Charts%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6.xml.rels><?xml version="1.0" encoding="UTF-8" standalone="yes"?>
<Relationships xmlns="http://schemas.openxmlformats.org/package/2006/relationships"><Relationship Id="rId1" Type="http://schemas.openxmlformats.org/officeDocument/2006/relationships/oleObject" Target="file:///C:\Users\Sadiq%20Ahmed\Documents\Doing%20Business%20Charts%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adiq%20Ahmed\Documents\Doing%20Business%20Charts%20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diq%20Ahmed\Documents\Doing%20Business%20Charts%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100"/>
            </a:pPr>
            <a:r>
              <a:rPr lang="en-US" sz="1200"/>
              <a:t>Fig;1 Projected economic structure (%)</a:t>
            </a:r>
          </a:p>
          <a:p>
            <a:pPr>
              <a:defRPr sz="1100"/>
            </a:pPr>
            <a:endParaRPr lang="en-US" sz="1100"/>
          </a:p>
        </c:rich>
      </c:tx>
      <c:layout/>
      <c:overlay val="0"/>
    </c:title>
    <c:autoTitleDeleted val="0"/>
    <c:plotArea>
      <c:layout>
        <c:manualLayout>
          <c:layoutTarget val="inner"/>
          <c:xMode val="edge"/>
          <c:yMode val="edge"/>
          <c:x val="0.111477892186554"/>
          <c:y val="0.146851851851852"/>
          <c:w val="0.87142809071943"/>
          <c:h val="0.654032152230973"/>
        </c:manualLayout>
      </c:layout>
      <c:barChart>
        <c:barDir val="col"/>
        <c:grouping val="stacked"/>
        <c:varyColors val="0"/>
        <c:ser>
          <c:idx val="0"/>
          <c:order val="0"/>
          <c:tx>
            <c:strRef>
              <c:f>Sheet1!$C$4</c:f>
              <c:strCache>
                <c:ptCount val="1"/>
                <c:pt idx="0">
                  <c:v>Agriculture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Sheet1!$D$3:$I$3</c:f>
              <c:numCache>
                <c:formatCode>General</c:formatCode>
                <c:ptCount val="6"/>
                <c:pt idx="0">
                  <c:v>2020.0</c:v>
                </c:pt>
                <c:pt idx="1">
                  <c:v>2025.0</c:v>
                </c:pt>
                <c:pt idx="2">
                  <c:v>2030.0</c:v>
                </c:pt>
                <c:pt idx="3">
                  <c:v>2035.0</c:v>
                </c:pt>
                <c:pt idx="4">
                  <c:v>2040.0</c:v>
                </c:pt>
                <c:pt idx="5">
                  <c:v>2046.0</c:v>
                </c:pt>
              </c:numCache>
            </c:numRef>
          </c:cat>
          <c:val>
            <c:numRef>
              <c:f>Sheet1!$D$4:$I$4</c:f>
              <c:numCache>
                <c:formatCode>General</c:formatCode>
                <c:ptCount val="6"/>
                <c:pt idx="0">
                  <c:v>12.8</c:v>
                </c:pt>
                <c:pt idx="1">
                  <c:v>10.1</c:v>
                </c:pt>
                <c:pt idx="2">
                  <c:v>8.0</c:v>
                </c:pt>
                <c:pt idx="3">
                  <c:v>6.3</c:v>
                </c:pt>
                <c:pt idx="4">
                  <c:v>5.0</c:v>
                </c:pt>
                <c:pt idx="5">
                  <c:v>3.5</c:v>
                </c:pt>
              </c:numCache>
            </c:numRef>
          </c:val>
        </c:ser>
        <c:ser>
          <c:idx val="1"/>
          <c:order val="1"/>
          <c:tx>
            <c:strRef>
              <c:f>Sheet1!$C$5</c:f>
              <c:strCache>
                <c:ptCount val="1"/>
                <c:pt idx="0">
                  <c:v>Manufacturing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Sheet1!$D$3:$I$3</c:f>
              <c:numCache>
                <c:formatCode>General</c:formatCode>
                <c:ptCount val="6"/>
                <c:pt idx="0">
                  <c:v>2020.0</c:v>
                </c:pt>
                <c:pt idx="1">
                  <c:v>2025.0</c:v>
                </c:pt>
                <c:pt idx="2">
                  <c:v>2030.0</c:v>
                </c:pt>
                <c:pt idx="3">
                  <c:v>2035.0</c:v>
                </c:pt>
                <c:pt idx="4">
                  <c:v>2040.0</c:v>
                </c:pt>
                <c:pt idx="5">
                  <c:v>2046.0</c:v>
                </c:pt>
              </c:numCache>
            </c:numRef>
          </c:cat>
          <c:val>
            <c:numRef>
              <c:f>Sheet1!$D$5:$I$5</c:f>
              <c:numCache>
                <c:formatCode>General</c:formatCode>
                <c:ptCount val="6"/>
                <c:pt idx="0">
                  <c:v>25.3</c:v>
                </c:pt>
                <c:pt idx="1">
                  <c:v>29.3</c:v>
                </c:pt>
                <c:pt idx="2">
                  <c:v>33.7</c:v>
                </c:pt>
                <c:pt idx="3">
                  <c:v>38.3</c:v>
                </c:pt>
                <c:pt idx="4">
                  <c:v>43.3</c:v>
                </c:pt>
                <c:pt idx="5">
                  <c:v>44.8</c:v>
                </c:pt>
              </c:numCache>
            </c:numRef>
          </c:val>
        </c:ser>
        <c:ser>
          <c:idx val="2"/>
          <c:order val="2"/>
          <c:tx>
            <c:strRef>
              <c:f>Sheet1!$C$6</c:f>
              <c:strCache>
                <c:ptCount val="1"/>
                <c:pt idx="0">
                  <c:v>Construction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Sheet1!$D$3:$I$3</c:f>
              <c:numCache>
                <c:formatCode>General</c:formatCode>
                <c:ptCount val="6"/>
                <c:pt idx="0">
                  <c:v>2020.0</c:v>
                </c:pt>
                <c:pt idx="1">
                  <c:v>2025.0</c:v>
                </c:pt>
                <c:pt idx="2">
                  <c:v>2030.0</c:v>
                </c:pt>
                <c:pt idx="3">
                  <c:v>2035.0</c:v>
                </c:pt>
                <c:pt idx="4">
                  <c:v>2040.0</c:v>
                </c:pt>
                <c:pt idx="5">
                  <c:v>2046.0</c:v>
                </c:pt>
              </c:numCache>
            </c:numRef>
          </c:cat>
          <c:val>
            <c:numRef>
              <c:f>Sheet1!$D$6:$I$6</c:f>
              <c:numCache>
                <c:formatCode>General</c:formatCode>
                <c:ptCount val="6"/>
                <c:pt idx="0">
                  <c:v>7.7</c:v>
                </c:pt>
                <c:pt idx="1">
                  <c:v>8.200000000000001</c:v>
                </c:pt>
                <c:pt idx="2">
                  <c:v>8.6</c:v>
                </c:pt>
                <c:pt idx="3">
                  <c:v>8.8</c:v>
                </c:pt>
                <c:pt idx="4">
                  <c:v>8.9</c:v>
                </c:pt>
                <c:pt idx="5">
                  <c:v>9.0</c:v>
                </c:pt>
              </c:numCache>
            </c:numRef>
          </c:val>
        </c:ser>
        <c:ser>
          <c:idx val="3"/>
          <c:order val="3"/>
          <c:tx>
            <c:strRef>
              <c:f>Sheet1!$C$7</c:f>
              <c:strCache>
                <c:ptCount val="1"/>
                <c:pt idx="0">
                  <c:v>Services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Sheet1!$D$3:$I$3</c:f>
              <c:numCache>
                <c:formatCode>General</c:formatCode>
                <c:ptCount val="6"/>
                <c:pt idx="0">
                  <c:v>2020.0</c:v>
                </c:pt>
                <c:pt idx="1">
                  <c:v>2025.0</c:v>
                </c:pt>
                <c:pt idx="2">
                  <c:v>2030.0</c:v>
                </c:pt>
                <c:pt idx="3">
                  <c:v>2035.0</c:v>
                </c:pt>
                <c:pt idx="4">
                  <c:v>2040.0</c:v>
                </c:pt>
                <c:pt idx="5">
                  <c:v>2046.0</c:v>
                </c:pt>
              </c:numCache>
            </c:numRef>
          </c:cat>
          <c:val>
            <c:numRef>
              <c:f>Sheet1!$D$7:$I$7</c:f>
              <c:numCache>
                <c:formatCode>General</c:formatCode>
                <c:ptCount val="6"/>
                <c:pt idx="0">
                  <c:v>54.2</c:v>
                </c:pt>
                <c:pt idx="1">
                  <c:v>52.4</c:v>
                </c:pt>
                <c:pt idx="2">
                  <c:v>49.8</c:v>
                </c:pt>
                <c:pt idx="3">
                  <c:v>46.5</c:v>
                </c:pt>
                <c:pt idx="4">
                  <c:v>42.8</c:v>
                </c:pt>
                <c:pt idx="5">
                  <c:v>42.7</c:v>
                </c:pt>
              </c:numCache>
            </c:numRef>
          </c:val>
        </c:ser>
        <c:dLbls>
          <c:showLegendKey val="0"/>
          <c:showVal val="0"/>
          <c:showCatName val="0"/>
          <c:showSerName val="0"/>
          <c:showPercent val="0"/>
          <c:showBubbleSize val="0"/>
        </c:dLbls>
        <c:gapWidth val="67"/>
        <c:overlap val="100"/>
        <c:axId val="2046691624"/>
        <c:axId val="2045838536"/>
      </c:barChart>
      <c:catAx>
        <c:axId val="2046691624"/>
        <c:scaling>
          <c:orientation val="minMax"/>
        </c:scaling>
        <c:delete val="0"/>
        <c:axPos val="b"/>
        <c:numFmt formatCode="General" sourceLinked="1"/>
        <c:majorTickMark val="out"/>
        <c:minorTickMark val="none"/>
        <c:tickLblPos val="nextTo"/>
        <c:crossAx val="2045838536"/>
        <c:crosses val="autoZero"/>
        <c:auto val="1"/>
        <c:lblAlgn val="ctr"/>
        <c:lblOffset val="100"/>
        <c:noMultiLvlLbl val="0"/>
      </c:catAx>
      <c:valAx>
        <c:axId val="2045838536"/>
        <c:scaling>
          <c:orientation val="minMax"/>
          <c:max val="100.0"/>
        </c:scaling>
        <c:delete val="0"/>
        <c:axPos val="l"/>
        <c:majorGridlines>
          <c:spPr>
            <a:ln>
              <a:solidFill>
                <a:schemeClr val="bg1"/>
              </a:solidFill>
            </a:ln>
          </c:spPr>
        </c:majorGridlines>
        <c:numFmt formatCode="General" sourceLinked="1"/>
        <c:majorTickMark val="out"/>
        <c:minorTickMark val="none"/>
        <c:tickLblPos val="nextTo"/>
        <c:crossAx val="2046691624"/>
        <c:crosses val="autoZero"/>
        <c:crossBetween val="between"/>
      </c:valAx>
    </c:plotArea>
    <c:legend>
      <c:legendPos val="b"/>
      <c:layout/>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manualLayout>
          <c:layoutTarget val="inner"/>
          <c:xMode val="edge"/>
          <c:yMode val="edge"/>
          <c:x val="0.156431716196766"/>
          <c:y val="0.0719120128366307"/>
          <c:w val="0.806995808991618"/>
          <c:h val="0.805769039899424"/>
        </c:manualLayout>
      </c:layout>
      <c:barChart>
        <c:barDir val="bar"/>
        <c:grouping val="clustered"/>
        <c:varyColors val="0"/>
        <c:ser>
          <c:idx val="0"/>
          <c:order val="0"/>
          <c:invertIfNegative val="0"/>
          <c:dLbls>
            <c:spPr>
              <a:noFill/>
              <a:ln>
                <a:noFill/>
              </a:ln>
              <a:effectLst/>
            </c:spPr>
            <c:txPr>
              <a:bodyPr/>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2017'!$I$116:$I$121</c:f>
              <c:strCache>
                <c:ptCount val="6"/>
                <c:pt idx="0">
                  <c:v>China</c:v>
                </c:pt>
                <c:pt idx="1">
                  <c:v>Hongkong</c:v>
                </c:pt>
                <c:pt idx="2">
                  <c:v>Singapore</c:v>
                </c:pt>
                <c:pt idx="3">
                  <c:v>Brazil</c:v>
                </c:pt>
                <c:pt idx="4">
                  <c:v>India</c:v>
                </c:pt>
                <c:pt idx="5">
                  <c:v>Vietnam</c:v>
                </c:pt>
              </c:strCache>
            </c:strRef>
          </c:cat>
          <c:val>
            <c:numRef>
              <c:f>'Ease Of Doing Business 2017'!$J$116:$J$121</c:f>
              <c:numCache>
                <c:formatCode>General</c:formatCode>
                <c:ptCount val="6"/>
                <c:pt idx="0">
                  <c:v>139.0</c:v>
                </c:pt>
                <c:pt idx="1">
                  <c:v>92.0</c:v>
                </c:pt>
                <c:pt idx="2">
                  <c:v>50.0</c:v>
                </c:pt>
                <c:pt idx="3">
                  <c:v>50.0</c:v>
                </c:pt>
                <c:pt idx="4">
                  <c:v>42.0</c:v>
                </c:pt>
                <c:pt idx="5">
                  <c:v>16.0</c:v>
                </c:pt>
              </c:numCache>
            </c:numRef>
          </c:val>
        </c:ser>
        <c:dLbls>
          <c:dLblPos val="outEnd"/>
          <c:showLegendKey val="0"/>
          <c:showVal val="1"/>
          <c:showCatName val="0"/>
          <c:showSerName val="0"/>
          <c:showPercent val="0"/>
          <c:showBubbleSize val="0"/>
        </c:dLbls>
        <c:gapWidth val="150"/>
        <c:axId val="-2133633320"/>
        <c:axId val="2089668520"/>
      </c:barChart>
      <c:catAx>
        <c:axId val="-2133633320"/>
        <c:scaling>
          <c:orientation val="minMax"/>
        </c:scaling>
        <c:delete val="0"/>
        <c:axPos val="l"/>
        <c:numFmt formatCode="General" sourceLinked="0"/>
        <c:majorTickMark val="out"/>
        <c:minorTickMark val="none"/>
        <c:tickLblPos val="nextTo"/>
        <c:txPr>
          <a:bodyPr/>
          <a:lstStyle/>
          <a:p>
            <a:pPr>
              <a:defRPr sz="1000" baseline="0"/>
            </a:pPr>
            <a:endParaRPr lang="en-US"/>
          </a:p>
        </c:txPr>
        <c:crossAx val="2089668520"/>
        <c:crosses val="autoZero"/>
        <c:auto val="1"/>
        <c:lblAlgn val="ctr"/>
        <c:lblOffset val="100"/>
        <c:noMultiLvlLbl val="0"/>
      </c:catAx>
      <c:valAx>
        <c:axId val="2089668520"/>
        <c:scaling>
          <c:orientation val="minMax"/>
        </c:scaling>
        <c:delete val="0"/>
        <c:axPos val="b"/>
        <c:numFmt formatCode="General" sourceLinked="1"/>
        <c:majorTickMark val="out"/>
        <c:minorTickMark val="none"/>
        <c:tickLblPos val="nextTo"/>
        <c:txPr>
          <a:bodyPr/>
          <a:lstStyle/>
          <a:p>
            <a:pPr>
              <a:defRPr sz="1000"/>
            </a:pPr>
            <a:endParaRPr lang="en-US"/>
          </a:p>
        </c:txPr>
        <c:crossAx val="-2133633320"/>
        <c:crosses val="autoZero"/>
        <c:crossBetween val="between"/>
      </c:valAx>
      <c:spPr>
        <a:solidFill>
          <a:schemeClr val="lt1"/>
        </a:solidFill>
        <a:ln w="25400" cap="flat" cmpd="sng" algn="ctr">
          <a:solidFill>
            <a:schemeClr val="accent5"/>
          </a:solidFill>
          <a:prstDash val="solid"/>
        </a:ln>
        <a:effectLst/>
      </c:spPr>
    </c:plotArea>
    <c:plotVisOnly val="1"/>
    <c:dispBlanksAs val="gap"/>
    <c:showDLblsOverMax val="0"/>
  </c:chart>
  <c:spPr>
    <a:solidFill>
      <a:schemeClr val="lt1"/>
    </a:solidFill>
    <a:ln w="25400" cap="flat" cmpd="sng" algn="ctr">
      <a:solidFill>
        <a:schemeClr val="accent5"/>
      </a:solidFill>
      <a:prstDash val="solid"/>
    </a:ln>
    <a:effectLst/>
  </c:spPr>
  <c:txPr>
    <a:bodyPr/>
    <a:lstStyle/>
    <a:p>
      <a:pPr>
        <a:defRPr sz="1100">
          <a:solidFill>
            <a:schemeClr val="dk1"/>
          </a:solidFill>
          <a:latin typeface="+mn-lt"/>
          <a:ea typeface="+mn-ea"/>
          <a:cs typeface="+mn-cs"/>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table'!$A$40</c:f>
              <c:strCache>
                <c:ptCount val="1"/>
                <c:pt idx="0">
                  <c:v>Agriculture</c:v>
                </c:pt>
              </c:strCache>
            </c:strRef>
          </c:tx>
          <c:invertIfNegative val="0"/>
          <c:cat>
            <c:strRef>
              <c:f>'graph, table'!$B$39:$D$39</c:f>
              <c:strCache>
                <c:ptCount val="3"/>
                <c:pt idx="0">
                  <c:v>FY10</c:v>
                </c:pt>
                <c:pt idx="1">
                  <c:v>FY13</c:v>
                </c:pt>
                <c:pt idx="2">
                  <c:v>FY15</c:v>
                </c:pt>
              </c:strCache>
            </c:strRef>
          </c:cat>
          <c:val>
            <c:numRef>
              <c:f>'graph, table'!$B$40:$D$40</c:f>
              <c:numCache>
                <c:formatCode>General</c:formatCode>
                <c:ptCount val="3"/>
                <c:pt idx="0">
                  <c:v>20.3</c:v>
                </c:pt>
                <c:pt idx="1">
                  <c:v>18.7</c:v>
                </c:pt>
                <c:pt idx="2">
                  <c:v>16.6</c:v>
                </c:pt>
              </c:numCache>
            </c:numRef>
          </c:val>
        </c:ser>
        <c:ser>
          <c:idx val="1"/>
          <c:order val="1"/>
          <c:tx>
            <c:strRef>
              <c:f>'graph, table'!$A$41</c:f>
              <c:strCache>
                <c:ptCount val="1"/>
                <c:pt idx="0">
                  <c:v>Manufacturing</c:v>
                </c:pt>
              </c:strCache>
            </c:strRef>
          </c:tx>
          <c:invertIfNegative val="0"/>
          <c:cat>
            <c:strRef>
              <c:f>'graph, table'!$B$39:$D$39</c:f>
              <c:strCache>
                <c:ptCount val="3"/>
                <c:pt idx="0">
                  <c:v>FY10</c:v>
                </c:pt>
                <c:pt idx="1">
                  <c:v>FY13</c:v>
                </c:pt>
                <c:pt idx="2">
                  <c:v>FY15</c:v>
                </c:pt>
              </c:strCache>
            </c:strRef>
          </c:cat>
          <c:val>
            <c:numRef>
              <c:f>'graph, table'!$B$41:$D$41</c:f>
              <c:numCache>
                <c:formatCode>General</c:formatCode>
                <c:ptCount val="3"/>
                <c:pt idx="0">
                  <c:v>17.9</c:v>
                </c:pt>
                <c:pt idx="1">
                  <c:v>19.5</c:v>
                </c:pt>
                <c:pt idx="2">
                  <c:v>22.3</c:v>
                </c:pt>
              </c:numCache>
            </c:numRef>
          </c:val>
        </c:ser>
        <c:ser>
          <c:idx val="2"/>
          <c:order val="2"/>
          <c:tx>
            <c:strRef>
              <c:f>'graph, table'!$A$42</c:f>
              <c:strCache>
                <c:ptCount val="1"/>
                <c:pt idx="0">
                  <c:v>Services &amp;Others</c:v>
                </c:pt>
              </c:strCache>
            </c:strRef>
          </c:tx>
          <c:invertIfNegative val="0"/>
          <c:cat>
            <c:strRef>
              <c:f>'graph, table'!$B$39:$D$39</c:f>
              <c:strCache>
                <c:ptCount val="3"/>
                <c:pt idx="0">
                  <c:v>FY10</c:v>
                </c:pt>
                <c:pt idx="1">
                  <c:v>FY13</c:v>
                </c:pt>
                <c:pt idx="2">
                  <c:v>FY15</c:v>
                </c:pt>
              </c:strCache>
            </c:strRef>
          </c:cat>
          <c:val>
            <c:numRef>
              <c:f>'graph, table'!$B$42:$D$42</c:f>
              <c:numCache>
                <c:formatCode>General</c:formatCode>
                <c:ptCount val="3"/>
                <c:pt idx="0">
                  <c:v>61.8</c:v>
                </c:pt>
                <c:pt idx="1">
                  <c:v>61.8</c:v>
                </c:pt>
                <c:pt idx="2">
                  <c:v>61.1</c:v>
                </c:pt>
              </c:numCache>
            </c:numRef>
          </c:val>
        </c:ser>
        <c:dLbls>
          <c:showLegendKey val="0"/>
          <c:showVal val="1"/>
          <c:showCatName val="0"/>
          <c:showSerName val="0"/>
          <c:showPercent val="0"/>
          <c:showBubbleSize val="0"/>
        </c:dLbls>
        <c:gapWidth val="150"/>
        <c:axId val="-2134085464"/>
        <c:axId val="-2134392248"/>
      </c:barChart>
      <c:catAx>
        <c:axId val="-2134085464"/>
        <c:scaling>
          <c:orientation val="minMax"/>
        </c:scaling>
        <c:delete val="0"/>
        <c:axPos val="b"/>
        <c:majorTickMark val="out"/>
        <c:minorTickMark val="none"/>
        <c:tickLblPos val="nextTo"/>
        <c:crossAx val="-2134392248"/>
        <c:crosses val="autoZero"/>
        <c:auto val="1"/>
        <c:lblAlgn val="ctr"/>
        <c:lblOffset val="100"/>
        <c:noMultiLvlLbl val="0"/>
      </c:catAx>
      <c:valAx>
        <c:axId val="-2134392248"/>
        <c:scaling>
          <c:orientation val="minMax"/>
        </c:scaling>
        <c:delete val="0"/>
        <c:axPos val="l"/>
        <c:title>
          <c:tx>
            <c:rich>
              <a:bodyPr rot="-5400000" vert="horz"/>
              <a:lstStyle/>
              <a:p>
                <a:pPr>
                  <a:defRPr/>
                </a:pPr>
                <a:r>
                  <a:rPr lang="en-US"/>
                  <a:t>Percent</a:t>
                </a:r>
                <a:r>
                  <a:rPr lang="en-US" baseline="0"/>
                  <a:t> of GDP</a:t>
                </a:r>
                <a:endParaRPr lang="en-US"/>
              </a:p>
            </c:rich>
          </c:tx>
          <c:layout/>
          <c:overlay val="0"/>
        </c:title>
        <c:numFmt formatCode="General" sourceLinked="1"/>
        <c:majorTickMark val="out"/>
        <c:minorTickMark val="none"/>
        <c:tickLblPos val="nextTo"/>
        <c:crossAx val="-2134085464"/>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75603690707903"/>
          <c:y val="0.196691944872207"/>
          <c:w val="0.877800813592457"/>
          <c:h val="0.659133955119086"/>
        </c:manualLayout>
      </c:layout>
      <c:lineChart>
        <c:grouping val="standard"/>
        <c:varyColors val="0"/>
        <c:ser>
          <c:idx val="0"/>
          <c:order val="0"/>
          <c:tx>
            <c:strRef>
              <c:f>Sheet1!$E$4</c:f>
              <c:strCache>
                <c:ptCount val="1"/>
                <c:pt idx="0">
                  <c:v>Agriculture</c:v>
                </c:pt>
              </c:strCache>
            </c:strRef>
          </c:tx>
          <c:spPr>
            <a:ln>
              <a:prstDash val="sysDot"/>
            </a:ln>
          </c:spPr>
          <c:marker>
            <c:symbol val="none"/>
          </c:marker>
          <c:cat>
            <c:numRef>
              <c:f>Sheet1!$F$3:$Q$3</c:f>
              <c:numCache>
                <c:formatCode>General</c:formatCode>
                <c:ptCount val="12"/>
                <c:pt idx="0">
                  <c:v>2001.0</c:v>
                </c:pt>
                <c:pt idx="1">
                  <c:v>2002.0</c:v>
                </c:pt>
                <c:pt idx="2">
                  <c:v>2003.0</c:v>
                </c:pt>
                <c:pt idx="3">
                  <c:v>2004.0</c:v>
                </c:pt>
                <c:pt idx="4">
                  <c:v>2005.0</c:v>
                </c:pt>
                <c:pt idx="5">
                  <c:v>2006.0</c:v>
                </c:pt>
                <c:pt idx="6">
                  <c:v>2007.0</c:v>
                </c:pt>
                <c:pt idx="7">
                  <c:v>2008.0</c:v>
                </c:pt>
                <c:pt idx="8">
                  <c:v>2009.0</c:v>
                </c:pt>
                <c:pt idx="9">
                  <c:v>2010.0</c:v>
                </c:pt>
                <c:pt idx="10">
                  <c:v>2011.0</c:v>
                </c:pt>
                <c:pt idx="11">
                  <c:v>2012.0</c:v>
                </c:pt>
              </c:numCache>
            </c:numRef>
          </c:cat>
          <c:val>
            <c:numRef>
              <c:f>Sheet1!$F$4:$Q$4</c:f>
              <c:numCache>
                <c:formatCode>General</c:formatCode>
                <c:ptCount val="12"/>
                <c:pt idx="0">
                  <c:v>3.14</c:v>
                </c:pt>
                <c:pt idx="1">
                  <c:v>0.01</c:v>
                </c:pt>
                <c:pt idx="2">
                  <c:v>3.08</c:v>
                </c:pt>
                <c:pt idx="3">
                  <c:v>4.09</c:v>
                </c:pt>
                <c:pt idx="4">
                  <c:v>2.21</c:v>
                </c:pt>
                <c:pt idx="5">
                  <c:v>4.94</c:v>
                </c:pt>
                <c:pt idx="6">
                  <c:v>4.56</c:v>
                </c:pt>
                <c:pt idx="7">
                  <c:v>3.2</c:v>
                </c:pt>
                <c:pt idx="8">
                  <c:v>4.119999999999997</c:v>
                </c:pt>
                <c:pt idx="9">
                  <c:v>5.24</c:v>
                </c:pt>
                <c:pt idx="10">
                  <c:v>5.13</c:v>
                </c:pt>
                <c:pt idx="11">
                  <c:v>3.11</c:v>
                </c:pt>
              </c:numCache>
            </c:numRef>
          </c:val>
          <c:smooth val="0"/>
        </c:ser>
        <c:ser>
          <c:idx val="1"/>
          <c:order val="1"/>
          <c:tx>
            <c:strRef>
              <c:f>Sheet1!$E$5</c:f>
              <c:strCache>
                <c:ptCount val="1"/>
                <c:pt idx="0">
                  <c:v>Services</c:v>
                </c:pt>
              </c:strCache>
            </c:strRef>
          </c:tx>
          <c:spPr>
            <a:ln>
              <a:prstDash val="dash"/>
            </a:ln>
          </c:spPr>
          <c:marker>
            <c:symbol val="none"/>
          </c:marker>
          <c:cat>
            <c:numRef>
              <c:f>Sheet1!$F$3:$Q$3</c:f>
              <c:numCache>
                <c:formatCode>General</c:formatCode>
                <c:ptCount val="12"/>
                <c:pt idx="0">
                  <c:v>2001.0</c:v>
                </c:pt>
                <c:pt idx="1">
                  <c:v>2002.0</c:v>
                </c:pt>
                <c:pt idx="2">
                  <c:v>2003.0</c:v>
                </c:pt>
                <c:pt idx="3">
                  <c:v>2004.0</c:v>
                </c:pt>
                <c:pt idx="4">
                  <c:v>2005.0</c:v>
                </c:pt>
                <c:pt idx="5">
                  <c:v>2006.0</c:v>
                </c:pt>
                <c:pt idx="6">
                  <c:v>2007.0</c:v>
                </c:pt>
                <c:pt idx="7">
                  <c:v>2008.0</c:v>
                </c:pt>
                <c:pt idx="8">
                  <c:v>2009.0</c:v>
                </c:pt>
                <c:pt idx="9">
                  <c:v>2010.0</c:v>
                </c:pt>
                <c:pt idx="10">
                  <c:v>2011.0</c:v>
                </c:pt>
                <c:pt idx="11">
                  <c:v>2012.0</c:v>
                </c:pt>
              </c:numCache>
            </c:numRef>
          </c:cat>
          <c:val>
            <c:numRef>
              <c:f>Sheet1!$F$5:$Q$5</c:f>
              <c:numCache>
                <c:formatCode>General</c:formatCode>
                <c:ptCount val="12"/>
                <c:pt idx="0">
                  <c:v>5.53</c:v>
                </c:pt>
                <c:pt idx="1">
                  <c:v>5.430000000000002</c:v>
                </c:pt>
                <c:pt idx="2">
                  <c:v>5.38</c:v>
                </c:pt>
                <c:pt idx="3">
                  <c:v>5.659999999999996</c:v>
                </c:pt>
                <c:pt idx="4">
                  <c:v>6.359999999999998</c:v>
                </c:pt>
                <c:pt idx="5">
                  <c:v>6.4</c:v>
                </c:pt>
                <c:pt idx="6">
                  <c:v>6.92</c:v>
                </c:pt>
                <c:pt idx="7">
                  <c:v>6.49</c:v>
                </c:pt>
                <c:pt idx="8">
                  <c:v>6.319999999999998</c:v>
                </c:pt>
                <c:pt idx="9">
                  <c:v>6.470000000000002</c:v>
                </c:pt>
                <c:pt idx="10">
                  <c:v>6.22</c:v>
                </c:pt>
                <c:pt idx="11">
                  <c:v>5.96</c:v>
                </c:pt>
              </c:numCache>
            </c:numRef>
          </c:val>
          <c:smooth val="0"/>
        </c:ser>
        <c:ser>
          <c:idx val="2"/>
          <c:order val="2"/>
          <c:tx>
            <c:strRef>
              <c:f>Sheet1!$E$6</c:f>
              <c:strCache>
                <c:ptCount val="1"/>
                <c:pt idx="0">
                  <c:v>Industry</c:v>
                </c:pt>
              </c:strCache>
            </c:strRef>
          </c:tx>
          <c:marker>
            <c:symbol val="none"/>
          </c:marker>
          <c:cat>
            <c:numRef>
              <c:f>Sheet1!$F$3:$Q$3</c:f>
              <c:numCache>
                <c:formatCode>General</c:formatCode>
                <c:ptCount val="12"/>
                <c:pt idx="0">
                  <c:v>2001.0</c:v>
                </c:pt>
                <c:pt idx="1">
                  <c:v>2002.0</c:v>
                </c:pt>
                <c:pt idx="2">
                  <c:v>2003.0</c:v>
                </c:pt>
                <c:pt idx="3">
                  <c:v>2004.0</c:v>
                </c:pt>
                <c:pt idx="4">
                  <c:v>2005.0</c:v>
                </c:pt>
                <c:pt idx="5">
                  <c:v>2006.0</c:v>
                </c:pt>
                <c:pt idx="6">
                  <c:v>2007.0</c:v>
                </c:pt>
                <c:pt idx="7">
                  <c:v>2008.0</c:v>
                </c:pt>
                <c:pt idx="8">
                  <c:v>2009.0</c:v>
                </c:pt>
                <c:pt idx="9">
                  <c:v>2010.0</c:v>
                </c:pt>
                <c:pt idx="10">
                  <c:v>2011.0</c:v>
                </c:pt>
                <c:pt idx="11">
                  <c:v>2012.0</c:v>
                </c:pt>
              </c:numCache>
            </c:numRef>
          </c:cat>
          <c:val>
            <c:numRef>
              <c:f>Sheet1!$F$6:$Q$6</c:f>
              <c:numCache>
                <c:formatCode>General</c:formatCode>
                <c:ptCount val="12"/>
                <c:pt idx="0">
                  <c:v>7.45</c:v>
                </c:pt>
                <c:pt idx="1">
                  <c:v>6.53</c:v>
                </c:pt>
                <c:pt idx="2">
                  <c:v>7.26</c:v>
                </c:pt>
                <c:pt idx="3">
                  <c:v>7.6</c:v>
                </c:pt>
                <c:pt idx="4">
                  <c:v>8.280000000000001</c:v>
                </c:pt>
                <c:pt idx="5">
                  <c:v>9.739999999999998</c:v>
                </c:pt>
                <c:pt idx="6">
                  <c:v>8.38</c:v>
                </c:pt>
                <c:pt idx="7">
                  <c:v>6.78</c:v>
                </c:pt>
                <c:pt idx="8">
                  <c:v>6.46</c:v>
                </c:pt>
                <c:pt idx="9">
                  <c:v>6.49</c:v>
                </c:pt>
                <c:pt idx="10">
                  <c:v>8.200000000000001</c:v>
                </c:pt>
                <c:pt idx="11">
                  <c:v>8.9</c:v>
                </c:pt>
              </c:numCache>
            </c:numRef>
          </c:val>
          <c:smooth val="0"/>
        </c:ser>
        <c:ser>
          <c:idx val="3"/>
          <c:order val="3"/>
          <c:tx>
            <c:strRef>
              <c:f>Sheet1!$E$7</c:f>
              <c:strCache>
                <c:ptCount val="1"/>
                <c:pt idx="0">
                  <c:v>  Of which Manufacturing</c:v>
                </c:pt>
              </c:strCache>
            </c:strRef>
          </c:tx>
          <c:marker>
            <c:symbol val="none"/>
          </c:marker>
          <c:cat>
            <c:numRef>
              <c:f>Sheet1!$F$3:$Q$3</c:f>
              <c:numCache>
                <c:formatCode>General</c:formatCode>
                <c:ptCount val="12"/>
                <c:pt idx="0">
                  <c:v>2001.0</c:v>
                </c:pt>
                <c:pt idx="1">
                  <c:v>2002.0</c:v>
                </c:pt>
                <c:pt idx="2">
                  <c:v>2003.0</c:v>
                </c:pt>
                <c:pt idx="3">
                  <c:v>2004.0</c:v>
                </c:pt>
                <c:pt idx="4">
                  <c:v>2005.0</c:v>
                </c:pt>
                <c:pt idx="5">
                  <c:v>2006.0</c:v>
                </c:pt>
                <c:pt idx="6">
                  <c:v>2007.0</c:v>
                </c:pt>
                <c:pt idx="7">
                  <c:v>2008.0</c:v>
                </c:pt>
                <c:pt idx="8">
                  <c:v>2009.0</c:v>
                </c:pt>
                <c:pt idx="9">
                  <c:v>2010.0</c:v>
                </c:pt>
                <c:pt idx="10">
                  <c:v>2011.0</c:v>
                </c:pt>
                <c:pt idx="11">
                  <c:v>2012.0</c:v>
                </c:pt>
              </c:numCache>
            </c:numRef>
          </c:cat>
          <c:val>
            <c:numRef>
              <c:f>Sheet1!$F$7:$Q$7</c:f>
              <c:numCache>
                <c:formatCode>General</c:formatCode>
                <c:ptCount val="12"/>
                <c:pt idx="0">
                  <c:v>6.68</c:v>
                </c:pt>
                <c:pt idx="1">
                  <c:v>5.48</c:v>
                </c:pt>
                <c:pt idx="2">
                  <c:v>6.75</c:v>
                </c:pt>
                <c:pt idx="3">
                  <c:v>7.1</c:v>
                </c:pt>
                <c:pt idx="4">
                  <c:v>8.19</c:v>
                </c:pt>
                <c:pt idx="5">
                  <c:v>10.77</c:v>
                </c:pt>
                <c:pt idx="6">
                  <c:v>9.720000000000001</c:v>
                </c:pt>
                <c:pt idx="7">
                  <c:v>7.21</c:v>
                </c:pt>
                <c:pt idx="8">
                  <c:v>6.68</c:v>
                </c:pt>
                <c:pt idx="9">
                  <c:v>6.5</c:v>
                </c:pt>
                <c:pt idx="10">
                  <c:v>9.450000000000002</c:v>
                </c:pt>
                <c:pt idx="11">
                  <c:v>9.370000000000002</c:v>
                </c:pt>
              </c:numCache>
            </c:numRef>
          </c:val>
          <c:smooth val="0"/>
        </c:ser>
        <c:ser>
          <c:idx val="4"/>
          <c:order val="4"/>
          <c:tx>
            <c:strRef>
              <c:f>Sheet1!$E$8</c:f>
              <c:strCache>
                <c:ptCount val="1"/>
                <c:pt idx="0">
                  <c:v>GDP</c:v>
                </c:pt>
              </c:strCache>
            </c:strRef>
          </c:tx>
          <c:spPr>
            <a:ln w="47625">
              <a:prstDash val="solid"/>
            </a:ln>
          </c:spPr>
          <c:marker>
            <c:symbol val="none"/>
          </c:marker>
          <c:cat>
            <c:numRef>
              <c:f>Sheet1!$F$3:$Q$3</c:f>
              <c:numCache>
                <c:formatCode>General</c:formatCode>
                <c:ptCount val="12"/>
                <c:pt idx="0">
                  <c:v>2001.0</c:v>
                </c:pt>
                <c:pt idx="1">
                  <c:v>2002.0</c:v>
                </c:pt>
                <c:pt idx="2">
                  <c:v>2003.0</c:v>
                </c:pt>
                <c:pt idx="3">
                  <c:v>2004.0</c:v>
                </c:pt>
                <c:pt idx="4">
                  <c:v>2005.0</c:v>
                </c:pt>
                <c:pt idx="5">
                  <c:v>2006.0</c:v>
                </c:pt>
                <c:pt idx="6">
                  <c:v>2007.0</c:v>
                </c:pt>
                <c:pt idx="7">
                  <c:v>2008.0</c:v>
                </c:pt>
                <c:pt idx="8">
                  <c:v>2009.0</c:v>
                </c:pt>
                <c:pt idx="9">
                  <c:v>2010.0</c:v>
                </c:pt>
                <c:pt idx="10">
                  <c:v>2011.0</c:v>
                </c:pt>
                <c:pt idx="11">
                  <c:v>2012.0</c:v>
                </c:pt>
              </c:numCache>
            </c:numRef>
          </c:cat>
          <c:val>
            <c:numRef>
              <c:f>Sheet1!$F$8:$Q$8</c:f>
              <c:numCache>
                <c:formatCode>0.00</c:formatCode>
                <c:ptCount val="12"/>
                <c:pt idx="0">
                  <c:v>5.41</c:v>
                </c:pt>
                <c:pt idx="1">
                  <c:v>4.359999999999998</c:v>
                </c:pt>
                <c:pt idx="2">
                  <c:v>5.33</c:v>
                </c:pt>
                <c:pt idx="3">
                  <c:v>5.819999999999998</c:v>
                </c:pt>
                <c:pt idx="4">
                  <c:v>5.930000000000002</c:v>
                </c:pt>
                <c:pt idx="5">
                  <c:v>7.02</c:v>
                </c:pt>
                <c:pt idx="6">
                  <c:v>6.83</c:v>
                </c:pt>
                <c:pt idx="7">
                  <c:v>5.87</c:v>
                </c:pt>
                <c:pt idx="8">
                  <c:v>5.9</c:v>
                </c:pt>
                <c:pt idx="9">
                  <c:v>6.22</c:v>
                </c:pt>
                <c:pt idx="10">
                  <c:v>6.59</c:v>
                </c:pt>
                <c:pt idx="11">
                  <c:v>6.28</c:v>
                </c:pt>
              </c:numCache>
            </c:numRef>
          </c:val>
          <c:smooth val="0"/>
        </c:ser>
        <c:dLbls>
          <c:showLegendKey val="0"/>
          <c:showVal val="0"/>
          <c:showCatName val="0"/>
          <c:showSerName val="0"/>
          <c:showPercent val="0"/>
          <c:showBubbleSize val="0"/>
        </c:dLbls>
        <c:marker val="1"/>
        <c:smooth val="0"/>
        <c:axId val="2098981816"/>
        <c:axId val="2092015512"/>
      </c:lineChart>
      <c:catAx>
        <c:axId val="2098981816"/>
        <c:scaling>
          <c:orientation val="minMax"/>
        </c:scaling>
        <c:delete val="0"/>
        <c:axPos val="b"/>
        <c:numFmt formatCode="General" sourceLinked="1"/>
        <c:majorTickMark val="out"/>
        <c:minorTickMark val="none"/>
        <c:tickLblPos val="nextTo"/>
        <c:txPr>
          <a:bodyPr/>
          <a:lstStyle/>
          <a:p>
            <a:pPr>
              <a:defRPr sz="800" b="1"/>
            </a:pPr>
            <a:endParaRPr lang="en-US"/>
          </a:p>
        </c:txPr>
        <c:crossAx val="2092015512"/>
        <c:crosses val="autoZero"/>
        <c:auto val="1"/>
        <c:lblAlgn val="ctr"/>
        <c:lblOffset val="100"/>
        <c:noMultiLvlLbl val="0"/>
      </c:catAx>
      <c:valAx>
        <c:axId val="2092015512"/>
        <c:scaling>
          <c:orientation val="minMax"/>
        </c:scaling>
        <c:delete val="0"/>
        <c:axPos val="l"/>
        <c:title>
          <c:tx>
            <c:rich>
              <a:bodyPr rot="-5400000" vert="horz"/>
              <a:lstStyle/>
              <a:p>
                <a:pPr>
                  <a:defRPr sz="1000" b="1">
                    <a:latin typeface="+mj-lt"/>
                    <a:cs typeface="Andalus" pitchFamily="2" charset="-78"/>
                  </a:defRPr>
                </a:pPr>
                <a:r>
                  <a:rPr lang="en-US" sz="1000" b="1">
                    <a:latin typeface="+mj-lt"/>
                    <a:cs typeface="Andalus" pitchFamily="2" charset="-78"/>
                  </a:rPr>
                  <a:t>Growth Rate (%)</a:t>
                </a:r>
              </a:p>
              <a:p>
                <a:pPr>
                  <a:defRPr sz="1000" b="1">
                    <a:latin typeface="+mj-lt"/>
                    <a:cs typeface="Andalus" pitchFamily="2" charset="-78"/>
                  </a:defRPr>
                </a:pPr>
                <a:endParaRPr lang="en-US" sz="1000" b="1">
                  <a:latin typeface="+mj-lt"/>
                  <a:cs typeface="Andalus" pitchFamily="2" charset="-78"/>
                </a:endParaRPr>
              </a:p>
            </c:rich>
          </c:tx>
          <c:layout/>
          <c:overlay val="0"/>
        </c:title>
        <c:numFmt formatCode="General" sourceLinked="1"/>
        <c:majorTickMark val="out"/>
        <c:minorTickMark val="none"/>
        <c:tickLblPos val="nextTo"/>
        <c:crossAx val="2098981816"/>
        <c:crosses val="autoZero"/>
        <c:crossBetween val="between"/>
      </c:valAx>
    </c:plotArea>
    <c:legend>
      <c:legendPos val="t"/>
      <c:layout/>
      <c:overlay val="0"/>
      <c:txPr>
        <a:bodyPr/>
        <a:lstStyle/>
        <a:p>
          <a:pPr>
            <a:defRPr sz="900"/>
          </a:pPr>
          <a:endParaRPr lang="en-US"/>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760682117514053"/>
          <c:y val="0.125232453198871"/>
          <c:w val="0.88863814321119"/>
          <c:h val="0.748505427357858"/>
        </c:manualLayout>
      </c:layout>
      <c:barChart>
        <c:barDir val="col"/>
        <c:grouping val="clustered"/>
        <c:varyColors val="0"/>
        <c:ser>
          <c:idx val="0"/>
          <c:order val="0"/>
          <c:tx>
            <c:strRef>
              <c:f>[Book1.xlsx]Sheet1!$B$18</c:f>
              <c:strCache>
                <c:ptCount val="1"/>
                <c:pt idx="0">
                  <c:v>2008</c:v>
                </c:pt>
              </c:strCache>
            </c:strRef>
          </c:tx>
          <c:spPr>
            <a:solidFill>
              <a:schemeClr val="bg2">
                <a:lumMod val="2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[Book1.xlsx]Sheet1!$A$19:$A$25</c:f>
              <c:strCache>
                <c:ptCount val="7"/>
                <c:pt idx="0">
                  <c:v>Bangladesh</c:v>
                </c:pt>
                <c:pt idx="1">
                  <c:v>China</c:v>
                </c:pt>
                <c:pt idx="2">
                  <c:v>India</c:v>
                </c:pt>
                <c:pt idx="3">
                  <c:v>Indonesia</c:v>
                </c:pt>
                <c:pt idx="4">
                  <c:v>Pakistan</c:v>
                </c:pt>
                <c:pt idx="5">
                  <c:v>Sri Lanka</c:v>
                </c:pt>
                <c:pt idx="6">
                  <c:v>Vietnam</c:v>
                </c:pt>
              </c:strCache>
            </c:strRef>
          </c:cat>
          <c:val>
            <c:numRef>
              <c:f>[Book1.xlsx]Sheet1!$B$19:$B$25</c:f>
              <c:numCache>
                <c:formatCode>General</c:formatCode>
                <c:ptCount val="7"/>
                <c:pt idx="0">
                  <c:v>111.0</c:v>
                </c:pt>
                <c:pt idx="1">
                  <c:v>30.0</c:v>
                </c:pt>
                <c:pt idx="2">
                  <c:v>50.0</c:v>
                </c:pt>
                <c:pt idx="3">
                  <c:v>54.0</c:v>
                </c:pt>
                <c:pt idx="4">
                  <c:v>101.0</c:v>
                </c:pt>
                <c:pt idx="5">
                  <c:v>77.0</c:v>
                </c:pt>
                <c:pt idx="6">
                  <c:v>70.0</c:v>
                </c:pt>
              </c:numCache>
            </c:numRef>
          </c:val>
        </c:ser>
        <c:ser>
          <c:idx val="1"/>
          <c:order val="1"/>
          <c:tx>
            <c:strRef>
              <c:f>[Book1.xlsx]Sheet1!$C$18</c:f>
              <c:strCache>
                <c:ptCount val="1"/>
                <c:pt idx="0">
                  <c:v>2016-17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[Book1.xlsx]Sheet1!$A$19:$A$25</c:f>
              <c:strCache>
                <c:ptCount val="7"/>
                <c:pt idx="0">
                  <c:v>Bangladesh</c:v>
                </c:pt>
                <c:pt idx="1">
                  <c:v>China</c:v>
                </c:pt>
                <c:pt idx="2">
                  <c:v>India</c:v>
                </c:pt>
                <c:pt idx="3">
                  <c:v>Indonesia</c:v>
                </c:pt>
                <c:pt idx="4">
                  <c:v>Pakistan</c:v>
                </c:pt>
                <c:pt idx="5">
                  <c:v>Sri Lanka</c:v>
                </c:pt>
                <c:pt idx="6">
                  <c:v>Vietnam</c:v>
                </c:pt>
              </c:strCache>
            </c:strRef>
          </c:cat>
          <c:val>
            <c:numRef>
              <c:f>[Book1.xlsx]Sheet1!$C$19:$C$25</c:f>
              <c:numCache>
                <c:formatCode>General</c:formatCode>
                <c:ptCount val="7"/>
                <c:pt idx="0">
                  <c:v>106.0</c:v>
                </c:pt>
                <c:pt idx="1">
                  <c:v>28.0</c:v>
                </c:pt>
                <c:pt idx="2">
                  <c:v>39.0</c:v>
                </c:pt>
                <c:pt idx="3">
                  <c:v>41.0</c:v>
                </c:pt>
                <c:pt idx="4">
                  <c:v>122.0</c:v>
                </c:pt>
                <c:pt idx="5">
                  <c:v>71.0</c:v>
                </c:pt>
                <c:pt idx="6">
                  <c:v>60.0</c:v>
                </c:pt>
              </c:numCache>
            </c:numRef>
          </c:val>
        </c:ser>
        <c:dLbls>
          <c:showLegendKey val="0"/>
          <c:showVal val="0"/>
          <c:showCatName val="0"/>
          <c:showSerName val="0"/>
          <c:showPercent val="0"/>
          <c:showBubbleSize val="0"/>
        </c:dLbls>
        <c:gapWidth val="150"/>
        <c:axId val="-2133544392"/>
        <c:axId val="-2133769560"/>
      </c:barChart>
      <c:catAx>
        <c:axId val="-2133544392"/>
        <c:scaling>
          <c:orientation val="minMax"/>
        </c:scaling>
        <c:delete val="0"/>
        <c:axPos val="b"/>
        <c:numFmt formatCode="General" sourceLinked="0"/>
        <c:majorTickMark val="out"/>
        <c:minorTickMark val="none"/>
        <c:tickLblPos val="nextTo"/>
        <c:txPr>
          <a:bodyPr rot="0" vert="horz"/>
          <a:lstStyle/>
          <a:p>
            <a:pPr>
              <a:defRPr/>
            </a:pPr>
            <a:endParaRPr lang="en-US"/>
          </a:p>
        </c:txPr>
        <c:crossAx val="-2133769560"/>
        <c:crosses val="autoZero"/>
        <c:auto val="1"/>
        <c:lblAlgn val="ctr"/>
        <c:lblOffset val="100"/>
        <c:noMultiLvlLbl val="0"/>
      </c:catAx>
      <c:valAx>
        <c:axId val="-2133769560"/>
        <c:scaling>
          <c:orientation val="minMax"/>
        </c:scaling>
        <c:delete val="0"/>
        <c:axPos val="l"/>
        <c:majorGridlines/>
        <c:numFmt formatCode="General" sourceLinked="1"/>
        <c:majorTickMark val="out"/>
        <c:minorTickMark val="none"/>
        <c:tickLblPos val="nextTo"/>
        <c:crossAx val="-2133544392"/>
        <c:crosses val="autoZero"/>
        <c:crossBetween val="between"/>
      </c:valAx>
    </c:plotArea>
    <c:legend>
      <c:legendPos val="r"/>
      <c:layout>
        <c:manualLayout>
          <c:xMode val="edge"/>
          <c:yMode val="edge"/>
          <c:x val="0.337873535038889"/>
          <c:y val="0.0433340785083253"/>
          <c:w val="0.343975264961007"/>
          <c:h val="0.0434045744281965"/>
        </c:manualLayout>
      </c:layout>
      <c:overlay val="0"/>
    </c:legend>
    <c:plotVisOnly val="1"/>
    <c:dispBlanksAs val="gap"/>
    <c:showDLblsOverMax val="0"/>
  </c:chart>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[Book1.xlsx]Sheet3!$C$21</c:f>
              <c:strCache>
                <c:ptCount val="1"/>
                <c:pt idx="0">
                  <c:v>Figure 6: Doing Business Rankings 2017 (out of 190)</c:v>
                </c:pt>
              </c:strCache>
            </c:strRef>
          </c:tx>
          <c:spPr>
            <a:solidFill>
              <a:schemeClr val="accent4">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[Book1.xlsx]Sheet3!$B$22:$B$28</c:f>
              <c:strCache>
                <c:ptCount val="7"/>
                <c:pt idx="0">
                  <c:v>Bangladesh</c:v>
                </c:pt>
                <c:pt idx="1">
                  <c:v>China</c:v>
                </c:pt>
                <c:pt idx="2">
                  <c:v>India</c:v>
                </c:pt>
                <c:pt idx="3">
                  <c:v>Indonesia</c:v>
                </c:pt>
                <c:pt idx="4">
                  <c:v>Pakistan</c:v>
                </c:pt>
                <c:pt idx="5">
                  <c:v>Sri Lanka</c:v>
                </c:pt>
                <c:pt idx="6">
                  <c:v>Vietnam</c:v>
                </c:pt>
              </c:strCache>
            </c:strRef>
          </c:cat>
          <c:val>
            <c:numRef>
              <c:f>[Book1.xlsx]Sheet3!$C$22:$C$28</c:f>
              <c:numCache>
                <c:formatCode>General</c:formatCode>
                <c:ptCount val="7"/>
                <c:pt idx="0">
                  <c:v>176.0</c:v>
                </c:pt>
                <c:pt idx="1">
                  <c:v>78.0</c:v>
                </c:pt>
                <c:pt idx="2">
                  <c:v>130.0</c:v>
                </c:pt>
                <c:pt idx="3">
                  <c:v>91.0</c:v>
                </c:pt>
                <c:pt idx="4">
                  <c:v>144.0</c:v>
                </c:pt>
                <c:pt idx="5">
                  <c:v>110.0</c:v>
                </c:pt>
                <c:pt idx="6">
                  <c:v>82.0</c:v>
                </c:pt>
              </c:numCache>
            </c:numRef>
          </c:val>
        </c:ser>
        <c:dLbls>
          <c:showLegendKey val="0"/>
          <c:showVal val="0"/>
          <c:showCatName val="0"/>
          <c:showSerName val="0"/>
          <c:showPercent val="0"/>
          <c:showBubbleSize val="0"/>
        </c:dLbls>
        <c:gapWidth val="150"/>
        <c:axId val="2090232968"/>
        <c:axId val="2046684552"/>
      </c:barChart>
      <c:catAx>
        <c:axId val="2090232968"/>
        <c:scaling>
          <c:orientation val="minMax"/>
        </c:scaling>
        <c:delete val="0"/>
        <c:axPos val="l"/>
        <c:numFmt formatCode="General" sourceLinked="0"/>
        <c:majorTickMark val="out"/>
        <c:minorTickMark val="none"/>
        <c:tickLblPos val="nextTo"/>
        <c:crossAx val="2046684552"/>
        <c:crosses val="autoZero"/>
        <c:auto val="1"/>
        <c:lblAlgn val="ctr"/>
        <c:lblOffset val="100"/>
        <c:noMultiLvlLbl val="0"/>
      </c:catAx>
      <c:valAx>
        <c:axId val="2046684552"/>
        <c:scaling>
          <c:orientation val="minMax"/>
        </c:scaling>
        <c:delete val="0"/>
        <c:axPos val="b"/>
        <c:majorGridlines/>
        <c:numFmt formatCode="General" sourceLinked="1"/>
        <c:majorTickMark val="out"/>
        <c:minorTickMark val="none"/>
        <c:tickLblPos val="nextTo"/>
        <c:crossAx val="2090232968"/>
        <c:crosses val="autoZero"/>
        <c:crossBetween val="between"/>
      </c:valAx>
    </c:plotArea>
    <c:plotVisOnly val="1"/>
    <c:dispBlanksAs val="gap"/>
    <c:showDLblsOverMax val="0"/>
  </c:chart>
  <c:spPr>
    <a:ln w="15875"/>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0829607142480684"/>
          <c:y val="0.102761576099284"/>
          <c:w val="0.887588147867058"/>
          <c:h val="0.781258708402191"/>
        </c:manualLayout>
      </c:layout>
      <c:barChart>
        <c:barDir val="col"/>
        <c:grouping val="clustered"/>
        <c:varyColors val="0"/>
        <c:ser>
          <c:idx val="0"/>
          <c:order val="0"/>
          <c:tx>
            <c:strRef>
              <c:f>'Ease Of Doing Business 2017'!$C$253</c:f>
              <c:strCache>
                <c:ptCount val="1"/>
                <c:pt idx="0">
                  <c:v>2017</c:v>
                </c:pt>
              </c:strCache>
            </c:strRef>
          </c:tx>
          <c:invertIfNegative val="0"/>
          <c:dLbls>
            <c:spPr>
              <a:noFill/>
              <a:ln>
                <a:noFill/>
              </a:ln>
              <a:effectLst/>
            </c:spPr>
            <c:txPr>
              <a:bodyPr/>
              <a:lstStyle/>
              <a:p>
                <a:pPr>
                  <a:defRPr sz="850" baseline="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2017'!$B$254:$B$260</c:f>
              <c:strCache>
                <c:ptCount val="7"/>
                <c:pt idx="0">
                  <c:v>Bangladesh</c:v>
                </c:pt>
                <c:pt idx="1">
                  <c:v>China</c:v>
                </c:pt>
                <c:pt idx="2">
                  <c:v>India</c:v>
                </c:pt>
                <c:pt idx="3">
                  <c:v>Indonesia</c:v>
                </c:pt>
                <c:pt idx="4">
                  <c:v>Pakistan</c:v>
                </c:pt>
                <c:pt idx="5">
                  <c:v>Sri Lanka</c:v>
                </c:pt>
                <c:pt idx="6">
                  <c:v>Vietnam</c:v>
                </c:pt>
              </c:strCache>
            </c:strRef>
          </c:cat>
          <c:val>
            <c:numRef>
              <c:f>'Ease Of Doing Business 2017'!$C$254:$C$260</c:f>
              <c:numCache>
                <c:formatCode>General</c:formatCode>
                <c:ptCount val="7"/>
                <c:pt idx="0">
                  <c:v>176.0</c:v>
                </c:pt>
                <c:pt idx="1">
                  <c:v>78.0</c:v>
                </c:pt>
                <c:pt idx="2">
                  <c:v>130.0</c:v>
                </c:pt>
                <c:pt idx="3">
                  <c:v>91.0</c:v>
                </c:pt>
                <c:pt idx="4">
                  <c:v>144.0</c:v>
                </c:pt>
                <c:pt idx="5">
                  <c:v>110.0</c:v>
                </c:pt>
                <c:pt idx="6">
                  <c:v>82.0</c:v>
                </c:pt>
              </c:numCache>
            </c:numRef>
          </c:val>
        </c:ser>
        <c:ser>
          <c:idx val="1"/>
          <c:order val="1"/>
          <c:tx>
            <c:strRef>
              <c:f>'Ease Of Doing Business 2017'!$D$253</c:f>
              <c:strCache>
                <c:ptCount val="1"/>
                <c:pt idx="0">
                  <c:v>2010</c:v>
                </c:pt>
              </c:strCache>
            </c:strRef>
          </c:tx>
          <c:invertIfNegative val="0"/>
          <c:dLbls>
            <c:spPr>
              <a:noFill/>
              <a:ln>
                <a:noFill/>
              </a:ln>
              <a:effectLst/>
            </c:spPr>
            <c:txPr>
              <a:bodyPr/>
              <a:lstStyle/>
              <a:p>
                <a:pPr>
                  <a:defRPr sz="850" baseline="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2017'!$B$254:$B$260</c:f>
              <c:strCache>
                <c:ptCount val="7"/>
                <c:pt idx="0">
                  <c:v>Bangladesh</c:v>
                </c:pt>
                <c:pt idx="1">
                  <c:v>China</c:v>
                </c:pt>
                <c:pt idx="2">
                  <c:v>India</c:v>
                </c:pt>
                <c:pt idx="3">
                  <c:v>Indonesia</c:v>
                </c:pt>
                <c:pt idx="4">
                  <c:v>Pakistan</c:v>
                </c:pt>
                <c:pt idx="5">
                  <c:v>Sri Lanka</c:v>
                </c:pt>
                <c:pt idx="6">
                  <c:v>Vietnam</c:v>
                </c:pt>
              </c:strCache>
            </c:strRef>
          </c:cat>
          <c:val>
            <c:numRef>
              <c:f>'Ease Of Doing Business 2017'!$D$254:$D$260</c:f>
              <c:numCache>
                <c:formatCode>General</c:formatCode>
                <c:ptCount val="7"/>
                <c:pt idx="0">
                  <c:v>119.0</c:v>
                </c:pt>
                <c:pt idx="1">
                  <c:v>89.0</c:v>
                </c:pt>
                <c:pt idx="2">
                  <c:v>133.0</c:v>
                </c:pt>
                <c:pt idx="3">
                  <c:v>122.0</c:v>
                </c:pt>
                <c:pt idx="4">
                  <c:v>85.0</c:v>
                </c:pt>
                <c:pt idx="5">
                  <c:v>105.0</c:v>
                </c:pt>
                <c:pt idx="6">
                  <c:v>93.0</c:v>
                </c:pt>
              </c:numCache>
            </c:numRef>
          </c:val>
        </c:ser>
        <c:dLbls>
          <c:dLblPos val="outEnd"/>
          <c:showLegendKey val="0"/>
          <c:showVal val="1"/>
          <c:showCatName val="0"/>
          <c:showSerName val="0"/>
          <c:showPercent val="0"/>
          <c:showBubbleSize val="0"/>
        </c:dLbls>
        <c:gapWidth val="150"/>
        <c:axId val="-2133766024"/>
        <c:axId val="2089184968"/>
      </c:barChart>
      <c:catAx>
        <c:axId val="-2133766024"/>
        <c:scaling>
          <c:orientation val="minMax"/>
        </c:scaling>
        <c:delete val="0"/>
        <c:axPos val="b"/>
        <c:numFmt formatCode="General" sourceLinked="0"/>
        <c:majorTickMark val="out"/>
        <c:minorTickMark val="none"/>
        <c:tickLblPos val="nextTo"/>
        <c:crossAx val="2089184968"/>
        <c:crosses val="autoZero"/>
        <c:auto val="1"/>
        <c:lblAlgn val="ctr"/>
        <c:lblOffset val="100"/>
        <c:noMultiLvlLbl val="0"/>
      </c:catAx>
      <c:valAx>
        <c:axId val="2089184968"/>
        <c:scaling>
          <c:orientation val="minMax"/>
        </c:scaling>
        <c:delete val="0"/>
        <c:axPos val="l"/>
        <c:numFmt formatCode="General" sourceLinked="1"/>
        <c:majorTickMark val="out"/>
        <c:minorTickMark val="none"/>
        <c:tickLblPos val="nextTo"/>
        <c:crossAx val="-2133766024"/>
        <c:crosses val="autoZero"/>
        <c:crossBetween val="between"/>
      </c:valAx>
    </c:plotArea>
    <c:legend>
      <c:legendPos val="t"/>
      <c:layout>
        <c:manualLayout>
          <c:xMode val="edge"/>
          <c:yMode val="edge"/>
          <c:x val="0.402107339322311"/>
          <c:y val="0.034832802477756"/>
          <c:w val="0.195785321355379"/>
          <c:h val="0.076305574010811"/>
        </c:manualLayout>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4721965620219"/>
          <c:y val="0.0506534232240578"/>
          <c:w val="0.70149787142529"/>
          <c:h val="0.821341498979294"/>
        </c:manualLayout>
      </c:layout>
      <c:barChart>
        <c:barDir val="bar"/>
        <c:grouping val="clustered"/>
        <c:varyColors val="0"/>
        <c:ser>
          <c:idx val="0"/>
          <c:order val="0"/>
          <c:spPr>
            <a:solidFill>
              <a:srgbClr val="C0504D">
                <a:lumMod val="75000"/>
              </a:srgb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Sheet1!$B$44:$B$53</c:f>
              <c:strCache>
                <c:ptCount val="10"/>
                <c:pt idx="0">
                  <c:v>Protecting Investors</c:v>
                </c:pt>
                <c:pt idx="1">
                  <c:v>Paying Taxes</c:v>
                </c:pt>
                <c:pt idx="2">
                  <c:v>Starting Business</c:v>
                </c:pt>
                <c:pt idx="3">
                  <c:v>Getting Credit</c:v>
                </c:pt>
                <c:pt idx="4">
                  <c:v>Construction permits</c:v>
                </c:pt>
                <c:pt idx="5">
                  <c:v>Trading across borders</c:v>
                </c:pt>
                <c:pt idx="6">
                  <c:v>Resolving Insolvency</c:v>
                </c:pt>
                <c:pt idx="7">
                  <c:v>Registering Property</c:v>
                </c:pt>
                <c:pt idx="8">
                  <c:v>Enforcing Contracts</c:v>
                </c:pt>
                <c:pt idx="9">
                  <c:v>Getting Electricity</c:v>
                </c:pt>
              </c:strCache>
            </c:strRef>
          </c:cat>
          <c:val>
            <c:numRef>
              <c:f>Sheet1!$C$44:$C$53</c:f>
              <c:numCache>
                <c:formatCode>General</c:formatCode>
                <c:ptCount val="10"/>
                <c:pt idx="0">
                  <c:v>70.0</c:v>
                </c:pt>
                <c:pt idx="1">
                  <c:v>151.0</c:v>
                </c:pt>
                <c:pt idx="2">
                  <c:v>122.0</c:v>
                </c:pt>
                <c:pt idx="3">
                  <c:v>157.0</c:v>
                </c:pt>
                <c:pt idx="4">
                  <c:v>138.0</c:v>
                </c:pt>
                <c:pt idx="5">
                  <c:v>173.0</c:v>
                </c:pt>
                <c:pt idx="6">
                  <c:v>151.0</c:v>
                </c:pt>
                <c:pt idx="7">
                  <c:v>185.0</c:v>
                </c:pt>
                <c:pt idx="8">
                  <c:v>189.0</c:v>
                </c:pt>
                <c:pt idx="9">
                  <c:v>187.0</c:v>
                </c:pt>
              </c:numCache>
            </c:numRef>
          </c:val>
        </c:ser>
        <c:dLbls>
          <c:showLegendKey val="0"/>
          <c:showVal val="0"/>
          <c:showCatName val="0"/>
          <c:showSerName val="0"/>
          <c:showPercent val="0"/>
          <c:showBubbleSize val="0"/>
        </c:dLbls>
        <c:gapWidth val="150"/>
        <c:axId val="2089327400"/>
        <c:axId val="-2133772584"/>
      </c:barChart>
      <c:catAx>
        <c:axId val="2089327400"/>
        <c:scaling>
          <c:orientation val="minMax"/>
        </c:scaling>
        <c:delete val="0"/>
        <c:axPos val="l"/>
        <c:numFmt formatCode="General" sourceLinked="0"/>
        <c:majorTickMark val="out"/>
        <c:minorTickMark val="none"/>
        <c:tickLblPos val="nextTo"/>
        <c:crossAx val="-2133772584"/>
        <c:crosses val="autoZero"/>
        <c:auto val="1"/>
        <c:lblAlgn val="ctr"/>
        <c:lblOffset val="100"/>
        <c:noMultiLvlLbl val="0"/>
      </c:catAx>
      <c:valAx>
        <c:axId val="-2133772584"/>
        <c:scaling>
          <c:orientation val="minMax"/>
        </c:scaling>
        <c:delete val="0"/>
        <c:axPos val="b"/>
        <c:majorGridlines/>
        <c:numFmt formatCode="General" sourceLinked="1"/>
        <c:majorTickMark val="out"/>
        <c:minorTickMark val="none"/>
        <c:tickLblPos val="nextTo"/>
        <c:crossAx val="2089327400"/>
        <c:crosses val="autoZero"/>
        <c:crossBetween val="between"/>
      </c:valAx>
    </c:plotArea>
    <c:plotVisOnly val="1"/>
    <c:dispBlanksAs val="gap"/>
    <c:showDLblsOverMax val="0"/>
  </c:chart>
  <c:spPr>
    <a:ln w="15875"/>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349801863002"/>
          <c:y val="0.122064617367669"/>
          <c:w val="0.723081673614328"/>
          <c:h val="0.768599209796284"/>
        </c:manualLayout>
      </c:layout>
      <c:barChart>
        <c:barDir val="bar"/>
        <c:grouping val="clustered"/>
        <c:varyColors val="0"/>
        <c:ser>
          <c:idx val="0"/>
          <c:order val="0"/>
          <c:tx>
            <c:strRef>
              <c:f>'Ease Of Doing Business 2017'!$C$245</c:f>
              <c:strCache>
                <c:ptCount val="1"/>
                <c:pt idx="0">
                  <c:v>2010</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2017'!$B$246:$B$248</c:f>
              <c:strCache>
                <c:ptCount val="3"/>
                <c:pt idx="0">
                  <c:v>Protecting Investors</c:v>
                </c:pt>
                <c:pt idx="1">
                  <c:v>Starting Business</c:v>
                </c:pt>
                <c:pt idx="2">
                  <c:v>Paying Taxes</c:v>
                </c:pt>
              </c:strCache>
            </c:strRef>
          </c:cat>
          <c:val>
            <c:numRef>
              <c:f>'Ease Of Doing Business 2017'!$C$246:$C$248</c:f>
              <c:numCache>
                <c:formatCode>General</c:formatCode>
                <c:ptCount val="3"/>
                <c:pt idx="0">
                  <c:v>20.0</c:v>
                </c:pt>
                <c:pt idx="1">
                  <c:v>89.0</c:v>
                </c:pt>
                <c:pt idx="2">
                  <c:v>98.0</c:v>
                </c:pt>
              </c:numCache>
            </c:numRef>
          </c:val>
        </c:ser>
        <c:ser>
          <c:idx val="1"/>
          <c:order val="1"/>
          <c:tx>
            <c:strRef>
              <c:f>'Ease Of Doing Business 2017'!$D$245</c:f>
              <c:strCache>
                <c:ptCount val="1"/>
                <c:pt idx="0">
                  <c:v>2017</c:v>
                </c:pt>
              </c:strCache>
            </c:strRef>
          </c:tx>
          <c:spPr>
            <a:solidFill>
              <a:schemeClr val="accent6">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2017'!$B$246:$B$248</c:f>
              <c:strCache>
                <c:ptCount val="3"/>
                <c:pt idx="0">
                  <c:v>Protecting Investors</c:v>
                </c:pt>
                <c:pt idx="1">
                  <c:v>Starting Business</c:v>
                </c:pt>
                <c:pt idx="2">
                  <c:v>Paying Taxes</c:v>
                </c:pt>
              </c:strCache>
            </c:strRef>
          </c:cat>
          <c:val>
            <c:numRef>
              <c:f>'Ease Of Doing Business 2017'!$D$246:$D$248</c:f>
              <c:numCache>
                <c:formatCode>General</c:formatCode>
                <c:ptCount val="3"/>
                <c:pt idx="0">
                  <c:v>70.0</c:v>
                </c:pt>
                <c:pt idx="1">
                  <c:v>122.0</c:v>
                </c:pt>
                <c:pt idx="2">
                  <c:v>151.0</c:v>
                </c:pt>
              </c:numCache>
            </c:numRef>
          </c:val>
        </c:ser>
        <c:dLbls>
          <c:dLblPos val="outEnd"/>
          <c:showLegendKey val="0"/>
          <c:showVal val="1"/>
          <c:showCatName val="0"/>
          <c:showSerName val="0"/>
          <c:showPercent val="0"/>
          <c:showBubbleSize val="0"/>
        </c:dLbls>
        <c:gapWidth val="150"/>
        <c:axId val="-2133262920"/>
        <c:axId val="2089195224"/>
      </c:barChart>
      <c:catAx>
        <c:axId val="-2133262920"/>
        <c:scaling>
          <c:orientation val="minMax"/>
        </c:scaling>
        <c:delete val="0"/>
        <c:axPos val="l"/>
        <c:numFmt formatCode="General" sourceLinked="0"/>
        <c:majorTickMark val="out"/>
        <c:minorTickMark val="none"/>
        <c:tickLblPos val="nextTo"/>
        <c:crossAx val="2089195224"/>
        <c:crosses val="autoZero"/>
        <c:auto val="1"/>
        <c:lblAlgn val="ctr"/>
        <c:lblOffset val="100"/>
        <c:noMultiLvlLbl val="0"/>
      </c:catAx>
      <c:valAx>
        <c:axId val="2089195224"/>
        <c:scaling>
          <c:orientation val="minMax"/>
        </c:scaling>
        <c:delete val="0"/>
        <c:axPos val="b"/>
        <c:numFmt formatCode="General" sourceLinked="1"/>
        <c:majorTickMark val="out"/>
        <c:minorTickMark val="none"/>
        <c:tickLblPos val="nextTo"/>
        <c:crossAx val="-2133262920"/>
        <c:crosses val="autoZero"/>
        <c:crossBetween val="between"/>
      </c:valAx>
    </c:plotArea>
    <c:legend>
      <c:legendPos val="t"/>
      <c:layout>
        <c:manualLayout>
          <c:xMode val="edge"/>
          <c:yMode val="edge"/>
          <c:x val="0.396940102636424"/>
          <c:y val="0.0505151268902775"/>
          <c:w val="0.19616921414235"/>
          <c:h val="0.0688717506202136"/>
        </c:manualLayout>
      </c:layout>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2307874015748"/>
          <c:y val="0.10695610965296"/>
          <c:w val="0.836559711286089"/>
          <c:h val="0.59196923301254"/>
        </c:manualLayout>
      </c:layout>
      <c:barChart>
        <c:barDir val="col"/>
        <c:grouping val="clustered"/>
        <c:varyColors val="0"/>
        <c:ser>
          <c:idx val="0"/>
          <c:order val="0"/>
          <c:tx>
            <c:strRef>
              <c:f>Sheet6!$I$23</c:f>
              <c:strCache>
                <c:ptCount val="1"/>
                <c:pt idx="0">
                  <c:v>Average Turnaround time 2016 (no. of Days)</c:v>
                </c:pt>
              </c:strCache>
            </c:strRef>
          </c:tx>
          <c:invertIfNegative val="0"/>
          <c:dLbls>
            <c:showLegendKey val="0"/>
            <c:showVal val="1"/>
            <c:showCatName val="0"/>
            <c:showSerName val="0"/>
            <c:showPercent val="0"/>
            <c:showBubbleSize val="0"/>
            <c:showLeaderLines val="0"/>
          </c:dLbls>
          <c:cat>
            <c:strRef>
              <c:f>Sheet6!$H$24:$H$28</c:f>
              <c:strCache>
                <c:ptCount val="5"/>
                <c:pt idx="0">
                  <c:v>Chittagong*</c:v>
                </c:pt>
                <c:pt idx="1">
                  <c:v>Kolkata</c:v>
                </c:pt>
                <c:pt idx="2">
                  <c:v>Jawaharlal Nehru</c:v>
                </c:pt>
                <c:pt idx="3">
                  <c:v>Colombo</c:v>
                </c:pt>
                <c:pt idx="4">
                  <c:v>Hong Kong</c:v>
                </c:pt>
              </c:strCache>
            </c:strRef>
          </c:cat>
          <c:val>
            <c:numRef>
              <c:f>Sheet6!$I$24:$I$28</c:f>
              <c:numCache>
                <c:formatCode>General</c:formatCode>
                <c:ptCount val="5"/>
                <c:pt idx="0">
                  <c:v>4.26</c:v>
                </c:pt>
                <c:pt idx="1">
                  <c:v>2.55</c:v>
                </c:pt>
                <c:pt idx="2">
                  <c:v>1.6</c:v>
                </c:pt>
                <c:pt idx="3">
                  <c:v>0.77</c:v>
                </c:pt>
                <c:pt idx="4">
                  <c:v>1.04</c:v>
                </c:pt>
              </c:numCache>
            </c:numRef>
          </c:val>
        </c:ser>
        <c:dLbls>
          <c:showLegendKey val="0"/>
          <c:showVal val="0"/>
          <c:showCatName val="0"/>
          <c:showSerName val="0"/>
          <c:showPercent val="0"/>
          <c:showBubbleSize val="0"/>
        </c:dLbls>
        <c:gapWidth val="150"/>
        <c:axId val="-2134603576"/>
        <c:axId val="-2134056280"/>
      </c:barChart>
      <c:catAx>
        <c:axId val="-2134603576"/>
        <c:scaling>
          <c:orientation val="minMax"/>
        </c:scaling>
        <c:delete val="0"/>
        <c:axPos val="b"/>
        <c:majorTickMark val="out"/>
        <c:minorTickMark val="none"/>
        <c:tickLblPos val="nextTo"/>
        <c:crossAx val="-2134056280"/>
        <c:crosses val="autoZero"/>
        <c:auto val="1"/>
        <c:lblAlgn val="ctr"/>
        <c:lblOffset val="100"/>
        <c:noMultiLvlLbl val="0"/>
      </c:catAx>
      <c:valAx>
        <c:axId val="-2134056280"/>
        <c:scaling>
          <c:orientation val="minMax"/>
        </c:scaling>
        <c:delete val="0"/>
        <c:axPos val="l"/>
        <c:majorGridlines/>
        <c:title>
          <c:tx>
            <c:rich>
              <a:bodyPr rot="-5400000" vert="horz"/>
              <a:lstStyle/>
              <a:p>
                <a:pPr>
                  <a:defRPr/>
                </a:pPr>
                <a:r>
                  <a:rPr lang="en-US"/>
                  <a:t>Number</a:t>
                </a:r>
                <a:r>
                  <a:rPr lang="en-US" baseline="0"/>
                  <a:t> of Days</a:t>
                </a:r>
                <a:endParaRPr lang="en-US"/>
              </a:p>
            </c:rich>
          </c:tx>
          <c:layout/>
          <c:overlay val="0"/>
        </c:title>
        <c:numFmt formatCode="General" sourceLinked="1"/>
        <c:majorTickMark val="out"/>
        <c:minorTickMark val="none"/>
        <c:tickLblPos val="nextTo"/>
        <c:crossAx val="-2134603576"/>
        <c:crosses val="autoZero"/>
        <c:crossBetween val="between"/>
      </c:valAx>
    </c:plotArea>
    <c:legend>
      <c:legendPos val="r"/>
      <c:layout>
        <c:manualLayout>
          <c:xMode val="edge"/>
          <c:yMode val="edge"/>
          <c:x val="0.151305118110236"/>
          <c:y val="0.823690215806358"/>
          <c:w val="0.654250437445319"/>
          <c:h val="0.107249198016915"/>
        </c:manualLayout>
      </c:layout>
      <c:overlay val="0"/>
    </c:legend>
    <c:plotVisOnly val="1"/>
    <c:dispBlanksAs val="gap"/>
    <c:showDLblsOverMax val="0"/>
  </c:chart>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7255275825948"/>
          <c:y val="0.0686291595523836"/>
          <c:w val="0.851834563280487"/>
          <c:h val="0.644227877312437"/>
        </c:manualLayout>
      </c:layout>
      <c:barChart>
        <c:barDir val="col"/>
        <c:grouping val="clustered"/>
        <c:varyColors val="0"/>
        <c:ser>
          <c:idx val="0"/>
          <c:order val="0"/>
          <c:tx>
            <c:strRef>
              <c:f>Sheet6!$I$7</c:f>
              <c:strCache>
                <c:ptCount val="1"/>
                <c:pt idx="0">
                  <c:v>Global port throughput 2015 </c:v>
                </c:pt>
              </c:strCache>
            </c:strRef>
          </c:tx>
          <c:invertIfNegative val="0"/>
          <c:dLbls>
            <c:showLegendKey val="0"/>
            <c:showVal val="1"/>
            <c:showCatName val="0"/>
            <c:showSerName val="0"/>
            <c:showPercent val="0"/>
            <c:showBubbleSize val="0"/>
            <c:showLeaderLines val="0"/>
          </c:dLbls>
          <c:cat>
            <c:strRef>
              <c:f>Sheet6!$H$8:$H$14</c:f>
              <c:strCache>
                <c:ptCount val="7"/>
                <c:pt idx="0">
                  <c:v>Shanghai</c:v>
                </c:pt>
                <c:pt idx="1">
                  <c:v>Singapore</c:v>
                </c:pt>
                <c:pt idx="2">
                  <c:v>Hong Kong</c:v>
                </c:pt>
                <c:pt idx="3">
                  <c:v>Busan</c:v>
                </c:pt>
                <c:pt idx="4">
                  <c:v>Jawaharlal Nehru</c:v>
                </c:pt>
                <c:pt idx="5">
                  <c:v>Colombo</c:v>
                </c:pt>
                <c:pt idx="6">
                  <c:v>Chittagong</c:v>
                </c:pt>
              </c:strCache>
            </c:strRef>
          </c:cat>
          <c:val>
            <c:numRef>
              <c:f>Sheet6!$I$8:$I$14</c:f>
              <c:numCache>
                <c:formatCode>General</c:formatCode>
                <c:ptCount val="7"/>
                <c:pt idx="0">
                  <c:v>36.54</c:v>
                </c:pt>
                <c:pt idx="1">
                  <c:v>30.92</c:v>
                </c:pt>
                <c:pt idx="2">
                  <c:v>20.07</c:v>
                </c:pt>
                <c:pt idx="3">
                  <c:v>19.45</c:v>
                </c:pt>
                <c:pt idx="4">
                  <c:v>4.49</c:v>
                </c:pt>
                <c:pt idx="5">
                  <c:v>5.189999999999999</c:v>
                </c:pt>
                <c:pt idx="6">
                  <c:v>2.02</c:v>
                </c:pt>
              </c:numCache>
            </c:numRef>
          </c:val>
        </c:ser>
        <c:dLbls>
          <c:showLegendKey val="0"/>
          <c:showVal val="0"/>
          <c:showCatName val="0"/>
          <c:showSerName val="0"/>
          <c:showPercent val="0"/>
          <c:showBubbleSize val="0"/>
        </c:dLbls>
        <c:gapWidth val="150"/>
        <c:axId val="2098733944"/>
        <c:axId val="2092162328"/>
      </c:barChart>
      <c:catAx>
        <c:axId val="2098733944"/>
        <c:scaling>
          <c:orientation val="minMax"/>
        </c:scaling>
        <c:delete val="0"/>
        <c:axPos val="b"/>
        <c:majorTickMark val="out"/>
        <c:minorTickMark val="none"/>
        <c:tickLblPos val="nextTo"/>
        <c:txPr>
          <a:bodyPr/>
          <a:lstStyle/>
          <a:p>
            <a:pPr>
              <a:defRPr sz="900"/>
            </a:pPr>
            <a:endParaRPr lang="en-US"/>
          </a:p>
        </c:txPr>
        <c:crossAx val="2092162328"/>
        <c:crosses val="autoZero"/>
        <c:auto val="1"/>
        <c:lblAlgn val="ctr"/>
        <c:lblOffset val="100"/>
        <c:noMultiLvlLbl val="0"/>
      </c:catAx>
      <c:valAx>
        <c:axId val="2092162328"/>
        <c:scaling>
          <c:orientation val="minMax"/>
        </c:scaling>
        <c:delete val="0"/>
        <c:axPos val="l"/>
        <c:majorGridlines/>
        <c:title>
          <c:tx>
            <c:rich>
              <a:bodyPr rot="-5400000" vert="horz"/>
              <a:lstStyle/>
              <a:p>
                <a:pPr>
                  <a:defRPr/>
                </a:pPr>
                <a:r>
                  <a:rPr lang="en-US"/>
                  <a:t>Millions of TEUs</a:t>
                </a:r>
              </a:p>
            </c:rich>
          </c:tx>
          <c:layout/>
          <c:overlay val="0"/>
        </c:title>
        <c:numFmt formatCode="General" sourceLinked="1"/>
        <c:majorTickMark val="out"/>
        <c:minorTickMark val="none"/>
        <c:tickLblPos val="nextTo"/>
        <c:crossAx val="2098733944"/>
        <c:crosses val="autoZero"/>
        <c:crossBetween val="between"/>
      </c:valAx>
    </c:plotArea>
    <c:legend>
      <c:legendPos val="r"/>
      <c:layout>
        <c:manualLayout>
          <c:xMode val="edge"/>
          <c:yMode val="edge"/>
          <c:x val="0.0545672822287349"/>
          <c:y val="0.907240290615847"/>
          <c:w val="0.787542595311179"/>
          <c:h val="0.066994761247105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en-US" sz="1200"/>
              <a:t>Fig 2: Projected employment share (%)</a:t>
            </a:r>
          </a:p>
        </c:rich>
      </c:tx>
      <c:layout/>
      <c:overlay val="0"/>
    </c:title>
    <c:autoTitleDeleted val="0"/>
    <c:plotArea>
      <c:layout>
        <c:manualLayout>
          <c:layoutTarget val="inner"/>
          <c:xMode val="edge"/>
          <c:yMode val="edge"/>
          <c:x val="0.0494334208223976"/>
          <c:y val="0.146851851851852"/>
          <c:w val="0.829940507436575"/>
          <c:h val="0.654032152230973"/>
        </c:manualLayout>
      </c:layout>
      <c:barChart>
        <c:barDir val="bar"/>
        <c:grouping val="stacked"/>
        <c:varyColors val="0"/>
        <c:ser>
          <c:idx val="0"/>
          <c:order val="0"/>
          <c:tx>
            <c:strRef>
              <c:f>Sheet1!$C$26</c:f>
              <c:strCache>
                <c:ptCount val="1"/>
                <c:pt idx="0">
                  <c:v>Agriculture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Sheet1!$D$25:$I$25</c:f>
              <c:numCache>
                <c:formatCode>General</c:formatCode>
                <c:ptCount val="6"/>
                <c:pt idx="0">
                  <c:v>2020.0</c:v>
                </c:pt>
                <c:pt idx="1">
                  <c:v>2025.0</c:v>
                </c:pt>
                <c:pt idx="2">
                  <c:v>2030.0</c:v>
                </c:pt>
                <c:pt idx="3">
                  <c:v>2035.0</c:v>
                </c:pt>
                <c:pt idx="4">
                  <c:v>2040.0</c:v>
                </c:pt>
                <c:pt idx="5">
                  <c:v>2046.0</c:v>
                </c:pt>
              </c:numCache>
            </c:numRef>
          </c:cat>
          <c:val>
            <c:numRef>
              <c:f>Sheet1!$D$26:$I$26</c:f>
              <c:numCache>
                <c:formatCode>0.0</c:formatCode>
                <c:ptCount val="6"/>
                <c:pt idx="0">
                  <c:v>39.22000000000001</c:v>
                </c:pt>
                <c:pt idx="1">
                  <c:v>33.73000000000001</c:v>
                </c:pt>
                <c:pt idx="2">
                  <c:v>28.27999999999999</c:v>
                </c:pt>
                <c:pt idx="3">
                  <c:v>22.75999999999999</c:v>
                </c:pt>
                <c:pt idx="4">
                  <c:v>19.09</c:v>
                </c:pt>
                <c:pt idx="5" formatCode="General">
                  <c:v>15.09</c:v>
                </c:pt>
              </c:numCache>
            </c:numRef>
          </c:val>
        </c:ser>
        <c:ser>
          <c:idx val="1"/>
          <c:order val="1"/>
          <c:tx>
            <c:strRef>
              <c:f>Sheet1!$C$27</c:f>
              <c:strCache>
                <c:ptCount val="1"/>
                <c:pt idx="0">
                  <c:v>Manufacturing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Sheet1!$D$25:$I$25</c:f>
              <c:numCache>
                <c:formatCode>General</c:formatCode>
                <c:ptCount val="6"/>
                <c:pt idx="0">
                  <c:v>2020.0</c:v>
                </c:pt>
                <c:pt idx="1">
                  <c:v>2025.0</c:v>
                </c:pt>
                <c:pt idx="2">
                  <c:v>2030.0</c:v>
                </c:pt>
                <c:pt idx="3">
                  <c:v>2035.0</c:v>
                </c:pt>
                <c:pt idx="4">
                  <c:v>2040.0</c:v>
                </c:pt>
                <c:pt idx="5">
                  <c:v>2046.0</c:v>
                </c:pt>
              </c:numCache>
            </c:numRef>
          </c:cat>
          <c:val>
            <c:numRef>
              <c:f>Sheet1!$D$27:$I$27</c:f>
              <c:numCache>
                <c:formatCode>0.0</c:formatCode>
                <c:ptCount val="6"/>
                <c:pt idx="0">
                  <c:v>14.23</c:v>
                </c:pt>
                <c:pt idx="1">
                  <c:v>18.51000000000001</c:v>
                </c:pt>
                <c:pt idx="2">
                  <c:v>22.45</c:v>
                </c:pt>
                <c:pt idx="3">
                  <c:v>27.03</c:v>
                </c:pt>
                <c:pt idx="4">
                  <c:v>30.45</c:v>
                </c:pt>
                <c:pt idx="5" formatCode="General">
                  <c:v>34.45</c:v>
                </c:pt>
              </c:numCache>
            </c:numRef>
          </c:val>
        </c:ser>
        <c:ser>
          <c:idx val="2"/>
          <c:order val="2"/>
          <c:tx>
            <c:strRef>
              <c:f>Sheet1!$C$28</c:f>
              <c:strCache>
                <c:ptCount val="1"/>
                <c:pt idx="0">
                  <c:v>Construction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Sheet1!$D$25:$I$25</c:f>
              <c:numCache>
                <c:formatCode>General</c:formatCode>
                <c:ptCount val="6"/>
                <c:pt idx="0">
                  <c:v>2020.0</c:v>
                </c:pt>
                <c:pt idx="1">
                  <c:v>2025.0</c:v>
                </c:pt>
                <c:pt idx="2">
                  <c:v>2030.0</c:v>
                </c:pt>
                <c:pt idx="3">
                  <c:v>2035.0</c:v>
                </c:pt>
                <c:pt idx="4">
                  <c:v>2040.0</c:v>
                </c:pt>
                <c:pt idx="5">
                  <c:v>2046.0</c:v>
                </c:pt>
              </c:numCache>
            </c:numRef>
          </c:cat>
          <c:val>
            <c:numRef>
              <c:f>Sheet1!$D$28:$I$28</c:f>
              <c:numCache>
                <c:formatCode>0.0</c:formatCode>
                <c:ptCount val="6"/>
                <c:pt idx="0">
                  <c:v>5.31</c:v>
                </c:pt>
                <c:pt idx="1">
                  <c:v>6.319999999999998</c:v>
                </c:pt>
                <c:pt idx="2">
                  <c:v>7.09</c:v>
                </c:pt>
                <c:pt idx="3">
                  <c:v>7.85</c:v>
                </c:pt>
                <c:pt idx="4">
                  <c:v>7.98</c:v>
                </c:pt>
                <c:pt idx="5" formatCode="General">
                  <c:v>8.3</c:v>
                </c:pt>
              </c:numCache>
            </c:numRef>
          </c:val>
        </c:ser>
        <c:ser>
          <c:idx val="3"/>
          <c:order val="3"/>
          <c:tx>
            <c:strRef>
              <c:f>Sheet1!$C$29</c:f>
              <c:strCache>
                <c:ptCount val="1"/>
                <c:pt idx="0">
                  <c:v>Services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Sheet1!$D$25:$I$25</c:f>
              <c:numCache>
                <c:formatCode>General</c:formatCode>
                <c:ptCount val="6"/>
                <c:pt idx="0">
                  <c:v>2020.0</c:v>
                </c:pt>
                <c:pt idx="1">
                  <c:v>2025.0</c:v>
                </c:pt>
                <c:pt idx="2">
                  <c:v>2030.0</c:v>
                </c:pt>
                <c:pt idx="3">
                  <c:v>2035.0</c:v>
                </c:pt>
                <c:pt idx="4">
                  <c:v>2040.0</c:v>
                </c:pt>
                <c:pt idx="5">
                  <c:v>2046.0</c:v>
                </c:pt>
              </c:numCache>
            </c:numRef>
          </c:cat>
          <c:val>
            <c:numRef>
              <c:f>Sheet1!$D$29:$I$29</c:f>
              <c:numCache>
                <c:formatCode>0.0</c:formatCode>
                <c:ptCount val="6"/>
                <c:pt idx="0">
                  <c:v>41.24</c:v>
                </c:pt>
                <c:pt idx="1">
                  <c:v>41.44</c:v>
                </c:pt>
                <c:pt idx="2">
                  <c:v>42.18</c:v>
                </c:pt>
                <c:pt idx="3">
                  <c:v>42.37</c:v>
                </c:pt>
                <c:pt idx="4">
                  <c:v>42.48</c:v>
                </c:pt>
                <c:pt idx="5" formatCode="General">
                  <c:v>42.16000000000001</c:v>
                </c:pt>
              </c:numCache>
            </c:numRef>
          </c:val>
        </c:ser>
        <c:dLbls>
          <c:showLegendKey val="0"/>
          <c:showVal val="0"/>
          <c:showCatName val="0"/>
          <c:showSerName val="0"/>
          <c:showPercent val="0"/>
          <c:showBubbleSize val="0"/>
        </c:dLbls>
        <c:gapWidth val="56"/>
        <c:overlap val="100"/>
        <c:axId val="-2133452664"/>
        <c:axId val="-2132973320"/>
      </c:barChart>
      <c:catAx>
        <c:axId val="-2133452664"/>
        <c:scaling>
          <c:orientation val="minMax"/>
        </c:scaling>
        <c:delete val="0"/>
        <c:axPos val="l"/>
        <c:numFmt formatCode="General" sourceLinked="1"/>
        <c:majorTickMark val="in"/>
        <c:minorTickMark val="out"/>
        <c:tickLblPos val="high"/>
        <c:crossAx val="-2132973320"/>
        <c:crosses val="autoZero"/>
        <c:auto val="1"/>
        <c:lblAlgn val="ctr"/>
        <c:lblOffset val="100"/>
        <c:noMultiLvlLbl val="0"/>
      </c:catAx>
      <c:valAx>
        <c:axId val="-2132973320"/>
        <c:scaling>
          <c:orientation val="minMax"/>
          <c:max val="100.0"/>
        </c:scaling>
        <c:delete val="0"/>
        <c:axPos val="b"/>
        <c:majorGridlines/>
        <c:numFmt formatCode="0.0" sourceLinked="1"/>
        <c:majorTickMark val="out"/>
        <c:minorTickMark val="none"/>
        <c:tickLblPos val="nextTo"/>
        <c:crossAx val="-2133452664"/>
        <c:crossesAt val="1.0"/>
        <c:crossBetween val="between"/>
      </c:valAx>
    </c:plotArea>
    <c:legend>
      <c:legendPos val="b"/>
      <c:layout/>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1200" b="1" i="0" baseline="0"/>
              <a:t>Figure 3:   Bangladesh Gross Investment Projection (FY16-FY46) </a:t>
            </a:r>
          </a:p>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endParaRPr lang="en-US" sz="800"/>
          </a:p>
        </c:rich>
      </c:tx>
      <c:layout/>
      <c:overlay val="0"/>
    </c:title>
    <c:autoTitleDeleted val="0"/>
    <c:plotArea>
      <c:layout>
        <c:manualLayout>
          <c:layoutTarget val="inner"/>
          <c:xMode val="edge"/>
          <c:yMode val="edge"/>
          <c:x val="0.153061436085283"/>
          <c:y val="0.271192294004023"/>
          <c:w val="0.793366343487874"/>
          <c:h val="0.482232158175239"/>
        </c:manualLayout>
      </c:layout>
      <c:barChart>
        <c:barDir val="col"/>
        <c:grouping val="clustered"/>
        <c:varyColors val="0"/>
        <c:ser>
          <c:idx val="0"/>
          <c:order val="0"/>
          <c:tx>
            <c:strRef>
              <c:f>Comp.graph!$B$238</c:f>
              <c:strCache>
                <c:ptCount val="1"/>
                <c:pt idx="0">
                  <c:v>Investment</c:v>
                </c:pt>
              </c:strCache>
            </c:strRef>
          </c:tx>
          <c:invertIfNegative val="0"/>
          <c:dPt>
            <c:idx val="0"/>
            <c:invertIfNegative val="0"/>
            <c:bubble3D val="0"/>
            <c:spPr>
              <a:solidFill>
                <a:srgbClr val="C00000"/>
              </a:solidFill>
            </c:spPr>
          </c:dPt>
          <c:dPt>
            <c:idx val="15"/>
            <c:invertIfNegative val="0"/>
            <c:bubble3D val="0"/>
            <c:spPr>
              <a:solidFill>
                <a:srgbClr val="C00000"/>
              </a:solidFill>
            </c:spPr>
          </c:dPt>
          <c:dPt>
            <c:idx val="30"/>
            <c:invertIfNegative val="0"/>
            <c:bubble3D val="0"/>
            <c:spPr>
              <a:solidFill>
                <a:srgbClr val="C00000"/>
              </a:solidFill>
            </c:spPr>
          </c:dPt>
          <c:dLbls>
            <c:dLbl>
              <c:idx val="0"/>
              <c:layout/>
              <c:showLegendKey val="0"/>
              <c:showVal val="1"/>
              <c:showCatName val="0"/>
              <c:showSerName val="0"/>
              <c:showPercent val="0"/>
              <c:showBubbleSize val="0"/>
              <c:extLst>
                <c:ext xmlns:c15="http://schemas.microsoft.com/office/drawing/2012/chart" uri="{CE6537A1-D6FC-4f65-9D91-7224C49458BB}"/>
              </c:extLst>
            </c:dLbl>
            <c:dLbl>
              <c:idx val="15"/>
              <c:layout/>
              <c:showLegendKey val="0"/>
              <c:showVal val="1"/>
              <c:showCatName val="0"/>
              <c:showSerName val="0"/>
              <c:showPercent val="0"/>
              <c:showBubbleSize val="0"/>
              <c:extLst>
                <c:ext xmlns:c15="http://schemas.microsoft.com/office/drawing/2012/chart" uri="{CE6537A1-D6FC-4f65-9D91-7224C49458BB}"/>
              </c:extLst>
            </c:dLbl>
            <c:dLbl>
              <c:idx val="30"/>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Comp.graph!$C$237:$AG$237</c:f>
              <c:strCache>
                <c:ptCount val="31"/>
                <c:pt idx="0">
                  <c:v>FY16</c:v>
                </c:pt>
                <c:pt idx="1">
                  <c:v>FY17</c:v>
                </c:pt>
                <c:pt idx="2">
                  <c:v>FY18</c:v>
                </c:pt>
                <c:pt idx="3">
                  <c:v>FY19</c:v>
                </c:pt>
                <c:pt idx="4">
                  <c:v>FY20</c:v>
                </c:pt>
                <c:pt idx="5">
                  <c:v>FY21</c:v>
                </c:pt>
                <c:pt idx="6">
                  <c:v>FY22</c:v>
                </c:pt>
                <c:pt idx="7">
                  <c:v>FY23</c:v>
                </c:pt>
                <c:pt idx="8">
                  <c:v>FY24</c:v>
                </c:pt>
                <c:pt idx="9">
                  <c:v>FY25</c:v>
                </c:pt>
                <c:pt idx="10">
                  <c:v>FY26</c:v>
                </c:pt>
                <c:pt idx="11">
                  <c:v>FY27</c:v>
                </c:pt>
                <c:pt idx="12">
                  <c:v>FY28</c:v>
                </c:pt>
                <c:pt idx="13">
                  <c:v>FY29</c:v>
                </c:pt>
                <c:pt idx="14">
                  <c:v>FY30</c:v>
                </c:pt>
                <c:pt idx="15">
                  <c:v>FY31</c:v>
                </c:pt>
                <c:pt idx="16">
                  <c:v>FY32</c:v>
                </c:pt>
                <c:pt idx="17">
                  <c:v>FY33</c:v>
                </c:pt>
                <c:pt idx="18">
                  <c:v>FY34</c:v>
                </c:pt>
                <c:pt idx="19">
                  <c:v>FY35</c:v>
                </c:pt>
                <c:pt idx="20">
                  <c:v>FY36</c:v>
                </c:pt>
                <c:pt idx="21">
                  <c:v>FY37</c:v>
                </c:pt>
                <c:pt idx="22">
                  <c:v>FY38</c:v>
                </c:pt>
                <c:pt idx="23">
                  <c:v>FY39</c:v>
                </c:pt>
                <c:pt idx="24">
                  <c:v>FY40</c:v>
                </c:pt>
                <c:pt idx="25">
                  <c:v>FY41</c:v>
                </c:pt>
                <c:pt idx="26">
                  <c:v>FY42</c:v>
                </c:pt>
                <c:pt idx="27">
                  <c:v>FY43</c:v>
                </c:pt>
                <c:pt idx="28">
                  <c:v>FY44</c:v>
                </c:pt>
                <c:pt idx="29">
                  <c:v>FY45</c:v>
                </c:pt>
                <c:pt idx="30">
                  <c:v>FY46</c:v>
                </c:pt>
              </c:strCache>
            </c:strRef>
          </c:cat>
          <c:val>
            <c:numRef>
              <c:f>Comp.graph!$C$238:$AG$238</c:f>
              <c:numCache>
                <c:formatCode>0.00</c:formatCode>
                <c:ptCount val="31"/>
                <c:pt idx="0">
                  <c:v>30.1</c:v>
                </c:pt>
                <c:pt idx="1">
                  <c:v>31.0</c:v>
                </c:pt>
                <c:pt idx="2">
                  <c:v>31.79999999999999</c:v>
                </c:pt>
                <c:pt idx="3">
                  <c:v>33.88</c:v>
                </c:pt>
                <c:pt idx="4">
                  <c:v>35.15</c:v>
                </c:pt>
                <c:pt idx="5">
                  <c:v>35.3682</c:v>
                </c:pt>
                <c:pt idx="6">
                  <c:v>35.58704999999992</c:v>
                </c:pt>
                <c:pt idx="7">
                  <c:v>35.80654999999984</c:v>
                </c:pt>
                <c:pt idx="8">
                  <c:v>36.02669999999981</c:v>
                </c:pt>
                <c:pt idx="9">
                  <c:v>36.24749999999965</c:v>
                </c:pt>
                <c:pt idx="10">
                  <c:v>36.46894999999982</c:v>
                </c:pt>
                <c:pt idx="11">
                  <c:v>36.69104999999958</c:v>
                </c:pt>
                <c:pt idx="12">
                  <c:v>36.91379999999941</c:v>
                </c:pt>
                <c:pt idx="13">
                  <c:v>37.13719999999955</c:v>
                </c:pt>
                <c:pt idx="14">
                  <c:v>37.36124999999929</c:v>
                </c:pt>
                <c:pt idx="15">
                  <c:v>37.58594999999934</c:v>
                </c:pt>
                <c:pt idx="16">
                  <c:v>37.81129999999909</c:v>
                </c:pt>
                <c:pt idx="17">
                  <c:v>38.03729999999895</c:v>
                </c:pt>
                <c:pt idx="18">
                  <c:v>38.26394999999926</c:v>
                </c:pt>
                <c:pt idx="19">
                  <c:v>38.49124999999901</c:v>
                </c:pt>
                <c:pt idx="20">
                  <c:v>38.71919999999884</c:v>
                </c:pt>
                <c:pt idx="21">
                  <c:v>38.94779999999883</c:v>
                </c:pt>
                <c:pt idx="22">
                  <c:v>39.1770499999988</c:v>
                </c:pt>
                <c:pt idx="23">
                  <c:v>39.40694999999864</c:v>
                </c:pt>
                <c:pt idx="24">
                  <c:v>39.6374999999985</c:v>
                </c:pt>
                <c:pt idx="25">
                  <c:v>39.82234694637543</c:v>
                </c:pt>
                <c:pt idx="26">
                  <c:v>40.00552499999841</c:v>
                </c:pt>
                <c:pt idx="27">
                  <c:v>40.19002499999854</c:v>
                </c:pt>
                <c:pt idx="28">
                  <c:v>40.37484999999799</c:v>
                </c:pt>
                <c:pt idx="29">
                  <c:v>40.5599999999982</c:v>
                </c:pt>
                <c:pt idx="30">
                  <c:v>40.7454749999982</c:v>
                </c:pt>
              </c:numCache>
            </c:numRef>
          </c:val>
        </c:ser>
        <c:dLbls>
          <c:showLegendKey val="0"/>
          <c:showVal val="0"/>
          <c:showCatName val="0"/>
          <c:showSerName val="0"/>
          <c:showPercent val="0"/>
          <c:showBubbleSize val="0"/>
        </c:dLbls>
        <c:gapWidth val="75"/>
        <c:overlap val="-25"/>
        <c:axId val="-2133696632"/>
        <c:axId val="-2133852152"/>
      </c:barChart>
      <c:catAx>
        <c:axId val="-2133696632"/>
        <c:scaling>
          <c:orientation val="minMax"/>
        </c:scaling>
        <c:delete val="0"/>
        <c:axPos val="b"/>
        <c:numFmt formatCode="General" sourceLinked="0"/>
        <c:majorTickMark val="none"/>
        <c:minorTickMark val="none"/>
        <c:tickLblPos val="nextTo"/>
        <c:txPr>
          <a:bodyPr/>
          <a:lstStyle/>
          <a:p>
            <a:pPr>
              <a:defRPr sz="700"/>
            </a:pPr>
            <a:endParaRPr lang="en-US"/>
          </a:p>
        </c:txPr>
        <c:crossAx val="-2133852152"/>
        <c:crosses val="autoZero"/>
        <c:auto val="1"/>
        <c:lblAlgn val="ctr"/>
        <c:lblOffset val="100"/>
        <c:noMultiLvlLbl val="0"/>
      </c:catAx>
      <c:valAx>
        <c:axId val="-2133852152"/>
        <c:scaling>
          <c:orientation val="minMax"/>
        </c:scaling>
        <c:delete val="0"/>
        <c:axPos val="l"/>
        <c:majorGridlines/>
        <c:numFmt formatCode="0.00" sourceLinked="1"/>
        <c:majorTickMark val="none"/>
        <c:minorTickMark val="none"/>
        <c:tickLblPos val="nextTo"/>
        <c:spPr>
          <a:ln w="9525">
            <a:noFill/>
          </a:ln>
        </c:spPr>
        <c:txPr>
          <a:bodyPr/>
          <a:lstStyle/>
          <a:p>
            <a:pPr>
              <a:defRPr sz="700"/>
            </a:pPr>
            <a:endParaRPr lang="en-US"/>
          </a:p>
        </c:txPr>
        <c:crossAx val="-2133696632"/>
        <c:crosses val="autoZero"/>
        <c:crossBetween val="between"/>
        <c:majorUnit val="10.0"/>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065552914376269"/>
          <c:y val="0.0364963503649635"/>
          <c:w val="0.899855890655178"/>
          <c:h val="0.839822212004521"/>
        </c:manualLayout>
      </c:layout>
      <c:barChart>
        <c:barDir val="col"/>
        <c:grouping val="clustered"/>
        <c:varyColors val="0"/>
        <c:ser>
          <c:idx val="0"/>
          <c:order val="0"/>
          <c:invertIfNegative val="0"/>
          <c:dLbls>
            <c:dLbl>
              <c:idx val="4"/>
              <c:layout>
                <c:manualLayout>
                  <c:x val="-1.05362767514648E-16"/>
                  <c:y val="0.0207522697795071"/>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baseline="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2017'!$F$59:$F$63</c:f>
              <c:strCache>
                <c:ptCount val="5"/>
                <c:pt idx="0">
                  <c:v>1991-1995</c:v>
                </c:pt>
                <c:pt idx="1">
                  <c:v>1996-2000</c:v>
                </c:pt>
                <c:pt idx="2">
                  <c:v>2001-2005</c:v>
                </c:pt>
                <c:pt idx="3">
                  <c:v>2006-2010</c:v>
                </c:pt>
                <c:pt idx="4">
                  <c:v>2011-2016</c:v>
                </c:pt>
              </c:strCache>
            </c:strRef>
          </c:cat>
          <c:val>
            <c:numRef>
              <c:f>'Ease Of Doing Business 2017'!$G$59:$G$63</c:f>
              <c:numCache>
                <c:formatCode>General</c:formatCode>
                <c:ptCount val="5"/>
                <c:pt idx="0">
                  <c:v>4.4</c:v>
                </c:pt>
                <c:pt idx="1">
                  <c:v>5.2</c:v>
                </c:pt>
                <c:pt idx="2">
                  <c:v>5.4</c:v>
                </c:pt>
                <c:pt idx="3">
                  <c:v>6.0</c:v>
                </c:pt>
                <c:pt idx="4">
                  <c:v>6.4</c:v>
                </c:pt>
              </c:numCache>
            </c:numRef>
          </c:val>
        </c:ser>
        <c:dLbls>
          <c:dLblPos val="outEnd"/>
          <c:showLegendKey val="0"/>
          <c:showVal val="1"/>
          <c:showCatName val="0"/>
          <c:showSerName val="0"/>
          <c:showPercent val="0"/>
          <c:showBubbleSize val="0"/>
        </c:dLbls>
        <c:gapWidth val="150"/>
        <c:axId val="2091245304"/>
        <c:axId val="2091364488"/>
      </c:barChart>
      <c:catAx>
        <c:axId val="2091245304"/>
        <c:scaling>
          <c:orientation val="minMax"/>
        </c:scaling>
        <c:delete val="0"/>
        <c:axPos val="b"/>
        <c:numFmt formatCode="General" sourceLinked="0"/>
        <c:majorTickMark val="out"/>
        <c:minorTickMark val="none"/>
        <c:tickLblPos val="nextTo"/>
        <c:txPr>
          <a:bodyPr/>
          <a:lstStyle/>
          <a:p>
            <a:pPr>
              <a:defRPr sz="1000" baseline="0"/>
            </a:pPr>
            <a:endParaRPr lang="en-US"/>
          </a:p>
        </c:txPr>
        <c:crossAx val="2091364488"/>
        <c:crosses val="autoZero"/>
        <c:auto val="1"/>
        <c:lblAlgn val="ctr"/>
        <c:lblOffset val="100"/>
        <c:noMultiLvlLbl val="0"/>
      </c:catAx>
      <c:valAx>
        <c:axId val="2091364488"/>
        <c:scaling>
          <c:orientation val="minMax"/>
        </c:scaling>
        <c:delete val="0"/>
        <c:axPos val="l"/>
        <c:numFmt formatCode="General" sourceLinked="1"/>
        <c:majorTickMark val="out"/>
        <c:minorTickMark val="none"/>
        <c:tickLblPos val="nextTo"/>
        <c:crossAx val="2091245304"/>
        <c:crosses val="autoZero"/>
        <c:crossBetween val="between"/>
      </c:valAx>
      <c:spPr>
        <a:solidFill>
          <a:schemeClr val="lt1"/>
        </a:solidFill>
        <a:ln w="25400" cap="flat" cmpd="sng" algn="ctr">
          <a:solidFill>
            <a:schemeClr val="accent2"/>
          </a:solidFill>
          <a:prstDash val="solid"/>
        </a:ln>
        <a:effectLst/>
      </c:spPr>
    </c:plotArea>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manualLayout>
          <c:layoutTarget val="inner"/>
          <c:xMode val="edge"/>
          <c:yMode val="edge"/>
          <c:x val="0.119820866141732"/>
          <c:y val="0.0231481481481481"/>
          <c:w val="0.835345800524934"/>
          <c:h val="0.88402012248469"/>
        </c:manualLayout>
      </c:layout>
      <c:barChart>
        <c:barDir val="bar"/>
        <c:grouping val="clustered"/>
        <c:varyColors val="0"/>
        <c:ser>
          <c:idx val="0"/>
          <c:order val="0"/>
          <c:invertIfNegative val="0"/>
          <c:dLbls>
            <c:spPr>
              <a:noFill/>
              <a:ln>
                <a:noFill/>
              </a:ln>
              <a:effectLst/>
            </c:spPr>
            <c:txPr>
              <a:bodyPr/>
              <a:lstStyle/>
              <a:p>
                <a:pPr>
                  <a:defRPr sz="1000" baseline="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2017'!$F$67:$F$70</c:f>
              <c:strCache>
                <c:ptCount val="4"/>
                <c:pt idx="0">
                  <c:v>FY1990</c:v>
                </c:pt>
                <c:pt idx="1">
                  <c:v>FY2000</c:v>
                </c:pt>
                <c:pt idx="2">
                  <c:v>FY2010</c:v>
                </c:pt>
                <c:pt idx="3">
                  <c:v>FY2016</c:v>
                </c:pt>
              </c:strCache>
            </c:strRef>
          </c:cat>
          <c:val>
            <c:numRef>
              <c:f>'Ease Of Doing Business 2017'!$G$67:$G$70</c:f>
              <c:numCache>
                <c:formatCode>General</c:formatCode>
                <c:ptCount val="4"/>
                <c:pt idx="0">
                  <c:v>334.0</c:v>
                </c:pt>
                <c:pt idx="1">
                  <c:v>429.0</c:v>
                </c:pt>
                <c:pt idx="2">
                  <c:v>890.0</c:v>
                </c:pt>
                <c:pt idx="3">
                  <c:v>1384.0</c:v>
                </c:pt>
              </c:numCache>
            </c:numRef>
          </c:val>
        </c:ser>
        <c:dLbls>
          <c:dLblPos val="outEnd"/>
          <c:showLegendKey val="0"/>
          <c:showVal val="1"/>
          <c:showCatName val="0"/>
          <c:showSerName val="0"/>
          <c:showPercent val="0"/>
          <c:showBubbleSize val="0"/>
        </c:dLbls>
        <c:gapWidth val="150"/>
        <c:axId val="-2133724216"/>
        <c:axId val="-2133834840"/>
      </c:barChart>
      <c:catAx>
        <c:axId val="-2133724216"/>
        <c:scaling>
          <c:orientation val="minMax"/>
        </c:scaling>
        <c:delete val="0"/>
        <c:axPos val="l"/>
        <c:numFmt formatCode="General" sourceLinked="1"/>
        <c:majorTickMark val="out"/>
        <c:minorTickMark val="none"/>
        <c:tickLblPos val="nextTo"/>
        <c:txPr>
          <a:bodyPr/>
          <a:lstStyle/>
          <a:p>
            <a:pPr>
              <a:defRPr sz="1000"/>
            </a:pPr>
            <a:endParaRPr lang="en-US"/>
          </a:p>
        </c:txPr>
        <c:crossAx val="-2133834840"/>
        <c:crosses val="autoZero"/>
        <c:auto val="1"/>
        <c:lblAlgn val="ctr"/>
        <c:lblOffset val="100"/>
        <c:noMultiLvlLbl val="0"/>
      </c:catAx>
      <c:valAx>
        <c:axId val="-2133834840"/>
        <c:scaling>
          <c:orientation val="minMax"/>
        </c:scaling>
        <c:delete val="0"/>
        <c:axPos val="b"/>
        <c:numFmt formatCode="General" sourceLinked="1"/>
        <c:majorTickMark val="out"/>
        <c:minorTickMark val="none"/>
        <c:tickLblPos val="nextTo"/>
        <c:txPr>
          <a:bodyPr/>
          <a:lstStyle/>
          <a:p>
            <a:pPr>
              <a:defRPr sz="1000"/>
            </a:pPr>
            <a:endParaRPr lang="en-US"/>
          </a:p>
        </c:txPr>
        <c:crossAx val="-2133724216"/>
        <c:crosses val="autoZero"/>
        <c:crossBetween val="between"/>
      </c:valAx>
      <c:spPr>
        <a:noFill/>
        <a:ln w="25400">
          <a:noFill/>
        </a:ln>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0719884076990376"/>
          <c:y val="0.223497375328084"/>
          <c:w val="0.897456036745407"/>
          <c:h val="0.665152376786235"/>
        </c:manualLayout>
      </c:layout>
      <c:barChart>
        <c:barDir val="col"/>
        <c:grouping val="clustered"/>
        <c:varyColors val="0"/>
        <c:ser>
          <c:idx val="0"/>
          <c:order val="0"/>
          <c:tx>
            <c:strRef>
              <c:f>'Ease Of Doing Business 2017'!$F$73</c:f>
              <c:strCache>
                <c:ptCount val="1"/>
                <c:pt idx="0">
                  <c:v>Total</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2017'!$E$74:$E$77</c:f>
              <c:strCache>
                <c:ptCount val="4"/>
                <c:pt idx="0">
                  <c:v>FY1990</c:v>
                </c:pt>
                <c:pt idx="1">
                  <c:v>FY2000</c:v>
                </c:pt>
                <c:pt idx="2">
                  <c:v>FY2010</c:v>
                </c:pt>
                <c:pt idx="3">
                  <c:v>FY2016</c:v>
                </c:pt>
              </c:strCache>
            </c:strRef>
          </c:cat>
          <c:val>
            <c:numRef>
              <c:f>'Ease Of Doing Business 2017'!$F$74:$F$77</c:f>
              <c:numCache>
                <c:formatCode>General</c:formatCode>
                <c:ptCount val="4"/>
                <c:pt idx="0">
                  <c:v>17.0</c:v>
                </c:pt>
                <c:pt idx="1">
                  <c:v>23.0</c:v>
                </c:pt>
                <c:pt idx="2">
                  <c:v>26.3</c:v>
                </c:pt>
                <c:pt idx="3">
                  <c:v>29.4</c:v>
                </c:pt>
              </c:numCache>
            </c:numRef>
          </c:val>
        </c:ser>
        <c:ser>
          <c:idx val="1"/>
          <c:order val="1"/>
          <c:tx>
            <c:strRef>
              <c:f>'Ease Of Doing Business 2017'!$G$73</c:f>
              <c:strCache>
                <c:ptCount val="1"/>
                <c:pt idx="0">
                  <c:v>Private</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2017'!$E$74:$E$77</c:f>
              <c:strCache>
                <c:ptCount val="4"/>
                <c:pt idx="0">
                  <c:v>FY1990</c:v>
                </c:pt>
                <c:pt idx="1">
                  <c:v>FY2000</c:v>
                </c:pt>
                <c:pt idx="2">
                  <c:v>FY2010</c:v>
                </c:pt>
                <c:pt idx="3">
                  <c:v>FY2016</c:v>
                </c:pt>
              </c:strCache>
            </c:strRef>
          </c:cat>
          <c:val>
            <c:numRef>
              <c:f>'Ease Of Doing Business 2017'!$G$74:$G$77</c:f>
              <c:numCache>
                <c:formatCode>General</c:formatCode>
                <c:ptCount val="4"/>
                <c:pt idx="0">
                  <c:v>10.6</c:v>
                </c:pt>
                <c:pt idx="1">
                  <c:v>15.2</c:v>
                </c:pt>
                <c:pt idx="2">
                  <c:v>21.6</c:v>
                </c:pt>
                <c:pt idx="3">
                  <c:v>21.8</c:v>
                </c:pt>
              </c:numCache>
            </c:numRef>
          </c:val>
        </c:ser>
        <c:ser>
          <c:idx val="2"/>
          <c:order val="2"/>
          <c:tx>
            <c:strRef>
              <c:f>'Ease Of Doing Business 2017'!$H$73</c:f>
              <c:strCache>
                <c:ptCount val="1"/>
                <c:pt idx="0">
                  <c:v>Public</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2017'!$E$74:$E$77</c:f>
              <c:strCache>
                <c:ptCount val="4"/>
                <c:pt idx="0">
                  <c:v>FY1990</c:v>
                </c:pt>
                <c:pt idx="1">
                  <c:v>FY2000</c:v>
                </c:pt>
                <c:pt idx="2">
                  <c:v>FY2010</c:v>
                </c:pt>
                <c:pt idx="3">
                  <c:v>FY2016</c:v>
                </c:pt>
              </c:strCache>
            </c:strRef>
          </c:cat>
          <c:val>
            <c:numRef>
              <c:f>'Ease Of Doing Business 2017'!$H$74:$H$77</c:f>
              <c:numCache>
                <c:formatCode>General</c:formatCode>
                <c:ptCount val="4"/>
                <c:pt idx="0">
                  <c:v>6.4</c:v>
                </c:pt>
                <c:pt idx="1">
                  <c:v>7.8</c:v>
                </c:pt>
                <c:pt idx="2">
                  <c:v>4.7</c:v>
                </c:pt>
                <c:pt idx="3">
                  <c:v>7.6</c:v>
                </c:pt>
              </c:numCache>
            </c:numRef>
          </c:val>
        </c:ser>
        <c:dLbls>
          <c:dLblPos val="outEnd"/>
          <c:showLegendKey val="0"/>
          <c:showVal val="1"/>
          <c:showCatName val="0"/>
          <c:showSerName val="0"/>
          <c:showPercent val="0"/>
          <c:showBubbleSize val="0"/>
        </c:dLbls>
        <c:gapWidth val="150"/>
        <c:axId val="2091195976"/>
        <c:axId val="2090962264"/>
      </c:barChart>
      <c:catAx>
        <c:axId val="2091195976"/>
        <c:scaling>
          <c:orientation val="minMax"/>
        </c:scaling>
        <c:delete val="0"/>
        <c:axPos val="b"/>
        <c:numFmt formatCode="General" sourceLinked="1"/>
        <c:majorTickMark val="out"/>
        <c:minorTickMark val="none"/>
        <c:tickLblPos val="nextTo"/>
        <c:crossAx val="2090962264"/>
        <c:crosses val="autoZero"/>
        <c:auto val="1"/>
        <c:lblAlgn val="ctr"/>
        <c:lblOffset val="100"/>
        <c:noMultiLvlLbl val="0"/>
      </c:catAx>
      <c:valAx>
        <c:axId val="2090962264"/>
        <c:scaling>
          <c:orientation val="minMax"/>
        </c:scaling>
        <c:delete val="0"/>
        <c:axPos val="l"/>
        <c:numFmt formatCode="General" sourceLinked="1"/>
        <c:majorTickMark val="out"/>
        <c:minorTickMark val="none"/>
        <c:tickLblPos val="nextTo"/>
        <c:crossAx val="2091195976"/>
        <c:crosses val="autoZero"/>
        <c:crossBetween val="between"/>
      </c:valAx>
    </c:plotArea>
    <c:legend>
      <c:legendPos val="t"/>
      <c:layout>
        <c:manualLayout>
          <c:xMode val="edge"/>
          <c:yMode val="edge"/>
          <c:x val="0.315683089020987"/>
          <c:y val="0.111527777777778"/>
          <c:w val="0.394984283091096"/>
          <c:h val="0.0837171916010499"/>
        </c:manualLayout>
      </c:layout>
      <c:overlay val="0"/>
    </c:legend>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lineChart>
        <c:grouping val="standard"/>
        <c:varyColors val="0"/>
        <c:ser>
          <c:idx val="0"/>
          <c:order val="0"/>
          <c:marker>
            <c:symbol val="none"/>
          </c:marker>
          <c:dLbls>
            <c:dLbl>
              <c:idx val="1"/>
              <c:layout>
                <c:manualLayout>
                  <c:x val="-0.0101026203691752"/>
                  <c:y val="0.0487692307692308"/>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0.0510862269265522"/>
                  <c:y val="0.0564615384615385"/>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0.0538184673637107"/>
                  <c:y val="0.0615897435897436"/>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'Ease Of Doing Business 2017'!$E$80:$E$87</c:f>
              <c:strCache>
                <c:ptCount val="8"/>
                <c:pt idx="0">
                  <c:v>FY2009</c:v>
                </c:pt>
                <c:pt idx="1">
                  <c:v>FY2010</c:v>
                </c:pt>
                <c:pt idx="2">
                  <c:v>FY2011</c:v>
                </c:pt>
                <c:pt idx="3">
                  <c:v>FY2012</c:v>
                </c:pt>
                <c:pt idx="4">
                  <c:v>FY2013</c:v>
                </c:pt>
                <c:pt idx="5">
                  <c:v>FY2014</c:v>
                </c:pt>
                <c:pt idx="6">
                  <c:v>FY2015</c:v>
                </c:pt>
                <c:pt idx="7">
                  <c:v>FY2016</c:v>
                </c:pt>
              </c:strCache>
            </c:strRef>
          </c:cat>
          <c:val>
            <c:numRef>
              <c:f>'Ease Of Doing Business 2017'!$F$80:$F$87</c:f>
              <c:numCache>
                <c:formatCode>General</c:formatCode>
                <c:ptCount val="8"/>
                <c:pt idx="0">
                  <c:v>20.0</c:v>
                </c:pt>
                <c:pt idx="1">
                  <c:v>21.6</c:v>
                </c:pt>
                <c:pt idx="2">
                  <c:v>22.2</c:v>
                </c:pt>
                <c:pt idx="3">
                  <c:v>22.5</c:v>
                </c:pt>
                <c:pt idx="4">
                  <c:v>21.8</c:v>
                </c:pt>
                <c:pt idx="5">
                  <c:v>22.0</c:v>
                </c:pt>
                <c:pt idx="6">
                  <c:v>22.1</c:v>
                </c:pt>
                <c:pt idx="7">
                  <c:v>21.8</c:v>
                </c:pt>
              </c:numCache>
            </c:numRef>
          </c:val>
          <c:smooth val="0"/>
        </c:ser>
        <c:dLbls>
          <c:dLblPos val="b"/>
          <c:showLegendKey val="0"/>
          <c:showVal val="1"/>
          <c:showCatName val="0"/>
          <c:showSerName val="0"/>
          <c:showPercent val="0"/>
          <c:showBubbleSize val="0"/>
        </c:dLbls>
        <c:marker val="1"/>
        <c:smooth val="0"/>
        <c:axId val="2091286984"/>
        <c:axId val="2094758088"/>
      </c:lineChart>
      <c:catAx>
        <c:axId val="2091286984"/>
        <c:scaling>
          <c:orientation val="minMax"/>
        </c:scaling>
        <c:delete val="0"/>
        <c:axPos val="b"/>
        <c:numFmt formatCode="General" sourceLinked="0"/>
        <c:majorTickMark val="out"/>
        <c:minorTickMark val="none"/>
        <c:tickLblPos val="nextTo"/>
        <c:crossAx val="2094758088"/>
        <c:crosses val="autoZero"/>
        <c:auto val="1"/>
        <c:lblAlgn val="ctr"/>
        <c:lblOffset val="100"/>
        <c:noMultiLvlLbl val="0"/>
      </c:catAx>
      <c:valAx>
        <c:axId val="2094758088"/>
        <c:scaling>
          <c:orientation val="minMax"/>
        </c:scaling>
        <c:delete val="0"/>
        <c:axPos val="l"/>
        <c:numFmt formatCode="General" sourceLinked="1"/>
        <c:majorTickMark val="out"/>
        <c:minorTickMark val="none"/>
        <c:tickLblPos val="nextTo"/>
        <c:crossAx val="2091286984"/>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sz="900">
          <a:solidFill>
            <a:schemeClr val="dk1"/>
          </a:solidFill>
          <a:latin typeface="+mn-lt"/>
          <a:ea typeface="+mn-ea"/>
          <a:cs typeface="+mn-cs"/>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163408453254"/>
          <c:y val="0.131359450970268"/>
          <c:w val="0.795227396144448"/>
          <c:h val="0.76536764993928"/>
        </c:manualLayout>
      </c:layout>
      <c:barChart>
        <c:barDir val="col"/>
        <c:grouping val="clustered"/>
        <c:varyColors val="0"/>
        <c:ser>
          <c:idx val="0"/>
          <c:order val="0"/>
          <c:spPr>
            <a:solidFill>
              <a:srgbClr val="FF0000"/>
            </a:solidFill>
          </c:spPr>
          <c:invertIfNegative val="0"/>
          <c:dLbls>
            <c:spPr>
              <a:noFill/>
              <a:ln>
                <a:noFill/>
              </a:ln>
              <a:effectLst/>
            </c:spPr>
            <c:txPr>
              <a:bodyPr/>
              <a:lstStyle/>
              <a:p>
                <a:pPr>
                  <a:defRPr sz="10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exp"/>
            <c:dispRSqr val="0"/>
            <c:dispEq val="0"/>
          </c:trendline>
          <c:trendline>
            <c:spPr>
              <a:ln w="19050"/>
            </c:spPr>
            <c:trendlineType val="exp"/>
            <c:dispRSqr val="0"/>
            <c:dispEq val="0"/>
          </c:trendline>
          <c:cat>
            <c:strRef>
              <c:f>'Ease Of Doing Business 2017'!$I$112:$I$113</c:f>
              <c:strCache>
                <c:ptCount val="2"/>
                <c:pt idx="0">
                  <c:v>FY2016</c:v>
                </c:pt>
                <c:pt idx="1">
                  <c:v>FY2030</c:v>
                </c:pt>
              </c:strCache>
            </c:strRef>
          </c:cat>
          <c:val>
            <c:numRef>
              <c:f>'Ease Of Doing Business 2017'!$J$112:$J$113</c:f>
              <c:numCache>
                <c:formatCode>General</c:formatCode>
                <c:ptCount val="2"/>
                <c:pt idx="0">
                  <c:v>1384.0</c:v>
                </c:pt>
                <c:pt idx="1">
                  <c:v>5277.0</c:v>
                </c:pt>
              </c:numCache>
            </c:numRef>
          </c:val>
        </c:ser>
        <c:dLbls>
          <c:dLblPos val="outEnd"/>
          <c:showLegendKey val="0"/>
          <c:showVal val="1"/>
          <c:showCatName val="0"/>
          <c:showSerName val="0"/>
          <c:showPercent val="0"/>
          <c:showBubbleSize val="0"/>
        </c:dLbls>
        <c:gapWidth val="150"/>
        <c:axId val="-2133538760"/>
        <c:axId val="-2133535784"/>
      </c:barChart>
      <c:catAx>
        <c:axId val="-2133538760"/>
        <c:scaling>
          <c:orientation val="minMax"/>
        </c:scaling>
        <c:delete val="0"/>
        <c:axPos val="b"/>
        <c:numFmt formatCode="General" sourceLinked="0"/>
        <c:majorTickMark val="out"/>
        <c:minorTickMark val="none"/>
        <c:tickLblPos val="nextTo"/>
        <c:txPr>
          <a:bodyPr/>
          <a:lstStyle/>
          <a:p>
            <a:pPr>
              <a:defRPr sz="1000"/>
            </a:pPr>
            <a:endParaRPr lang="en-US"/>
          </a:p>
        </c:txPr>
        <c:crossAx val="-2133535784"/>
        <c:crosses val="autoZero"/>
        <c:auto val="1"/>
        <c:lblAlgn val="ctr"/>
        <c:lblOffset val="100"/>
        <c:noMultiLvlLbl val="0"/>
      </c:catAx>
      <c:valAx>
        <c:axId val="-2133535784"/>
        <c:scaling>
          <c:orientation val="minMax"/>
        </c:scaling>
        <c:delete val="0"/>
        <c:axPos val="l"/>
        <c:title>
          <c:tx>
            <c:rich>
              <a:bodyPr rot="-5400000" vert="horz"/>
              <a:lstStyle/>
              <a:p>
                <a:pPr>
                  <a:defRPr sz="1050"/>
                </a:pPr>
                <a:r>
                  <a:rPr lang="en-US" sz="1050" dirty="0"/>
                  <a:t>Per capita income USD</a:t>
                </a:r>
              </a:p>
            </c:rich>
          </c:tx>
          <c:layout/>
          <c:overlay val="0"/>
        </c:title>
        <c:numFmt formatCode="General" sourceLinked="1"/>
        <c:majorTickMark val="out"/>
        <c:minorTickMark val="none"/>
        <c:tickLblPos val="nextTo"/>
        <c:txPr>
          <a:bodyPr/>
          <a:lstStyle/>
          <a:p>
            <a:pPr>
              <a:defRPr sz="1000"/>
            </a:pPr>
            <a:endParaRPr lang="en-US"/>
          </a:p>
        </c:txPr>
        <c:crossAx val="-2133538760"/>
        <c:crosses val="autoZero"/>
        <c:crossBetween val="between"/>
      </c:valAx>
    </c:plotArea>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36077142531097"/>
          <c:y val="0.195317124262516"/>
          <c:w val="0.890885039370079"/>
          <c:h val="0.697521315352099"/>
        </c:manualLayout>
      </c:layout>
      <c:lineChart>
        <c:grouping val="standard"/>
        <c:varyColors val="0"/>
        <c:ser>
          <c:idx val="0"/>
          <c:order val="0"/>
          <c:tx>
            <c:strRef>
              <c:f>'Inflows by Area'!$B$4</c:f>
              <c:strCache>
                <c:ptCount val="1"/>
                <c:pt idx="0">
                  <c:v>(Million USD)</c:v>
                </c:pt>
              </c:strCache>
            </c:strRef>
          </c:tx>
          <c:marker>
            <c:symbol val="none"/>
          </c:marker>
          <c:cat>
            <c:numRef>
              <c:f>'Inflows by Area'!$C$3:$V$3</c:f>
              <c:numCache>
                <c:formatCode>General</c:formatCode>
                <c:ptCount val="20"/>
                <c:pt idx="0">
                  <c:v>1996.0</c:v>
                </c:pt>
                <c:pt idx="1">
                  <c:v>1997.0</c:v>
                </c:pt>
                <c:pt idx="2">
                  <c:v>1998.0</c:v>
                </c:pt>
                <c:pt idx="3">
                  <c:v>1999.0</c:v>
                </c:pt>
                <c:pt idx="4">
                  <c:v>2000.0</c:v>
                </c:pt>
                <c:pt idx="5">
                  <c:v>2001.0</c:v>
                </c:pt>
                <c:pt idx="6">
                  <c:v>2002.0</c:v>
                </c:pt>
                <c:pt idx="7">
                  <c:v>2003.0</c:v>
                </c:pt>
                <c:pt idx="8">
                  <c:v>2004.0</c:v>
                </c:pt>
                <c:pt idx="9">
                  <c:v>2005.0</c:v>
                </c:pt>
                <c:pt idx="10">
                  <c:v>2006.0</c:v>
                </c:pt>
                <c:pt idx="11">
                  <c:v>2007.0</c:v>
                </c:pt>
                <c:pt idx="12">
                  <c:v>2008.0</c:v>
                </c:pt>
                <c:pt idx="13">
                  <c:v>2009.0</c:v>
                </c:pt>
                <c:pt idx="14">
                  <c:v>2010.0</c:v>
                </c:pt>
                <c:pt idx="15">
                  <c:v>2011.0</c:v>
                </c:pt>
                <c:pt idx="16">
                  <c:v>2012.0</c:v>
                </c:pt>
                <c:pt idx="17">
                  <c:v>2013.0</c:v>
                </c:pt>
                <c:pt idx="18">
                  <c:v>2014.0</c:v>
                </c:pt>
                <c:pt idx="19">
                  <c:v>2015.0</c:v>
                </c:pt>
              </c:numCache>
            </c:numRef>
          </c:cat>
          <c:val>
            <c:numRef>
              <c:f>'Inflows by Area'!$C$4:$V$4</c:f>
              <c:numCache>
                <c:formatCode>General</c:formatCode>
                <c:ptCount val="20"/>
              </c:numCache>
            </c:numRef>
          </c:val>
          <c:smooth val="0"/>
        </c:ser>
        <c:ser>
          <c:idx val="1"/>
          <c:order val="1"/>
          <c:tx>
            <c:strRef>
              <c:f>'Inflows by Area'!$B$5</c:f>
              <c:strCache>
                <c:ptCount val="1"/>
                <c:pt idx="0">
                  <c:v>EPZ</c:v>
                </c:pt>
              </c:strCache>
            </c:strRef>
          </c:tx>
          <c:spPr>
            <a:ln w="44450">
              <a:solidFill>
                <a:srgbClr val="FF0000"/>
              </a:solidFill>
              <a:prstDash val="sysDot"/>
            </a:ln>
          </c:spPr>
          <c:marker>
            <c:symbol val="none"/>
          </c:marker>
          <c:cat>
            <c:numRef>
              <c:f>'Inflows by Area'!$C$3:$V$3</c:f>
              <c:numCache>
                <c:formatCode>General</c:formatCode>
                <c:ptCount val="20"/>
                <c:pt idx="0">
                  <c:v>1996.0</c:v>
                </c:pt>
                <c:pt idx="1">
                  <c:v>1997.0</c:v>
                </c:pt>
                <c:pt idx="2">
                  <c:v>1998.0</c:v>
                </c:pt>
                <c:pt idx="3">
                  <c:v>1999.0</c:v>
                </c:pt>
                <c:pt idx="4">
                  <c:v>2000.0</c:v>
                </c:pt>
                <c:pt idx="5">
                  <c:v>2001.0</c:v>
                </c:pt>
                <c:pt idx="6">
                  <c:v>2002.0</c:v>
                </c:pt>
                <c:pt idx="7">
                  <c:v>2003.0</c:v>
                </c:pt>
                <c:pt idx="8">
                  <c:v>2004.0</c:v>
                </c:pt>
                <c:pt idx="9">
                  <c:v>2005.0</c:v>
                </c:pt>
                <c:pt idx="10">
                  <c:v>2006.0</c:v>
                </c:pt>
                <c:pt idx="11">
                  <c:v>2007.0</c:v>
                </c:pt>
                <c:pt idx="12">
                  <c:v>2008.0</c:v>
                </c:pt>
                <c:pt idx="13">
                  <c:v>2009.0</c:v>
                </c:pt>
                <c:pt idx="14">
                  <c:v>2010.0</c:v>
                </c:pt>
                <c:pt idx="15">
                  <c:v>2011.0</c:v>
                </c:pt>
                <c:pt idx="16">
                  <c:v>2012.0</c:v>
                </c:pt>
                <c:pt idx="17">
                  <c:v>2013.0</c:v>
                </c:pt>
                <c:pt idx="18">
                  <c:v>2014.0</c:v>
                </c:pt>
                <c:pt idx="19">
                  <c:v>2015.0</c:v>
                </c:pt>
              </c:numCache>
            </c:numRef>
          </c:cat>
          <c:val>
            <c:numRef>
              <c:f>'Inflows by Area'!$C$5:$V$5</c:f>
              <c:numCache>
                <c:formatCode>General</c:formatCode>
                <c:ptCount val="20"/>
                <c:pt idx="0">
                  <c:v>42.31</c:v>
                </c:pt>
                <c:pt idx="1">
                  <c:v>69.25</c:v>
                </c:pt>
                <c:pt idx="2">
                  <c:v>88.31</c:v>
                </c:pt>
                <c:pt idx="3">
                  <c:v>154.43</c:v>
                </c:pt>
                <c:pt idx="4">
                  <c:v>81.2</c:v>
                </c:pt>
                <c:pt idx="5">
                  <c:v>56.1</c:v>
                </c:pt>
                <c:pt idx="6">
                  <c:v>87.5</c:v>
                </c:pt>
                <c:pt idx="7">
                  <c:v>59.3</c:v>
                </c:pt>
                <c:pt idx="8">
                  <c:v>42.7</c:v>
                </c:pt>
                <c:pt idx="9">
                  <c:v>110.8</c:v>
                </c:pt>
                <c:pt idx="10">
                  <c:v>71.1</c:v>
                </c:pt>
                <c:pt idx="11">
                  <c:v>105.4</c:v>
                </c:pt>
                <c:pt idx="12">
                  <c:v>118.6</c:v>
                </c:pt>
                <c:pt idx="13">
                  <c:v>141.9</c:v>
                </c:pt>
                <c:pt idx="14">
                  <c:v>118.2</c:v>
                </c:pt>
                <c:pt idx="15">
                  <c:v>228.1</c:v>
                </c:pt>
                <c:pt idx="16">
                  <c:v>347.07</c:v>
                </c:pt>
                <c:pt idx="17">
                  <c:v>352.07</c:v>
                </c:pt>
                <c:pt idx="18">
                  <c:v>550.54</c:v>
                </c:pt>
                <c:pt idx="19">
                  <c:v>406.66</c:v>
                </c:pt>
              </c:numCache>
            </c:numRef>
          </c:val>
          <c:smooth val="0"/>
        </c:ser>
        <c:ser>
          <c:idx val="2"/>
          <c:order val="2"/>
          <c:tx>
            <c:strRef>
              <c:f>'Inflows by Area'!$B$6</c:f>
              <c:strCache>
                <c:ptCount val="1"/>
                <c:pt idx="0">
                  <c:v>Non-EPZ</c:v>
                </c:pt>
              </c:strCache>
            </c:strRef>
          </c:tx>
          <c:spPr>
            <a:ln w="41275"/>
          </c:spPr>
          <c:marker>
            <c:symbol val="none"/>
          </c:marker>
          <c:cat>
            <c:numRef>
              <c:f>'Inflows by Area'!$C$3:$V$3</c:f>
              <c:numCache>
                <c:formatCode>General</c:formatCode>
                <c:ptCount val="20"/>
                <c:pt idx="0">
                  <c:v>1996.0</c:v>
                </c:pt>
                <c:pt idx="1">
                  <c:v>1997.0</c:v>
                </c:pt>
                <c:pt idx="2">
                  <c:v>1998.0</c:v>
                </c:pt>
                <c:pt idx="3">
                  <c:v>1999.0</c:v>
                </c:pt>
                <c:pt idx="4">
                  <c:v>2000.0</c:v>
                </c:pt>
                <c:pt idx="5">
                  <c:v>2001.0</c:v>
                </c:pt>
                <c:pt idx="6">
                  <c:v>2002.0</c:v>
                </c:pt>
                <c:pt idx="7">
                  <c:v>2003.0</c:v>
                </c:pt>
                <c:pt idx="8">
                  <c:v>2004.0</c:v>
                </c:pt>
                <c:pt idx="9">
                  <c:v>2005.0</c:v>
                </c:pt>
                <c:pt idx="10">
                  <c:v>2006.0</c:v>
                </c:pt>
                <c:pt idx="11">
                  <c:v>2007.0</c:v>
                </c:pt>
                <c:pt idx="12">
                  <c:v>2008.0</c:v>
                </c:pt>
                <c:pt idx="13">
                  <c:v>2009.0</c:v>
                </c:pt>
                <c:pt idx="14">
                  <c:v>2010.0</c:v>
                </c:pt>
                <c:pt idx="15">
                  <c:v>2011.0</c:v>
                </c:pt>
                <c:pt idx="16">
                  <c:v>2012.0</c:v>
                </c:pt>
                <c:pt idx="17">
                  <c:v>2013.0</c:v>
                </c:pt>
                <c:pt idx="18">
                  <c:v>2014.0</c:v>
                </c:pt>
                <c:pt idx="19">
                  <c:v>2015.0</c:v>
                </c:pt>
              </c:numCache>
            </c:numRef>
          </c:cat>
          <c:val>
            <c:numRef>
              <c:f>'Inflows by Area'!$C$6:$V$6</c:f>
              <c:numCache>
                <c:formatCode>General</c:formatCode>
                <c:ptCount val="20"/>
                <c:pt idx="0">
                  <c:v>189.3</c:v>
                </c:pt>
                <c:pt idx="1">
                  <c:v>506.1</c:v>
                </c:pt>
                <c:pt idx="2">
                  <c:v>488.2</c:v>
                </c:pt>
                <c:pt idx="3">
                  <c:v>154.7</c:v>
                </c:pt>
                <c:pt idx="4">
                  <c:v>497.4</c:v>
                </c:pt>
                <c:pt idx="5">
                  <c:v>298.3999999999996</c:v>
                </c:pt>
                <c:pt idx="6">
                  <c:v>247.9</c:v>
                </c:pt>
                <c:pt idx="7">
                  <c:v>290.8999999999996</c:v>
                </c:pt>
                <c:pt idx="8">
                  <c:v>417.7</c:v>
                </c:pt>
                <c:pt idx="9">
                  <c:v>734.4</c:v>
                </c:pt>
                <c:pt idx="10">
                  <c:v>721.4</c:v>
                </c:pt>
                <c:pt idx="11">
                  <c:v>560.9</c:v>
                </c:pt>
                <c:pt idx="12">
                  <c:v>967.7</c:v>
                </c:pt>
                <c:pt idx="13">
                  <c:v>558.3</c:v>
                </c:pt>
                <c:pt idx="14">
                  <c:v>795.2</c:v>
                </c:pt>
                <c:pt idx="15">
                  <c:v>908.4</c:v>
                </c:pt>
                <c:pt idx="16">
                  <c:v>942.49</c:v>
                </c:pt>
                <c:pt idx="17">
                  <c:v>1247.09</c:v>
                </c:pt>
                <c:pt idx="18">
                  <c:v>1000.66</c:v>
                </c:pt>
                <c:pt idx="19">
                  <c:v>1828.73</c:v>
                </c:pt>
              </c:numCache>
            </c:numRef>
          </c:val>
          <c:smooth val="0"/>
        </c:ser>
        <c:ser>
          <c:idx val="3"/>
          <c:order val="3"/>
          <c:tx>
            <c:strRef>
              <c:f>'Inflows by Area'!$B$7</c:f>
              <c:strCache>
                <c:ptCount val="1"/>
                <c:pt idx="0">
                  <c:v>Total</c:v>
                </c:pt>
              </c:strCache>
            </c:strRef>
          </c:tx>
          <c:spPr>
            <a:ln w="44450">
              <a:prstDash val="sysDash"/>
            </a:ln>
          </c:spPr>
          <c:marker>
            <c:symbol val="none"/>
          </c:marker>
          <c:cat>
            <c:numRef>
              <c:f>'Inflows by Area'!$C$3:$V$3</c:f>
              <c:numCache>
                <c:formatCode>General</c:formatCode>
                <c:ptCount val="20"/>
                <c:pt idx="0">
                  <c:v>1996.0</c:v>
                </c:pt>
                <c:pt idx="1">
                  <c:v>1997.0</c:v>
                </c:pt>
                <c:pt idx="2">
                  <c:v>1998.0</c:v>
                </c:pt>
                <c:pt idx="3">
                  <c:v>1999.0</c:v>
                </c:pt>
                <c:pt idx="4">
                  <c:v>2000.0</c:v>
                </c:pt>
                <c:pt idx="5">
                  <c:v>2001.0</c:v>
                </c:pt>
                <c:pt idx="6">
                  <c:v>2002.0</c:v>
                </c:pt>
                <c:pt idx="7">
                  <c:v>2003.0</c:v>
                </c:pt>
                <c:pt idx="8">
                  <c:v>2004.0</c:v>
                </c:pt>
                <c:pt idx="9">
                  <c:v>2005.0</c:v>
                </c:pt>
                <c:pt idx="10">
                  <c:v>2006.0</c:v>
                </c:pt>
                <c:pt idx="11">
                  <c:v>2007.0</c:v>
                </c:pt>
                <c:pt idx="12">
                  <c:v>2008.0</c:v>
                </c:pt>
                <c:pt idx="13">
                  <c:v>2009.0</c:v>
                </c:pt>
                <c:pt idx="14">
                  <c:v>2010.0</c:v>
                </c:pt>
                <c:pt idx="15">
                  <c:v>2011.0</c:v>
                </c:pt>
                <c:pt idx="16">
                  <c:v>2012.0</c:v>
                </c:pt>
                <c:pt idx="17">
                  <c:v>2013.0</c:v>
                </c:pt>
                <c:pt idx="18">
                  <c:v>2014.0</c:v>
                </c:pt>
                <c:pt idx="19">
                  <c:v>2015.0</c:v>
                </c:pt>
              </c:numCache>
            </c:numRef>
          </c:cat>
          <c:val>
            <c:numRef>
              <c:f>'Inflows by Area'!$C$7:$V$7</c:f>
              <c:numCache>
                <c:formatCode>0.0</c:formatCode>
                <c:ptCount val="20"/>
                <c:pt idx="0">
                  <c:v>231.61</c:v>
                </c:pt>
                <c:pt idx="1">
                  <c:v>575.3499999999979</c:v>
                </c:pt>
                <c:pt idx="2">
                  <c:v>576.51</c:v>
                </c:pt>
                <c:pt idx="3">
                  <c:v>309.13</c:v>
                </c:pt>
                <c:pt idx="4">
                  <c:v>578.6</c:v>
                </c:pt>
                <c:pt idx="5">
                  <c:v>354.5</c:v>
                </c:pt>
                <c:pt idx="6">
                  <c:v>335.4</c:v>
                </c:pt>
                <c:pt idx="7">
                  <c:v>350.2</c:v>
                </c:pt>
                <c:pt idx="8">
                  <c:v>460.4</c:v>
                </c:pt>
                <c:pt idx="9">
                  <c:v>845.2</c:v>
                </c:pt>
                <c:pt idx="10">
                  <c:v>792.5</c:v>
                </c:pt>
                <c:pt idx="11">
                  <c:v>666.3</c:v>
                </c:pt>
                <c:pt idx="12">
                  <c:v>1086.3</c:v>
                </c:pt>
                <c:pt idx="13">
                  <c:v>700.2</c:v>
                </c:pt>
                <c:pt idx="14">
                  <c:v>913.4000000000001</c:v>
                </c:pt>
                <c:pt idx="15">
                  <c:v>1136.5</c:v>
                </c:pt>
                <c:pt idx="16" formatCode="General">
                  <c:v>1289.56</c:v>
                </c:pt>
                <c:pt idx="17" formatCode="General">
                  <c:v>1599.16</c:v>
                </c:pt>
                <c:pt idx="18" formatCode="General">
                  <c:v>1551.2</c:v>
                </c:pt>
                <c:pt idx="19" formatCode="General">
                  <c:v>2235.390000000001</c:v>
                </c:pt>
              </c:numCache>
            </c:numRef>
          </c:val>
          <c:smooth val="0"/>
        </c:ser>
        <c:dLbls>
          <c:showLegendKey val="0"/>
          <c:showVal val="0"/>
          <c:showCatName val="0"/>
          <c:showSerName val="0"/>
          <c:showPercent val="0"/>
          <c:showBubbleSize val="0"/>
        </c:dLbls>
        <c:marker val="1"/>
        <c:smooth val="0"/>
        <c:axId val="2089374584"/>
        <c:axId val="2089463064"/>
      </c:lineChart>
      <c:catAx>
        <c:axId val="2089374584"/>
        <c:scaling>
          <c:orientation val="minMax"/>
        </c:scaling>
        <c:delete val="0"/>
        <c:axPos val="b"/>
        <c:numFmt formatCode="General" sourceLinked="1"/>
        <c:majorTickMark val="out"/>
        <c:minorTickMark val="none"/>
        <c:tickLblPos val="nextTo"/>
        <c:txPr>
          <a:bodyPr/>
          <a:lstStyle/>
          <a:p>
            <a:pPr>
              <a:defRPr sz="850" baseline="0"/>
            </a:pPr>
            <a:endParaRPr lang="en-US"/>
          </a:p>
        </c:txPr>
        <c:crossAx val="2089463064"/>
        <c:crosses val="autoZero"/>
        <c:auto val="1"/>
        <c:lblAlgn val="ctr"/>
        <c:lblOffset val="100"/>
        <c:noMultiLvlLbl val="0"/>
      </c:catAx>
      <c:valAx>
        <c:axId val="2089463064"/>
        <c:scaling>
          <c:orientation val="minMax"/>
        </c:scaling>
        <c:delete val="0"/>
        <c:axPos val="l"/>
        <c:majorGridlines/>
        <c:numFmt formatCode="General" sourceLinked="1"/>
        <c:majorTickMark val="out"/>
        <c:minorTickMark val="none"/>
        <c:tickLblPos val="nextTo"/>
        <c:crossAx val="2089374584"/>
        <c:crosses val="autoZero"/>
        <c:crossBetween val="between"/>
      </c:valAx>
    </c:plotArea>
    <c:legend>
      <c:legendPos val="t"/>
      <c:legendEntry>
        <c:idx val="0"/>
        <c:delete val="1"/>
      </c:legendEntry>
      <c:layout>
        <c:manualLayout>
          <c:xMode val="edge"/>
          <c:yMode val="edge"/>
          <c:x val="0.29259804342639"/>
          <c:y val="0.0492610403565326"/>
          <c:w val="0.472985731329039"/>
          <c:h val="0.0770802497514778"/>
        </c:manualLayout>
      </c:layout>
      <c:overlay val="0"/>
      <c:txPr>
        <a:bodyPr/>
        <a:lstStyle/>
        <a:p>
          <a:pPr>
            <a:defRPr sz="900" baseline="0"/>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0.22508</cdr:x>
      <cdr:y>0</cdr:y>
    </cdr:from>
    <cdr:to>
      <cdr:x>0.87621</cdr:x>
      <cdr:y>0.07886</cdr:y>
    </cdr:to>
    <cdr:sp macro="" textlink="">
      <cdr:nvSpPr>
        <cdr:cNvPr id="2" name="TextBox 1"/>
        <cdr:cNvSpPr txBox="1"/>
      </cdr:nvSpPr>
      <cdr:spPr>
        <a:xfrm xmlns:a="http://schemas.openxmlformats.org/drawingml/2006/main">
          <a:off x="1170562" y="0"/>
          <a:ext cx="33863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en-US" sz="1200" b="1"/>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0.90104</cdr:y>
    </cdr:from>
    <cdr:to>
      <cdr:x>0.51042</cdr:x>
      <cdr:y>0.99479</cdr:y>
    </cdr:to>
    <cdr:sp macro="" textlink="">
      <cdr:nvSpPr>
        <cdr:cNvPr id="2" name="TextBox 1"/>
        <cdr:cNvSpPr txBox="1"/>
      </cdr:nvSpPr>
      <cdr:spPr>
        <a:xfrm xmlns:a="http://schemas.openxmlformats.org/drawingml/2006/main">
          <a:off x="0" y="2471738"/>
          <a:ext cx="23336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r>
            <a:rPr lang="en-US" sz="800"/>
            <a:t>The Data for Chittagong Port is for the year 2015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48</Pages>
  <Words>17387</Words>
  <Characters>99107</Characters>
  <Application>Microsoft Macintosh Word</Application>
  <DocSecurity>0</DocSecurity>
  <Lines>825</Lines>
  <Paragraphs>232</Paragraphs>
  <ScaleCrop>false</ScaleCrop>
  <Company/>
  <LinksUpToDate>false</LinksUpToDate>
  <CharactersWithSpaces>116262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Khurshid Alam</dc:creator>
  <cp:keywords/>
  <dc:description/>
  <cp:lastModifiedBy>Khurshid Alam</cp:lastModifiedBy>
  <cp:revision>20</cp:revision>
  <dcterms:created xsi:type="dcterms:W3CDTF">2017-09-19T17:03:00Z</dcterms:created>
  <dcterms:modified xsi:type="dcterms:W3CDTF">2017-09-30T19:26:00Z</dcterms:modified>
</cp:coreProperties>
</file>