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theme/themeOverride18.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0F6FC6" w:themeColor="accent1"/>
        </w:rPr>
        <w:id w:val="-1128165450"/>
        <w:docPartObj>
          <w:docPartGallery w:val="Cover Pages"/>
          <w:docPartUnique/>
        </w:docPartObj>
      </w:sdtPr>
      <w:sdtEndPr>
        <w:rPr>
          <w:color w:val="auto"/>
        </w:rPr>
      </w:sdtEndPr>
      <w:sdtContent>
        <w:p w14:paraId="7A87C59E" w14:textId="20C76AFD" w:rsidR="00BB1D7F" w:rsidRDefault="00BB1D7F">
          <w:pPr>
            <w:pStyle w:val="NoSpacing"/>
            <w:spacing w:before="1540" w:after="240"/>
            <w:jc w:val="center"/>
            <w:rPr>
              <w:color w:val="0F6FC6" w:themeColor="accent1"/>
            </w:rPr>
          </w:pPr>
          <w:r>
            <w:rPr>
              <w:noProof/>
              <w:color w:val="0F6FC6" w:themeColor="accent1"/>
            </w:rPr>
            <mc:AlternateContent>
              <mc:Choice Requires="wps">
                <w:drawing>
                  <wp:anchor distT="0" distB="0" distL="114300" distR="114300" simplePos="0" relativeHeight="251686912" behindDoc="0" locked="0" layoutInCell="1" allowOverlap="1" wp14:anchorId="1D602130" wp14:editId="063EE3F2">
                    <wp:simplePos x="0" y="0"/>
                    <wp:positionH relativeFrom="margin">
                      <wp:posOffset>4105275</wp:posOffset>
                    </wp:positionH>
                    <wp:positionV relativeFrom="paragraph">
                      <wp:posOffset>219075</wp:posOffset>
                    </wp:positionV>
                    <wp:extent cx="1933575" cy="83820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1933575"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3B566" w14:textId="53CCEF87" w:rsidR="00BF4C93" w:rsidRPr="00DD3FD3" w:rsidRDefault="00BF4C93" w:rsidP="00DD3FD3">
                                <w:pPr>
                                  <w:spacing w:after="0" w:line="240" w:lineRule="auto"/>
                                  <w:jc w:val="center"/>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Final </w:t>
                                </w:r>
                                <w:r w:rsidRPr="00DD3FD3">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Draft</w:t>
                                </w:r>
                              </w:p>
                              <w:p w14:paraId="3592684C" w14:textId="4EDC9C57" w:rsidR="00BF4C93" w:rsidRPr="00DD3FD3" w:rsidRDefault="00BF4C93" w:rsidP="00DD3FD3">
                                <w:pPr>
                                  <w:spacing w:after="0" w:line="240" w:lineRule="auto"/>
                                  <w:jc w:val="center"/>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w:t>
                                </w:r>
                                <w:r w:rsidRPr="00DD3FD3">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02130" id="_x0000_t202" coordsize="21600,21600" o:spt="202" path="m,l,21600r21600,l21600,xe">
                    <v:stroke joinstyle="miter"/>
                    <v:path gradientshapeok="t" o:connecttype="rect"/>
                  </v:shapetype>
                  <v:shape id="Text Box 19" o:spid="_x0000_s1026" type="#_x0000_t202" style="position:absolute;left:0;text-align:left;margin-left:323.25pt;margin-top:17.25pt;width:152.25pt;height:6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" fillcolor="white [3201]" stroked="f" strokeweight=".5pt">
                    <v:textbox>
                      <w:txbxContent>
                        <w:p w14:paraId="5353B566" w14:textId="53CCEF87" w:rsidR="00BF4C93" w:rsidRPr="00DD3FD3" w:rsidRDefault="00BF4C93" w:rsidP="00DD3FD3">
                          <w:pPr>
                            <w:spacing w:after="0" w:line="240" w:lineRule="auto"/>
                            <w:jc w:val="center"/>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Final </w:t>
                          </w:r>
                          <w:r w:rsidRPr="00DD3FD3">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Draft</w:t>
                          </w:r>
                        </w:p>
                        <w:p w14:paraId="3592684C" w14:textId="4EDC9C57" w:rsidR="00BF4C93" w:rsidRPr="00DD3FD3" w:rsidRDefault="00BF4C93" w:rsidP="00DD3FD3">
                          <w:pPr>
                            <w:spacing w:after="0" w:line="240" w:lineRule="auto"/>
                            <w:jc w:val="center"/>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w:t>
                          </w:r>
                          <w:r w:rsidRPr="00DD3FD3">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2017</w:t>
                          </w:r>
                        </w:p>
                      </w:txbxContent>
                    </v:textbox>
                    <w10:wrap anchorx="margin"/>
                  </v:shape>
                </w:pict>
              </mc:Fallback>
            </mc:AlternateContent>
          </w:r>
          <w:r>
            <w:rPr>
              <w:noProof/>
              <w:color w:val="0F6FC6" w:themeColor="accent1"/>
            </w:rPr>
            <w:drawing>
              <wp:inline distT="0" distB="0" distL="0" distR="0" wp14:anchorId="2E503029" wp14:editId="555457E1">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0F6FC6" w:themeColor="accent1"/>
              <w:sz w:val="72"/>
              <w:szCs w:val="72"/>
            </w:rPr>
            <w:alias w:val="Title"/>
            <w:tag w:val=""/>
            <w:id w:val="1735040861"/>
            <w:placeholder>
              <w:docPart w:val="1F113E9166164926BB20F79C3E83BFC7"/>
            </w:placeholder>
            <w:dataBinding w:prefixMappings="xmlns:ns0='http://purl.org/dc/elements/1.1/' xmlns:ns1='http://schemas.openxmlformats.org/package/2006/metadata/core-properties' " w:xpath="/ns1:coreProperties[1]/ns0:title[1]" w:storeItemID="{6C3C8BC8-F283-45AE-878A-BAB7291924A1}"/>
            <w:text/>
          </w:sdtPr>
          <w:sdtContent>
            <w:p w14:paraId="45B54B0A" w14:textId="65DD610A" w:rsidR="00BB1D7F" w:rsidRDefault="00BB1D7F">
              <w:pPr>
                <w:pStyle w:val="NoSpacing"/>
                <w:pBdr>
                  <w:top w:val="single" w:sz="6" w:space="6" w:color="0F6FC6" w:themeColor="accent1"/>
                  <w:bottom w:val="single" w:sz="6" w:space="6" w:color="0F6FC6" w:themeColor="accent1"/>
                </w:pBdr>
                <w:spacing w:after="240"/>
                <w:jc w:val="center"/>
                <w:rPr>
                  <w:rFonts w:asciiTheme="majorHAnsi" w:eastAsiaTheme="majorEastAsia" w:hAnsiTheme="majorHAnsi" w:cstheme="majorBidi"/>
                  <w:caps/>
                  <w:color w:val="0F6FC6" w:themeColor="accent1"/>
                  <w:sz w:val="80"/>
                  <w:szCs w:val="80"/>
                </w:rPr>
              </w:pPr>
              <w:r w:rsidRPr="00BB1D7F">
                <w:rPr>
                  <w:rFonts w:asciiTheme="majorHAnsi" w:eastAsiaTheme="majorEastAsia" w:hAnsiTheme="majorHAnsi" w:cstheme="majorBidi"/>
                  <w:caps/>
                  <w:color w:val="0F6FC6" w:themeColor="accent1"/>
                  <w:sz w:val="72"/>
                  <w:szCs w:val="72"/>
                </w:rPr>
                <w:t>Trade and Industry strategy in the 21st Century for sustained rapid growth and job creation</w:t>
              </w:r>
            </w:p>
          </w:sdtContent>
        </w:sdt>
        <w:sdt>
          <w:sdtPr>
            <w:rPr>
              <w:rFonts w:ascii="Times New Roman" w:hAnsi="Times New Roman" w:cs="Times New Roman"/>
              <w:b/>
              <w:sz w:val="28"/>
              <w:szCs w:val="28"/>
            </w:rPr>
            <w:alias w:val="Subtitle"/>
            <w:tag w:val=""/>
            <w:id w:val="328029620"/>
            <w:placeholder>
              <w:docPart w:val="138812AA705D4DF1B8D57B5A5F2AE5CB"/>
            </w:placeholder>
            <w:dataBinding w:prefixMappings="xmlns:ns0='http://purl.org/dc/elements/1.1/' xmlns:ns1='http://schemas.openxmlformats.org/package/2006/metadata/core-properties' " w:xpath="/ns1:coreProperties[1]/ns0:subject[1]" w:storeItemID="{6C3C8BC8-F283-45AE-878A-BAB7291924A1}"/>
            <w:text/>
          </w:sdtPr>
          <w:sdtContent>
            <w:p w14:paraId="570C9639" w14:textId="382B1815" w:rsidR="00BB1D7F" w:rsidRDefault="00BB1D7F">
              <w:pPr>
                <w:pStyle w:val="NoSpacing"/>
                <w:jc w:val="center"/>
                <w:rPr>
                  <w:color w:val="0F6FC6" w:themeColor="accent1"/>
                  <w:sz w:val="28"/>
                  <w:szCs w:val="28"/>
                </w:rPr>
              </w:pPr>
              <w:r w:rsidRPr="00BB1D7F">
                <w:rPr>
                  <w:rFonts w:ascii="Times New Roman" w:hAnsi="Times New Roman" w:cs="Times New Roman"/>
                  <w:b/>
                  <w:sz w:val="28"/>
                  <w:szCs w:val="28"/>
                </w:rPr>
                <w:t>A Background Study for the Bangladesh Perspective Plan (2021-2041)</w:t>
              </w:r>
            </w:p>
          </w:sdtContent>
        </w:sdt>
        <w:p w14:paraId="18EBEF83" w14:textId="77777777" w:rsidR="00BB1D7F" w:rsidRDefault="00BB1D7F">
          <w:pPr>
            <w:pStyle w:val="NoSpacing"/>
            <w:spacing w:before="480"/>
            <w:jc w:val="center"/>
            <w:rPr>
              <w:color w:val="0F6FC6" w:themeColor="accent1"/>
            </w:rPr>
          </w:pPr>
          <w:r>
            <w:rPr>
              <w:noProof/>
              <w:color w:val="0F6FC6" w:themeColor="accent1"/>
            </w:rPr>
            <mc:AlternateContent>
              <mc:Choice Requires="wps">
                <w:drawing>
                  <wp:anchor distT="0" distB="0" distL="114300" distR="114300" simplePos="0" relativeHeight="251685888" behindDoc="0" locked="0" layoutInCell="1" allowOverlap="1" wp14:anchorId="1FBC3B6A" wp14:editId="134021D6">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1C72A" w14:textId="77777777" w:rsidR="00BF4C93" w:rsidRDefault="00BF4C93" w:rsidP="00BB1D7F">
                                <w:pPr>
                                  <w:jc w:val="center"/>
                                  <w:rPr>
                                    <w:rFonts w:ascii="Times New Roman" w:hAnsi="Times New Roman" w:cs="Times New Roman"/>
                                    <w:sz w:val="24"/>
                                    <w:szCs w:val="24"/>
                                  </w:rPr>
                                </w:pPr>
                                <w:r>
                                  <w:rPr>
                                    <w:rFonts w:ascii="Times New Roman" w:hAnsi="Times New Roman" w:cs="Times New Roman"/>
                                    <w:sz w:val="24"/>
                                    <w:szCs w:val="24"/>
                                  </w:rPr>
                                  <w:t>Prepared for the General Economics Division, Planning Commission, by</w:t>
                                </w:r>
                              </w:p>
                              <w:p w14:paraId="5B124D2E" w14:textId="77777777" w:rsidR="00BF4C93" w:rsidRPr="000241FF" w:rsidRDefault="00BF4C93" w:rsidP="00BB1D7F">
                                <w:pPr>
                                  <w:spacing w:after="0"/>
                                  <w:jc w:val="center"/>
                                  <w:rPr>
                                    <w:rFonts w:ascii="Times New Roman" w:hAnsi="Times New Roman" w:cs="Times New Roman"/>
                                    <w:i/>
                                    <w:sz w:val="24"/>
                                    <w:szCs w:val="24"/>
                                  </w:rPr>
                                </w:pPr>
                                <w:r w:rsidRPr="000241FF">
                                  <w:rPr>
                                    <w:rFonts w:ascii="Times New Roman" w:hAnsi="Times New Roman" w:cs="Times New Roman"/>
                                    <w:i/>
                                    <w:sz w:val="24"/>
                                    <w:szCs w:val="24"/>
                                  </w:rPr>
                                  <w:t>Dr. Zaidi Sattar</w:t>
                                </w:r>
                              </w:p>
                              <w:p w14:paraId="62404788" w14:textId="14CDF59A" w:rsidR="00BF4C93" w:rsidRPr="00BB1D7F" w:rsidRDefault="00BF4C93" w:rsidP="00BB1D7F">
                                <w:pPr>
                                  <w:spacing w:after="0"/>
                                  <w:jc w:val="center"/>
                                  <w:rPr>
                                    <w:rFonts w:ascii="Times New Roman" w:hAnsi="Times New Roman" w:cs="Times New Roman"/>
                                    <w:i/>
                                    <w:sz w:val="24"/>
                                    <w:szCs w:val="24"/>
                                  </w:rPr>
                                </w:pPr>
                                <w:r w:rsidRPr="000241FF">
                                  <w:rPr>
                                    <w:rFonts w:ascii="Times New Roman" w:hAnsi="Times New Roman" w:cs="Times New Roman"/>
                                    <w:i/>
                                    <w:sz w:val="24"/>
                                    <w:szCs w:val="24"/>
                                  </w:rPr>
                                  <w:t>Policy Researc</w:t>
                                </w:r>
                                <w:r>
                                  <w:rPr>
                                    <w:rFonts w:ascii="Times New Roman" w:hAnsi="Times New Roman" w:cs="Times New Roman"/>
                                    <w:i/>
                                    <w:sz w:val="24"/>
                                    <w:szCs w:val="24"/>
                                  </w:rPr>
                                  <w:t>h Institute of Bangladesh (PRI)</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w14:anchorId="1FBC3B6A" id="Text Box 142" o:spid="_x0000_s1027" type="#_x0000_t202" style="position:absolute;left:0;text-align:left;margin-left:0;margin-top:0;width:516pt;height:43.9pt;z-index:251685888;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TjOdwIAAF0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" filled="f" stroked="f" strokeweight=".5pt">
                    <v:textbox style="mso-fit-shape-to-text:t" inset="0,0,0,0">
                      <w:txbxContent>
                        <w:p w14:paraId="0E11C72A" w14:textId="77777777" w:rsidR="00BF4C93" w:rsidRDefault="00BF4C93" w:rsidP="00BB1D7F">
                          <w:pPr>
                            <w:jc w:val="center"/>
                            <w:rPr>
                              <w:rFonts w:ascii="Times New Roman" w:hAnsi="Times New Roman" w:cs="Times New Roman"/>
                              <w:sz w:val="24"/>
                              <w:szCs w:val="24"/>
                            </w:rPr>
                          </w:pPr>
                          <w:r>
                            <w:rPr>
                              <w:rFonts w:ascii="Times New Roman" w:hAnsi="Times New Roman" w:cs="Times New Roman"/>
                              <w:sz w:val="24"/>
                              <w:szCs w:val="24"/>
                            </w:rPr>
                            <w:t>Prepared for the General Economics Division, Planning Commission, by</w:t>
                          </w:r>
                        </w:p>
                        <w:p w14:paraId="5B124D2E" w14:textId="77777777" w:rsidR="00BF4C93" w:rsidRPr="000241FF" w:rsidRDefault="00BF4C93" w:rsidP="00BB1D7F">
                          <w:pPr>
                            <w:spacing w:after="0"/>
                            <w:jc w:val="center"/>
                            <w:rPr>
                              <w:rFonts w:ascii="Times New Roman" w:hAnsi="Times New Roman" w:cs="Times New Roman"/>
                              <w:i/>
                              <w:sz w:val="24"/>
                              <w:szCs w:val="24"/>
                            </w:rPr>
                          </w:pPr>
                          <w:r w:rsidRPr="000241FF">
                            <w:rPr>
                              <w:rFonts w:ascii="Times New Roman" w:hAnsi="Times New Roman" w:cs="Times New Roman"/>
                              <w:i/>
                              <w:sz w:val="24"/>
                              <w:szCs w:val="24"/>
                            </w:rPr>
                            <w:t>Dr. Zaidi Sattar</w:t>
                          </w:r>
                        </w:p>
                        <w:p w14:paraId="62404788" w14:textId="14CDF59A" w:rsidR="00BF4C93" w:rsidRPr="00BB1D7F" w:rsidRDefault="00BF4C93" w:rsidP="00BB1D7F">
                          <w:pPr>
                            <w:spacing w:after="0"/>
                            <w:jc w:val="center"/>
                            <w:rPr>
                              <w:rFonts w:ascii="Times New Roman" w:hAnsi="Times New Roman" w:cs="Times New Roman"/>
                              <w:i/>
                              <w:sz w:val="24"/>
                              <w:szCs w:val="24"/>
                            </w:rPr>
                          </w:pPr>
                          <w:r w:rsidRPr="000241FF">
                            <w:rPr>
                              <w:rFonts w:ascii="Times New Roman" w:hAnsi="Times New Roman" w:cs="Times New Roman"/>
                              <w:i/>
                              <w:sz w:val="24"/>
                              <w:szCs w:val="24"/>
                            </w:rPr>
                            <w:t>Policy Researc</w:t>
                          </w:r>
                          <w:r>
                            <w:rPr>
                              <w:rFonts w:ascii="Times New Roman" w:hAnsi="Times New Roman" w:cs="Times New Roman"/>
                              <w:i/>
                              <w:sz w:val="24"/>
                              <w:szCs w:val="24"/>
                            </w:rPr>
                            <w:t>h Institute of Bangladesh (PRI)</w:t>
                          </w:r>
                        </w:p>
                      </w:txbxContent>
                    </v:textbox>
                    <w10:wrap anchorx="margin" anchory="page"/>
                  </v:shape>
                </w:pict>
              </mc:Fallback>
            </mc:AlternateContent>
          </w:r>
          <w:r>
            <w:rPr>
              <w:noProof/>
              <w:color w:val="0F6FC6" w:themeColor="accent1"/>
            </w:rPr>
            <w:drawing>
              <wp:inline distT="0" distB="0" distL="0" distR="0" wp14:anchorId="1E5EB76E" wp14:editId="32AFC2A4">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7859A086" w14:textId="40B6B2C6" w:rsidR="00BB1D7F" w:rsidRDefault="00BB1D7F">
          <w:pPr>
            <w:rPr>
              <w:rFonts w:ascii="Times New Roman" w:hAnsi="Times New Roman" w:cs="Times New Roman"/>
              <w:b/>
              <w:color w:val="CC3300"/>
              <w:sz w:val="24"/>
              <w:szCs w:val="24"/>
            </w:rPr>
          </w:pPr>
          <w:r>
            <w:br w:type="page"/>
          </w:r>
        </w:p>
      </w:sdtContent>
    </w:sdt>
    <w:sdt>
      <w:sdtPr>
        <w:rPr>
          <w:rFonts w:asciiTheme="minorHAnsi" w:hAnsiTheme="minorHAnsi" w:cstheme="minorBidi"/>
          <w:b w:val="0"/>
          <w:color w:val="auto"/>
          <w:sz w:val="20"/>
          <w:szCs w:val="20"/>
        </w:rPr>
        <w:id w:val="781765507"/>
        <w:docPartObj>
          <w:docPartGallery w:val="Table of Contents"/>
          <w:docPartUnique/>
        </w:docPartObj>
      </w:sdtPr>
      <w:sdtEndPr>
        <w:rPr>
          <w:bCs/>
          <w:noProof/>
        </w:rPr>
      </w:sdtEndPr>
      <w:sdtContent>
        <w:p w14:paraId="1CA1F305" w14:textId="0E8751CB" w:rsidR="00970527" w:rsidRPr="00AA5AF5" w:rsidRDefault="00970527" w:rsidP="00AA5AF5">
          <w:pPr>
            <w:pStyle w:val="TOCHeading"/>
            <w:numPr>
              <w:ilvl w:val="0"/>
              <w:numId w:val="0"/>
            </w:numPr>
            <w:spacing w:after="480"/>
            <w:jc w:val="center"/>
            <w:rPr>
              <w:sz w:val="28"/>
            </w:rPr>
          </w:pPr>
          <w:r w:rsidRPr="00AA5AF5">
            <w:rPr>
              <w:sz w:val="28"/>
            </w:rPr>
            <w:t>Table of Contents</w:t>
          </w:r>
        </w:p>
        <w:p w14:paraId="0BBCBE27" w14:textId="77777777" w:rsidR="00595C4E" w:rsidRPr="00595C4E" w:rsidRDefault="00AA5AF5">
          <w:pPr>
            <w:pStyle w:val="TOC1"/>
            <w:tabs>
              <w:tab w:val="right" w:leader="dot" w:pos="9350"/>
            </w:tabs>
            <w:rPr>
              <w:rFonts w:asciiTheme="minorHAnsi" w:hAnsiTheme="minorHAnsi" w:cstheme="minorBidi"/>
              <w:b w:val="0"/>
              <w:i/>
              <w:noProof/>
            </w:rPr>
          </w:pPr>
          <w:r>
            <w:fldChar w:fldCharType="begin"/>
          </w:r>
          <w:r>
            <w:instrText xml:space="preserve"> TOC \o "1-3" \h \z \t "Title,1" </w:instrText>
          </w:r>
          <w:r>
            <w:fldChar w:fldCharType="separate"/>
          </w:r>
          <w:hyperlink w:anchor="_Toc496536507" w:history="1">
            <w:r w:rsidR="00595C4E" w:rsidRPr="00595C4E">
              <w:rPr>
                <w:rStyle w:val="Hyperlink"/>
                <w:i/>
                <w:noProof/>
              </w:rPr>
              <w:t>List of Tables</w:t>
            </w:r>
            <w:r w:rsidR="00595C4E" w:rsidRPr="00595C4E">
              <w:rPr>
                <w:i/>
                <w:noProof/>
                <w:webHidden/>
              </w:rPr>
              <w:tab/>
            </w:r>
            <w:r w:rsidR="00595C4E" w:rsidRPr="00595C4E">
              <w:rPr>
                <w:i/>
                <w:noProof/>
                <w:webHidden/>
              </w:rPr>
              <w:fldChar w:fldCharType="begin"/>
            </w:r>
            <w:r w:rsidR="00595C4E" w:rsidRPr="00595C4E">
              <w:rPr>
                <w:i/>
                <w:noProof/>
                <w:webHidden/>
              </w:rPr>
              <w:instrText xml:space="preserve"> PAGEREF _Toc496536507 \h </w:instrText>
            </w:r>
            <w:r w:rsidR="00595C4E" w:rsidRPr="00595C4E">
              <w:rPr>
                <w:i/>
                <w:noProof/>
                <w:webHidden/>
              </w:rPr>
            </w:r>
            <w:r w:rsidR="00595C4E" w:rsidRPr="00595C4E">
              <w:rPr>
                <w:i/>
                <w:noProof/>
                <w:webHidden/>
              </w:rPr>
              <w:fldChar w:fldCharType="separate"/>
            </w:r>
            <w:r w:rsidR="00595C4E">
              <w:rPr>
                <w:i/>
                <w:noProof/>
                <w:webHidden/>
              </w:rPr>
              <w:t>i</w:t>
            </w:r>
            <w:r w:rsidR="00595C4E" w:rsidRPr="00595C4E">
              <w:rPr>
                <w:i/>
                <w:noProof/>
                <w:webHidden/>
              </w:rPr>
              <w:fldChar w:fldCharType="end"/>
            </w:r>
          </w:hyperlink>
        </w:p>
        <w:p w14:paraId="62D799BC" w14:textId="77777777" w:rsidR="00595C4E" w:rsidRPr="00595C4E" w:rsidRDefault="00BF4C93">
          <w:pPr>
            <w:pStyle w:val="TOC1"/>
            <w:tabs>
              <w:tab w:val="right" w:leader="dot" w:pos="9350"/>
            </w:tabs>
            <w:rPr>
              <w:rFonts w:asciiTheme="minorHAnsi" w:hAnsiTheme="minorHAnsi" w:cstheme="minorBidi"/>
              <w:b w:val="0"/>
              <w:i/>
              <w:noProof/>
            </w:rPr>
          </w:pPr>
          <w:hyperlink w:anchor="_Toc496536508" w:history="1">
            <w:r w:rsidR="00595C4E" w:rsidRPr="00595C4E">
              <w:rPr>
                <w:rStyle w:val="Hyperlink"/>
                <w:i/>
                <w:noProof/>
              </w:rPr>
              <w:t>List of Figures</w:t>
            </w:r>
            <w:r w:rsidR="00595C4E" w:rsidRPr="00595C4E">
              <w:rPr>
                <w:i/>
                <w:noProof/>
                <w:webHidden/>
              </w:rPr>
              <w:tab/>
            </w:r>
            <w:r w:rsidR="00595C4E" w:rsidRPr="00595C4E">
              <w:rPr>
                <w:i/>
                <w:noProof/>
                <w:webHidden/>
              </w:rPr>
              <w:fldChar w:fldCharType="begin"/>
            </w:r>
            <w:r w:rsidR="00595C4E" w:rsidRPr="00595C4E">
              <w:rPr>
                <w:i/>
                <w:noProof/>
                <w:webHidden/>
              </w:rPr>
              <w:instrText xml:space="preserve"> PAGEREF _Toc496536508 \h </w:instrText>
            </w:r>
            <w:r w:rsidR="00595C4E" w:rsidRPr="00595C4E">
              <w:rPr>
                <w:i/>
                <w:noProof/>
                <w:webHidden/>
              </w:rPr>
            </w:r>
            <w:r w:rsidR="00595C4E" w:rsidRPr="00595C4E">
              <w:rPr>
                <w:i/>
                <w:noProof/>
                <w:webHidden/>
              </w:rPr>
              <w:fldChar w:fldCharType="separate"/>
            </w:r>
            <w:r w:rsidR="00595C4E">
              <w:rPr>
                <w:i/>
                <w:noProof/>
                <w:webHidden/>
              </w:rPr>
              <w:t>ii</w:t>
            </w:r>
            <w:r w:rsidR="00595C4E" w:rsidRPr="00595C4E">
              <w:rPr>
                <w:i/>
                <w:noProof/>
                <w:webHidden/>
              </w:rPr>
              <w:fldChar w:fldCharType="end"/>
            </w:r>
          </w:hyperlink>
        </w:p>
        <w:p w14:paraId="0431AAA6" w14:textId="77777777" w:rsidR="00595C4E" w:rsidRPr="00595C4E" w:rsidRDefault="00BF4C93">
          <w:pPr>
            <w:pStyle w:val="TOC1"/>
            <w:tabs>
              <w:tab w:val="right" w:leader="dot" w:pos="9350"/>
            </w:tabs>
            <w:rPr>
              <w:rFonts w:asciiTheme="minorHAnsi" w:hAnsiTheme="minorHAnsi" w:cstheme="minorBidi"/>
              <w:b w:val="0"/>
              <w:i/>
              <w:noProof/>
            </w:rPr>
          </w:pPr>
          <w:hyperlink w:anchor="_Toc496536509" w:history="1">
            <w:r w:rsidR="00595C4E" w:rsidRPr="00595C4E">
              <w:rPr>
                <w:rStyle w:val="Hyperlink"/>
                <w:i/>
                <w:noProof/>
              </w:rPr>
              <w:t>List of Boxes</w:t>
            </w:r>
            <w:r w:rsidR="00595C4E" w:rsidRPr="00595C4E">
              <w:rPr>
                <w:i/>
                <w:noProof/>
                <w:webHidden/>
              </w:rPr>
              <w:tab/>
            </w:r>
            <w:r w:rsidR="00595C4E" w:rsidRPr="00595C4E">
              <w:rPr>
                <w:i/>
                <w:noProof/>
                <w:webHidden/>
              </w:rPr>
              <w:fldChar w:fldCharType="begin"/>
            </w:r>
            <w:r w:rsidR="00595C4E" w:rsidRPr="00595C4E">
              <w:rPr>
                <w:i/>
                <w:noProof/>
                <w:webHidden/>
              </w:rPr>
              <w:instrText xml:space="preserve"> PAGEREF _Toc496536509 \h </w:instrText>
            </w:r>
            <w:r w:rsidR="00595C4E" w:rsidRPr="00595C4E">
              <w:rPr>
                <w:i/>
                <w:noProof/>
                <w:webHidden/>
              </w:rPr>
            </w:r>
            <w:r w:rsidR="00595C4E" w:rsidRPr="00595C4E">
              <w:rPr>
                <w:i/>
                <w:noProof/>
                <w:webHidden/>
              </w:rPr>
              <w:fldChar w:fldCharType="separate"/>
            </w:r>
            <w:r w:rsidR="00595C4E">
              <w:rPr>
                <w:i/>
                <w:noProof/>
                <w:webHidden/>
              </w:rPr>
              <w:t>ii</w:t>
            </w:r>
            <w:r w:rsidR="00595C4E" w:rsidRPr="00595C4E">
              <w:rPr>
                <w:i/>
                <w:noProof/>
                <w:webHidden/>
              </w:rPr>
              <w:fldChar w:fldCharType="end"/>
            </w:r>
          </w:hyperlink>
        </w:p>
        <w:p w14:paraId="006C649F" w14:textId="77777777" w:rsidR="00595C4E" w:rsidRPr="00595C4E" w:rsidRDefault="00BF4C93">
          <w:pPr>
            <w:pStyle w:val="TOC1"/>
            <w:tabs>
              <w:tab w:val="right" w:leader="dot" w:pos="9350"/>
            </w:tabs>
            <w:rPr>
              <w:rFonts w:asciiTheme="minorHAnsi" w:hAnsiTheme="minorHAnsi" w:cstheme="minorBidi"/>
              <w:b w:val="0"/>
              <w:i/>
              <w:noProof/>
            </w:rPr>
          </w:pPr>
          <w:hyperlink w:anchor="_Toc496536510" w:history="1">
            <w:r w:rsidR="00595C4E" w:rsidRPr="00595C4E">
              <w:rPr>
                <w:rStyle w:val="Hyperlink"/>
                <w:i/>
                <w:noProof/>
              </w:rPr>
              <w:t>Abbreviations</w:t>
            </w:r>
            <w:r w:rsidR="00595C4E" w:rsidRPr="00595C4E">
              <w:rPr>
                <w:i/>
                <w:noProof/>
                <w:webHidden/>
              </w:rPr>
              <w:tab/>
            </w:r>
            <w:r w:rsidR="00595C4E" w:rsidRPr="00595C4E">
              <w:rPr>
                <w:i/>
                <w:noProof/>
                <w:webHidden/>
              </w:rPr>
              <w:fldChar w:fldCharType="begin"/>
            </w:r>
            <w:r w:rsidR="00595C4E" w:rsidRPr="00595C4E">
              <w:rPr>
                <w:i/>
                <w:noProof/>
                <w:webHidden/>
              </w:rPr>
              <w:instrText xml:space="preserve"> PAGEREF _Toc496536510 \h </w:instrText>
            </w:r>
            <w:r w:rsidR="00595C4E" w:rsidRPr="00595C4E">
              <w:rPr>
                <w:i/>
                <w:noProof/>
                <w:webHidden/>
              </w:rPr>
            </w:r>
            <w:r w:rsidR="00595C4E" w:rsidRPr="00595C4E">
              <w:rPr>
                <w:i/>
                <w:noProof/>
                <w:webHidden/>
              </w:rPr>
              <w:fldChar w:fldCharType="separate"/>
            </w:r>
            <w:r w:rsidR="00595C4E">
              <w:rPr>
                <w:i/>
                <w:noProof/>
                <w:webHidden/>
              </w:rPr>
              <w:t>iii</w:t>
            </w:r>
            <w:r w:rsidR="00595C4E" w:rsidRPr="00595C4E">
              <w:rPr>
                <w:i/>
                <w:noProof/>
                <w:webHidden/>
              </w:rPr>
              <w:fldChar w:fldCharType="end"/>
            </w:r>
          </w:hyperlink>
        </w:p>
        <w:p w14:paraId="595CD1B8" w14:textId="77777777" w:rsidR="00595C4E" w:rsidRPr="00595C4E" w:rsidRDefault="00BF4C93">
          <w:pPr>
            <w:pStyle w:val="TOC1"/>
            <w:tabs>
              <w:tab w:val="right" w:leader="dot" w:pos="9350"/>
            </w:tabs>
            <w:rPr>
              <w:rFonts w:asciiTheme="minorHAnsi" w:hAnsiTheme="minorHAnsi" w:cstheme="minorBidi"/>
              <w:b w:val="0"/>
              <w:i/>
              <w:noProof/>
            </w:rPr>
          </w:pPr>
          <w:hyperlink w:anchor="_Toc496536511" w:history="1">
            <w:r w:rsidR="00595C4E" w:rsidRPr="00595C4E">
              <w:rPr>
                <w:rStyle w:val="Hyperlink"/>
                <w:i/>
                <w:noProof/>
              </w:rPr>
              <w:t>Executive Summary</w:t>
            </w:r>
            <w:r w:rsidR="00595C4E" w:rsidRPr="00595C4E">
              <w:rPr>
                <w:i/>
                <w:noProof/>
                <w:webHidden/>
              </w:rPr>
              <w:tab/>
            </w:r>
            <w:r w:rsidR="00595C4E" w:rsidRPr="00595C4E">
              <w:rPr>
                <w:i/>
                <w:noProof/>
                <w:webHidden/>
              </w:rPr>
              <w:fldChar w:fldCharType="begin"/>
            </w:r>
            <w:r w:rsidR="00595C4E" w:rsidRPr="00595C4E">
              <w:rPr>
                <w:i/>
                <w:noProof/>
                <w:webHidden/>
              </w:rPr>
              <w:instrText xml:space="preserve"> PAGEREF _Toc496536511 \h </w:instrText>
            </w:r>
            <w:r w:rsidR="00595C4E" w:rsidRPr="00595C4E">
              <w:rPr>
                <w:i/>
                <w:noProof/>
                <w:webHidden/>
              </w:rPr>
            </w:r>
            <w:r w:rsidR="00595C4E" w:rsidRPr="00595C4E">
              <w:rPr>
                <w:i/>
                <w:noProof/>
                <w:webHidden/>
              </w:rPr>
              <w:fldChar w:fldCharType="separate"/>
            </w:r>
            <w:r w:rsidR="00595C4E">
              <w:rPr>
                <w:i/>
                <w:noProof/>
                <w:webHidden/>
              </w:rPr>
              <w:t>iv</w:t>
            </w:r>
            <w:r w:rsidR="00595C4E" w:rsidRPr="00595C4E">
              <w:rPr>
                <w:i/>
                <w:noProof/>
                <w:webHidden/>
              </w:rPr>
              <w:fldChar w:fldCharType="end"/>
            </w:r>
          </w:hyperlink>
        </w:p>
        <w:p w14:paraId="58E67542" w14:textId="77777777" w:rsidR="00595C4E" w:rsidRDefault="00BF4C93">
          <w:pPr>
            <w:pStyle w:val="TOC1"/>
            <w:tabs>
              <w:tab w:val="right" w:leader="dot" w:pos="9350"/>
            </w:tabs>
            <w:rPr>
              <w:rFonts w:asciiTheme="minorHAnsi" w:hAnsiTheme="minorHAnsi" w:cstheme="minorBidi"/>
              <w:b w:val="0"/>
              <w:noProof/>
            </w:rPr>
          </w:pPr>
          <w:hyperlink w:anchor="_Toc496536512" w:history="1">
            <w:r w:rsidR="00595C4E" w:rsidRPr="00C443B2">
              <w:rPr>
                <w:rStyle w:val="Hyperlink"/>
                <w:noProof/>
              </w:rPr>
              <w:t>Trade and Industry strategy in the 21</w:t>
            </w:r>
            <w:r w:rsidR="00595C4E" w:rsidRPr="00C443B2">
              <w:rPr>
                <w:rStyle w:val="Hyperlink"/>
                <w:noProof/>
                <w:vertAlign w:val="superscript"/>
              </w:rPr>
              <w:t>st</w:t>
            </w:r>
            <w:r w:rsidR="00595C4E" w:rsidRPr="00C443B2">
              <w:rPr>
                <w:rStyle w:val="Hyperlink"/>
                <w:noProof/>
              </w:rPr>
              <w:t xml:space="preserve"> Century for sustained rapid growth and job creation</w:t>
            </w:r>
            <w:r w:rsidR="00595C4E">
              <w:rPr>
                <w:noProof/>
                <w:webHidden/>
              </w:rPr>
              <w:tab/>
            </w:r>
            <w:r w:rsidR="00595C4E">
              <w:rPr>
                <w:noProof/>
                <w:webHidden/>
              </w:rPr>
              <w:fldChar w:fldCharType="begin"/>
            </w:r>
            <w:r w:rsidR="00595C4E">
              <w:rPr>
                <w:noProof/>
                <w:webHidden/>
              </w:rPr>
              <w:instrText xml:space="preserve"> PAGEREF _Toc496536512 \h </w:instrText>
            </w:r>
            <w:r w:rsidR="00595C4E">
              <w:rPr>
                <w:noProof/>
                <w:webHidden/>
              </w:rPr>
            </w:r>
            <w:r w:rsidR="00595C4E">
              <w:rPr>
                <w:noProof/>
                <w:webHidden/>
              </w:rPr>
              <w:fldChar w:fldCharType="separate"/>
            </w:r>
            <w:r w:rsidR="00595C4E">
              <w:rPr>
                <w:noProof/>
                <w:webHidden/>
              </w:rPr>
              <w:t>1</w:t>
            </w:r>
            <w:r w:rsidR="00595C4E">
              <w:rPr>
                <w:noProof/>
                <w:webHidden/>
              </w:rPr>
              <w:fldChar w:fldCharType="end"/>
            </w:r>
          </w:hyperlink>
        </w:p>
        <w:p w14:paraId="1C2D3C1F" w14:textId="77777777" w:rsidR="00595C4E" w:rsidRDefault="00BF4C93">
          <w:pPr>
            <w:pStyle w:val="TOC1"/>
            <w:tabs>
              <w:tab w:val="left" w:pos="720"/>
              <w:tab w:val="right" w:leader="dot" w:pos="9350"/>
            </w:tabs>
            <w:rPr>
              <w:rFonts w:asciiTheme="minorHAnsi" w:hAnsiTheme="minorHAnsi" w:cstheme="minorBidi"/>
              <w:b w:val="0"/>
              <w:noProof/>
            </w:rPr>
          </w:pPr>
          <w:hyperlink w:anchor="_Toc496536513" w:history="1">
            <w:r w:rsidR="00595C4E" w:rsidRPr="00C443B2">
              <w:rPr>
                <w:rStyle w:val="Hyperlink"/>
                <w:noProof/>
              </w:rPr>
              <w:t>A.</w:t>
            </w:r>
            <w:r w:rsidR="00595C4E">
              <w:rPr>
                <w:rFonts w:asciiTheme="minorHAnsi" w:hAnsiTheme="minorHAnsi" w:cstheme="minorBidi"/>
                <w:b w:val="0"/>
                <w:noProof/>
              </w:rPr>
              <w:tab/>
            </w:r>
            <w:r w:rsidR="00595C4E" w:rsidRPr="00C443B2">
              <w:rPr>
                <w:rStyle w:val="Hyperlink"/>
                <w:noProof/>
              </w:rPr>
              <w:t>INDUSTRY AND TRADE IN THE 21ST CENTURY</w:t>
            </w:r>
            <w:r w:rsidR="00595C4E">
              <w:rPr>
                <w:noProof/>
                <w:webHidden/>
              </w:rPr>
              <w:tab/>
            </w:r>
            <w:r w:rsidR="00595C4E">
              <w:rPr>
                <w:noProof/>
                <w:webHidden/>
              </w:rPr>
              <w:fldChar w:fldCharType="begin"/>
            </w:r>
            <w:r w:rsidR="00595C4E">
              <w:rPr>
                <w:noProof/>
                <w:webHidden/>
              </w:rPr>
              <w:instrText xml:space="preserve"> PAGEREF _Toc496536513 \h </w:instrText>
            </w:r>
            <w:r w:rsidR="00595C4E">
              <w:rPr>
                <w:noProof/>
                <w:webHidden/>
              </w:rPr>
            </w:r>
            <w:r w:rsidR="00595C4E">
              <w:rPr>
                <w:noProof/>
                <w:webHidden/>
              </w:rPr>
              <w:fldChar w:fldCharType="separate"/>
            </w:r>
            <w:r w:rsidR="00595C4E">
              <w:rPr>
                <w:noProof/>
                <w:webHidden/>
              </w:rPr>
              <w:t>1</w:t>
            </w:r>
            <w:r w:rsidR="00595C4E">
              <w:rPr>
                <w:noProof/>
                <w:webHidden/>
              </w:rPr>
              <w:fldChar w:fldCharType="end"/>
            </w:r>
          </w:hyperlink>
        </w:p>
        <w:p w14:paraId="0E682E42" w14:textId="77777777" w:rsidR="00595C4E" w:rsidRDefault="00BF4C93">
          <w:pPr>
            <w:pStyle w:val="TOC1"/>
            <w:tabs>
              <w:tab w:val="left" w:pos="720"/>
              <w:tab w:val="right" w:leader="dot" w:pos="9350"/>
            </w:tabs>
            <w:rPr>
              <w:rFonts w:asciiTheme="minorHAnsi" w:hAnsiTheme="minorHAnsi" w:cstheme="minorBidi"/>
              <w:b w:val="0"/>
              <w:noProof/>
            </w:rPr>
          </w:pPr>
          <w:hyperlink w:anchor="_Toc496536514" w:history="1">
            <w:r w:rsidR="00595C4E" w:rsidRPr="00C443B2">
              <w:rPr>
                <w:rStyle w:val="Hyperlink"/>
                <w:noProof/>
              </w:rPr>
              <w:t>B.</w:t>
            </w:r>
            <w:r w:rsidR="00595C4E">
              <w:rPr>
                <w:rFonts w:asciiTheme="minorHAnsi" w:hAnsiTheme="minorHAnsi" w:cstheme="minorBidi"/>
                <w:b w:val="0"/>
                <w:noProof/>
              </w:rPr>
              <w:tab/>
            </w:r>
            <w:r w:rsidR="00595C4E" w:rsidRPr="00C443B2">
              <w:rPr>
                <w:rStyle w:val="Hyperlink"/>
                <w:noProof/>
              </w:rPr>
              <w:t>THE FOURTH INDUSTRIAL REVOLUTION AND BEYOND</w:t>
            </w:r>
            <w:r w:rsidR="00595C4E">
              <w:rPr>
                <w:noProof/>
                <w:webHidden/>
              </w:rPr>
              <w:tab/>
            </w:r>
            <w:r w:rsidR="00595C4E">
              <w:rPr>
                <w:noProof/>
                <w:webHidden/>
              </w:rPr>
              <w:fldChar w:fldCharType="begin"/>
            </w:r>
            <w:r w:rsidR="00595C4E">
              <w:rPr>
                <w:noProof/>
                <w:webHidden/>
              </w:rPr>
              <w:instrText xml:space="preserve"> PAGEREF _Toc496536514 \h </w:instrText>
            </w:r>
            <w:r w:rsidR="00595C4E">
              <w:rPr>
                <w:noProof/>
                <w:webHidden/>
              </w:rPr>
            </w:r>
            <w:r w:rsidR="00595C4E">
              <w:rPr>
                <w:noProof/>
                <w:webHidden/>
              </w:rPr>
              <w:fldChar w:fldCharType="separate"/>
            </w:r>
            <w:r w:rsidR="00595C4E">
              <w:rPr>
                <w:noProof/>
                <w:webHidden/>
              </w:rPr>
              <w:t>2</w:t>
            </w:r>
            <w:r w:rsidR="00595C4E">
              <w:rPr>
                <w:noProof/>
                <w:webHidden/>
              </w:rPr>
              <w:fldChar w:fldCharType="end"/>
            </w:r>
          </w:hyperlink>
        </w:p>
        <w:p w14:paraId="4DC347E8" w14:textId="77777777" w:rsidR="00595C4E" w:rsidRDefault="00BF4C93">
          <w:pPr>
            <w:pStyle w:val="TOC1"/>
            <w:tabs>
              <w:tab w:val="left" w:pos="720"/>
              <w:tab w:val="right" w:leader="dot" w:pos="9350"/>
            </w:tabs>
            <w:rPr>
              <w:rFonts w:asciiTheme="minorHAnsi" w:hAnsiTheme="minorHAnsi" w:cstheme="minorBidi"/>
              <w:b w:val="0"/>
              <w:noProof/>
            </w:rPr>
          </w:pPr>
          <w:hyperlink w:anchor="_Toc496536515" w:history="1">
            <w:r w:rsidR="00595C4E" w:rsidRPr="00C443B2">
              <w:rPr>
                <w:rStyle w:val="Hyperlink"/>
                <w:noProof/>
              </w:rPr>
              <w:t>C.</w:t>
            </w:r>
            <w:r w:rsidR="00595C4E">
              <w:rPr>
                <w:rFonts w:asciiTheme="minorHAnsi" w:hAnsiTheme="minorHAnsi" w:cstheme="minorBidi"/>
                <w:b w:val="0"/>
                <w:noProof/>
              </w:rPr>
              <w:tab/>
            </w:r>
            <w:r w:rsidR="00595C4E" w:rsidRPr="00C443B2">
              <w:rPr>
                <w:rStyle w:val="Hyperlink"/>
                <w:noProof/>
              </w:rPr>
              <w:t>TRADING IN A NEW WAVE OF GLOBALIZATION</w:t>
            </w:r>
            <w:r w:rsidR="00595C4E">
              <w:rPr>
                <w:noProof/>
                <w:webHidden/>
              </w:rPr>
              <w:tab/>
            </w:r>
            <w:r w:rsidR="00595C4E">
              <w:rPr>
                <w:noProof/>
                <w:webHidden/>
              </w:rPr>
              <w:fldChar w:fldCharType="begin"/>
            </w:r>
            <w:r w:rsidR="00595C4E">
              <w:rPr>
                <w:noProof/>
                <w:webHidden/>
              </w:rPr>
              <w:instrText xml:space="preserve"> PAGEREF _Toc496536515 \h </w:instrText>
            </w:r>
            <w:r w:rsidR="00595C4E">
              <w:rPr>
                <w:noProof/>
                <w:webHidden/>
              </w:rPr>
            </w:r>
            <w:r w:rsidR="00595C4E">
              <w:rPr>
                <w:noProof/>
                <w:webHidden/>
              </w:rPr>
              <w:fldChar w:fldCharType="separate"/>
            </w:r>
            <w:r w:rsidR="00595C4E">
              <w:rPr>
                <w:noProof/>
                <w:webHidden/>
              </w:rPr>
              <w:t>7</w:t>
            </w:r>
            <w:r w:rsidR="00595C4E">
              <w:rPr>
                <w:noProof/>
                <w:webHidden/>
              </w:rPr>
              <w:fldChar w:fldCharType="end"/>
            </w:r>
          </w:hyperlink>
        </w:p>
        <w:p w14:paraId="57AA7662" w14:textId="77777777" w:rsidR="00595C4E" w:rsidRDefault="00BF4C93">
          <w:pPr>
            <w:pStyle w:val="TOC1"/>
            <w:tabs>
              <w:tab w:val="left" w:pos="720"/>
              <w:tab w:val="right" w:leader="dot" w:pos="9350"/>
            </w:tabs>
            <w:rPr>
              <w:rFonts w:asciiTheme="minorHAnsi" w:hAnsiTheme="minorHAnsi" w:cstheme="minorBidi"/>
              <w:b w:val="0"/>
              <w:noProof/>
            </w:rPr>
          </w:pPr>
          <w:hyperlink w:anchor="_Toc496536516" w:history="1">
            <w:r w:rsidR="00595C4E" w:rsidRPr="00C443B2">
              <w:rPr>
                <w:rStyle w:val="Hyperlink"/>
                <w:noProof/>
              </w:rPr>
              <w:t>D.</w:t>
            </w:r>
            <w:r w:rsidR="00595C4E">
              <w:rPr>
                <w:rFonts w:asciiTheme="minorHAnsi" w:hAnsiTheme="minorHAnsi" w:cstheme="minorBidi"/>
                <w:b w:val="0"/>
                <w:noProof/>
              </w:rPr>
              <w:tab/>
            </w:r>
            <w:r w:rsidR="00595C4E" w:rsidRPr="00C443B2">
              <w:rPr>
                <w:rStyle w:val="Hyperlink"/>
                <w:noProof/>
              </w:rPr>
              <w:t>CHALLENGES AND OPPORTUNITIES IN A COMPETITIVE WORLD</w:t>
            </w:r>
            <w:r w:rsidR="00595C4E">
              <w:rPr>
                <w:noProof/>
                <w:webHidden/>
              </w:rPr>
              <w:tab/>
            </w:r>
            <w:r w:rsidR="00595C4E">
              <w:rPr>
                <w:noProof/>
                <w:webHidden/>
              </w:rPr>
              <w:fldChar w:fldCharType="begin"/>
            </w:r>
            <w:r w:rsidR="00595C4E">
              <w:rPr>
                <w:noProof/>
                <w:webHidden/>
              </w:rPr>
              <w:instrText xml:space="preserve"> PAGEREF _Toc496536516 \h </w:instrText>
            </w:r>
            <w:r w:rsidR="00595C4E">
              <w:rPr>
                <w:noProof/>
                <w:webHidden/>
              </w:rPr>
            </w:r>
            <w:r w:rsidR="00595C4E">
              <w:rPr>
                <w:noProof/>
                <w:webHidden/>
              </w:rPr>
              <w:fldChar w:fldCharType="separate"/>
            </w:r>
            <w:r w:rsidR="00595C4E">
              <w:rPr>
                <w:noProof/>
                <w:webHidden/>
              </w:rPr>
              <w:t>12</w:t>
            </w:r>
            <w:r w:rsidR="00595C4E">
              <w:rPr>
                <w:noProof/>
                <w:webHidden/>
              </w:rPr>
              <w:fldChar w:fldCharType="end"/>
            </w:r>
          </w:hyperlink>
        </w:p>
        <w:p w14:paraId="418C650B" w14:textId="77777777" w:rsidR="00595C4E" w:rsidRDefault="00BF4C93">
          <w:pPr>
            <w:pStyle w:val="TOC1"/>
            <w:tabs>
              <w:tab w:val="left" w:pos="720"/>
              <w:tab w:val="right" w:leader="dot" w:pos="9350"/>
            </w:tabs>
            <w:rPr>
              <w:rFonts w:asciiTheme="minorHAnsi" w:hAnsiTheme="minorHAnsi" w:cstheme="minorBidi"/>
              <w:b w:val="0"/>
              <w:noProof/>
            </w:rPr>
          </w:pPr>
          <w:hyperlink w:anchor="_Toc496536517" w:history="1">
            <w:r w:rsidR="00595C4E" w:rsidRPr="00C443B2">
              <w:rPr>
                <w:rStyle w:val="Hyperlink"/>
                <w:noProof/>
              </w:rPr>
              <w:t>E.</w:t>
            </w:r>
            <w:r w:rsidR="00595C4E">
              <w:rPr>
                <w:rFonts w:asciiTheme="minorHAnsi" w:hAnsiTheme="minorHAnsi" w:cstheme="minorBidi"/>
                <w:b w:val="0"/>
                <w:noProof/>
              </w:rPr>
              <w:tab/>
            </w:r>
            <w:r w:rsidR="00595C4E" w:rsidRPr="00C443B2">
              <w:rPr>
                <w:rStyle w:val="Hyperlink"/>
                <w:noProof/>
              </w:rPr>
              <w:t>LESSONS FROM EXPERIENCE OF HIGH PERFORMING ECONOMIES</w:t>
            </w:r>
            <w:r w:rsidR="00595C4E">
              <w:rPr>
                <w:noProof/>
                <w:webHidden/>
              </w:rPr>
              <w:tab/>
            </w:r>
            <w:r w:rsidR="00595C4E">
              <w:rPr>
                <w:noProof/>
                <w:webHidden/>
              </w:rPr>
              <w:fldChar w:fldCharType="begin"/>
            </w:r>
            <w:r w:rsidR="00595C4E">
              <w:rPr>
                <w:noProof/>
                <w:webHidden/>
              </w:rPr>
              <w:instrText xml:space="preserve"> PAGEREF _Toc496536517 \h </w:instrText>
            </w:r>
            <w:r w:rsidR="00595C4E">
              <w:rPr>
                <w:noProof/>
                <w:webHidden/>
              </w:rPr>
            </w:r>
            <w:r w:rsidR="00595C4E">
              <w:rPr>
                <w:noProof/>
                <w:webHidden/>
              </w:rPr>
              <w:fldChar w:fldCharType="separate"/>
            </w:r>
            <w:r w:rsidR="00595C4E">
              <w:rPr>
                <w:noProof/>
                <w:webHidden/>
              </w:rPr>
              <w:t>14</w:t>
            </w:r>
            <w:r w:rsidR="00595C4E">
              <w:rPr>
                <w:noProof/>
                <w:webHidden/>
              </w:rPr>
              <w:fldChar w:fldCharType="end"/>
            </w:r>
          </w:hyperlink>
        </w:p>
        <w:p w14:paraId="420D2FDC" w14:textId="77777777" w:rsidR="00595C4E" w:rsidRDefault="00BF4C93">
          <w:pPr>
            <w:pStyle w:val="TOC1"/>
            <w:tabs>
              <w:tab w:val="left" w:pos="720"/>
              <w:tab w:val="right" w:leader="dot" w:pos="9350"/>
            </w:tabs>
            <w:rPr>
              <w:rFonts w:asciiTheme="minorHAnsi" w:hAnsiTheme="minorHAnsi" w:cstheme="minorBidi"/>
              <w:b w:val="0"/>
              <w:noProof/>
            </w:rPr>
          </w:pPr>
          <w:hyperlink w:anchor="_Toc496536518" w:history="1">
            <w:r w:rsidR="00595C4E" w:rsidRPr="00C443B2">
              <w:rPr>
                <w:rStyle w:val="Hyperlink"/>
                <w:noProof/>
              </w:rPr>
              <w:t>F.</w:t>
            </w:r>
            <w:r w:rsidR="00595C4E">
              <w:rPr>
                <w:rFonts w:asciiTheme="minorHAnsi" w:hAnsiTheme="minorHAnsi" w:cstheme="minorBidi"/>
                <w:b w:val="0"/>
                <w:noProof/>
              </w:rPr>
              <w:tab/>
            </w:r>
            <w:r w:rsidR="00595C4E" w:rsidRPr="00C443B2">
              <w:rPr>
                <w:rStyle w:val="Hyperlink"/>
                <w:noProof/>
              </w:rPr>
              <w:t>BANGLADESH EXPORT PERFORMANCE AND THE TRADE REGIME</w:t>
            </w:r>
            <w:r w:rsidR="00595C4E">
              <w:rPr>
                <w:noProof/>
                <w:webHidden/>
              </w:rPr>
              <w:tab/>
            </w:r>
            <w:r w:rsidR="00595C4E">
              <w:rPr>
                <w:noProof/>
                <w:webHidden/>
              </w:rPr>
              <w:fldChar w:fldCharType="begin"/>
            </w:r>
            <w:r w:rsidR="00595C4E">
              <w:rPr>
                <w:noProof/>
                <w:webHidden/>
              </w:rPr>
              <w:instrText xml:space="preserve"> PAGEREF _Toc496536518 \h </w:instrText>
            </w:r>
            <w:r w:rsidR="00595C4E">
              <w:rPr>
                <w:noProof/>
                <w:webHidden/>
              </w:rPr>
            </w:r>
            <w:r w:rsidR="00595C4E">
              <w:rPr>
                <w:noProof/>
                <w:webHidden/>
              </w:rPr>
              <w:fldChar w:fldCharType="separate"/>
            </w:r>
            <w:r w:rsidR="00595C4E">
              <w:rPr>
                <w:noProof/>
                <w:webHidden/>
              </w:rPr>
              <w:t>21</w:t>
            </w:r>
            <w:r w:rsidR="00595C4E">
              <w:rPr>
                <w:noProof/>
                <w:webHidden/>
              </w:rPr>
              <w:fldChar w:fldCharType="end"/>
            </w:r>
          </w:hyperlink>
        </w:p>
        <w:p w14:paraId="0EF1F519" w14:textId="77777777" w:rsidR="00595C4E" w:rsidRDefault="00BF4C93">
          <w:pPr>
            <w:pStyle w:val="TOC1"/>
            <w:tabs>
              <w:tab w:val="left" w:pos="720"/>
              <w:tab w:val="right" w:leader="dot" w:pos="9350"/>
            </w:tabs>
            <w:rPr>
              <w:rFonts w:asciiTheme="minorHAnsi" w:hAnsiTheme="minorHAnsi" w:cstheme="minorBidi"/>
              <w:b w:val="0"/>
              <w:noProof/>
            </w:rPr>
          </w:pPr>
          <w:hyperlink w:anchor="_Toc496536519" w:history="1">
            <w:r w:rsidR="00595C4E" w:rsidRPr="00C443B2">
              <w:rPr>
                <w:rStyle w:val="Hyperlink"/>
                <w:noProof/>
              </w:rPr>
              <w:t>G.</w:t>
            </w:r>
            <w:r w:rsidR="00595C4E">
              <w:rPr>
                <w:rFonts w:asciiTheme="minorHAnsi" w:hAnsiTheme="minorHAnsi" w:cstheme="minorBidi"/>
                <w:b w:val="0"/>
                <w:noProof/>
              </w:rPr>
              <w:tab/>
            </w:r>
            <w:r w:rsidR="00595C4E" w:rsidRPr="00C443B2">
              <w:rPr>
                <w:rStyle w:val="Hyperlink"/>
                <w:noProof/>
              </w:rPr>
              <w:t>EXPORT COMPETITIVENESS AND TRADE POLICIES OF THE FUTURE</w:t>
            </w:r>
            <w:r w:rsidR="00595C4E">
              <w:rPr>
                <w:noProof/>
                <w:webHidden/>
              </w:rPr>
              <w:tab/>
            </w:r>
            <w:r w:rsidR="00595C4E">
              <w:rPr>
                <w:noProof/>
                <w:webHidden/>
              </w:rPr>
              <w:fldChar w:fldCharType="begin"/>
            </w:r>
            <w:r w:rsidR="00595C4E">
              <w:rPr>
                <w:noProof/>
                <w:webHidden/>
              </w:rPr>
              <w:instrText xml:space="preserve"> PAGEREF _Toc496536519 \h </w:instrText>
            </w:r>
            <w:r w:rsidR="00595C4E">
              <w:rPr>
                <w:noProof/>
                <w:webHidden/>
              </w:rPr>
            </w:r>
            <w:r w:rsidR="00595C4E">
              <w:rPr>
                <w:noProof/>
                <w:webHidden/>
              </w:rPr>
              <w:fldChar w:fldCharType="separate"/>
            </w:r>
            <w:r w:rsidR="00595C4E">
              <w:rPr>
                <w:noProof/>
                <w:webHidden/>
              </w:rPr>
              <w:t>36</w:t>
            </w:r>
            <w:r w:rsidR="00595C4E">
              <w:rPr>
                <w:noProof/>
                <w:webHidden/>
              </w:rPr>
              <w:fldChar w:fldCharType="end"/>
            </w:r>
          </w:hyperlink>
        </w:p>
        <w:p w14:paraId="73548251" w14:textId="77777777" w:rsidR="00595C4E" w:rsidRDefault="00BF4C93">
          <w:pPr>
            <w:pStyle w:val="TOC1"/>
            <w:tabs>
              <w:tab w:val="left" w:pos="720"/>
              <w:tab w:val="right" w:leader="dot" w:pos="9350"/>
            </w:tabs>
            <w:rPr>
              <w:rFonts w:asciiTheme="minorHAnsi" w:hAnsiTheme="minorHAnsi" w:cstheme="minorBidi"/>
              <w:b w:val="0"/>
              <w:noProof/>
            </w:rPr>
          </w:pPr>
          <w:hyperlink w:anchor="_Toc496536520" w:history="1">
            <w:r w:rsidR="00595C4E" w:rsidRPr="00C443B2">
              <w:rPr>
                <w:rStyle w:val="Hyperlink"/>
                <w:noProof/>
              </w:rPr>
              <w:t>H.</w:t>
            </w:r>
            <w:r w:rsidR="00595C4E">
              <w:rPr>
                <w:rFonts w:asciiTheme="minorHAnsi" w:hAnsiTheme="minorHAnsi" w:cstheme="minorBidi"/>
                <w:b w:val="0"/>
                <w:noProof/>
              </w:rPr>
              <w:tab/>
            </w:r>
            <w:r w:rsidR="00595C4E" w:rsidRPr="00C443B2">
              <w:rPr>
                <w:rStyle w:val="Hyperlink"/>
                <w:noProof/>
              </w:rPr>
              <w:t>COURTING FDI IN EXPORT-ORIENTED MANUFACTURING</w:t>
            </w:r>
            <w:r w:rsidR="00595C4E">
              <w:rPr>
                <w:noProof/>
                <w:webHidden/>
              </w:rPr>
              <w:tab/>
            </w:r>
            <w:r w:rsidR="00595C4E">
              <w:rPr>
                <w:noProof/>
                <w:webHidden/>
              </w:rPr>
              <w:fldChar w:fldCharType="begin"/>
            </w:r>
            <w:r w:rsidR="00595C4E">
              <w:rPr>
                <w:noProof/>
                <w:webHidden/>
              </w:rPr>
              <w:instrText xml:space="preserve"> PAGEREF _Toc496536520 \h </w:instrText>
            </w:r>
            <w:r w:rsidR="00595C4E">
              <w:rPr>
                <w:noProof/>
                <w:webHidden/>
              </w:rPr>
            </w:r>
            <w:r w:rsidR="00595C4E">
              <w:rPr>
                <w:noProof/>
                <w:webHidden/>
              </w:rPr>
              <w:fldChar w:fldCharType="separate"/>
            </w:r>
            <w:r w:rsidR="00595C4E">
              <w:rPr>
                <w:noProof/>
                <w:webHidden/>
              </w:rPr>
              <w:t>47</w:t>
            </w:r>
            <w:r w:rsidR="00595C4E">
              <w:rPr>
                <w:noProof/>
                <w:webHidden/>
              </w:rPr>
              <w:fldChar w:fldCharType="end"/>
            </w:r>
          </w:hyperlink>
        </w:p>
        <w:p w14:paraId="0C184D26" w14:textId="77777777" w:rsidR="00595C4E" w:rsidRDefault="00BF4C93">
          <w:pPr>
            <w:pStyle w:val="TOC1"/>
            <w:tabs>
              <w:tab w:val="left" w:pos="720"/>
              <w:tab w:val="right" w:leader="dot" w:pos="9350"/>
            </w:tabs>
            <w:rPr>
              <w:rFonts w:asciiTheme="minorHAnsi" w:hAnsiTheme="minorHAnsi" w:cstheme="minorBidi"/>
              <w:b w:val="0"/>
              <w:noProof/>
            </w:rPr>
          </w:pPr>
          <w:hyperlink w:anchor="_Toc496536521" w:history="1">
            <w:r w:rsidR="00595C4E" w:rsidRPr="00C443B2">
              <w:rPr>
                <w:rStyle w:val="Hyperlink"/>
                <w:noProof/>
              </w:rPr>
              <w:t>I.</w:t>
            </w:r>
            <w:r w:rsidR="00595C4E">
              <w:rPr>
                <w:rFonts w:asciiTheme="minorHAnsi" w:hAnsiTheme="minorHAnsi" w:cstheme="minorBidi"/>
                <w:b w:val="0"/>
                <w:noProof/>
              </w:rPr>
              <w:tab/>
            </w:r>
            <w:r w:rsidR="00595C4E" w:rsidRPr="00C443B2">
              <w:rPr>
                <w:rStyle w:val="Hyperlink"/>
                <w:noProof/>
              </w:rPr>
              <w:t>STRENGTHENING INSTITUTIONS FOR TRADE AND INDUSTRY</w:t>
            </w:r>
            <w:r w:rsidR="00595C4E">
              <w:rPr>
                <w:noProof/>
                <w:webHidden/>
              </w:rPr>
              <w:tab/>
            </w:r>
            <w:r w:rsidR="00595C4E">
              <w:rPr>
                <w:noProof/>
                <w:webHidden/>
              </w:rPr>
              <w:fldChar w:fldCharType="begin"/>
            </w:r>
            <w:r w:rsidR="00595C4E">
              <w:rPr>
                <w:noProof/>
                <w:webHidden/>
              </w:rPr>
              <w:instrText xml:space="preserve"> PAGEREF _Toc496536521 \h </w:instrText>
            </w:r>
            <w:r w:rsidR="00595C4E">
              <w:rPr>
                <w:noProof/>
                <w:webHidden/>
              </w:rPr>
            </w:r>
            <w:r w:rsidR="00595C4E">
              <w:rPr>
                <w:noProof/>
                <w:webHidden/>
              </w:rPr>
              <w:fldChar w:fldCharType="separate"/>
            </w:r>
            <w:r w:rsidR="00595C4E">
              <w:rPr>
                <w:noProof/>
                <w:webHidden/>
              </w:rPr>
              <w:t>54</w:t>
            </w:r>
            <w:r w:rsidR="00595C4E">
              <w:rPr>
                <w:noProof/>
                <w:webHidden/>
              </w:rPr>
              <w:fldChar w:fldCharType="end"/>
            </w:r>
          </w:hyperlink>
        </w:p>
        <w:p w14:paraId="1B5457B0" w14:textId="77777777" w:rsidR="00595C4E" w:rsidRDefault="00BF4C93">
          <w:pPr>
            <w:pStyle w:val="TOC1"/>
            <w:tabs>
              <w:tab w:val="left" w:pos="720"/>
              <w:tab w:val="right" w:leader="dot" w:pos="9350"/>
            </w:tabs>
            <w:rPr>
              <w:rFonts w:asciiTheme="minorHAnsi" w:hAnsiTheme="minorHAnsi" w:cstheme="minorBidi"/>
              <w:b w:val="0"/>
              <w:noProof/>
            </w:rPr>
          </w:pPr>
          <w:hyperlink w:anchor="_Toc496536522" w:history="1">
            <w:r w:rsidR="00595C4E" w:rsidRPr="00C443B2">
              <w:rPr>
                <w:rStyle w:val="Hyperlink"/>
                <w:noProof/>
              </w:rPr>
              <w:t>J.</w:t>
            </w:r>
            <w:r w:rsidR="00595C4E">
              <w:rPr>
                <w:rFonts w:asciiTheme="minorHAnsi" w:hAnsiTheme="minorHAnsi" w:cstheme="minorBidi"/>
                <w:b w:val="0"/>
                <w:noProof/>
              </w:rPr>
              <w:tab/>
            </w:r>
            <w:r w:rsidR="00595C4E" w:rsidRPr="00C443B2">
              <w:rPr>
                <w:rStyle w:val="Hyperlink"/>
                <w:noProof/>
              </w:rPr>
              <w:t>CONCLUSIONS AND THE ROAD TO TRANSFORMATION TO HIC</w:t>
            </w:r>
            <w:r w:rsidR="00595C4E">
              <w:rPr>
                <w:noProof/>
                <w:webHidden/>
              </w:rPr>
              <w:tab/>
            </w:r>
            <w:r w:rsidR="00595C4E">
              <w:rPr>
                <w:noProof/>
                <w:webHidden/>
              </w:rPr>
              <w:fldChar w:fldCharType="begin"/>
            </w:r>
            <w:r w:rsidR="00595C4E">
              <w:rPr>
                <w:noProof/>
                <w:webHidden/>
              </w:rPr>
              <w:instrText xml:space="preserve"> PAGEREF _Toc496536522 \h </w:instrText>
            </w:r>
            <w:r w:rsidR="00595C4E">
              <w:rPr>
                <w:noProof/>
                <w:webHidden/>
              </w:rPr>
            </w:r>
            <w:r w:rsidR="00595C4E">
              <w:rPr>
                <w:noProof/>
                <w:webHidden/>
              </w:rPr>
              <w:fldChar w:fldCharType="separate"/>
            </w:r>
            <w:r w:rsidR="00595C4E">
              <w:rPr>
                <w:noProof/>
                <w:webHidden/>
              </w:rPr>
              <w:t>57</w:t>
            </w:r>
            <w:r w:rsidR="00595C4E">
              <w:rPr>
                <w:noProof/>
                <w:webHidden/>
              </w:rPr>
              <w:fldChar w:fldCharType="end"/>
            </w:r>
          </w:hyperlink>
        </w:p>
        <w:p w14:paraId="0DB4CD36" w14:textId="77777777" w:rsidR="00595C4E" w:rsidRDefault="00BF4C93">
          <w:pPr>
            <w:pStyle w:val="TOC1"/>
            <w:tabs>
              <w:tab w:val="right" w:leader="dot" w:pos="9350"/>
            </w:tabs>
            <w:rPr>
              <w:rFonts w:asciiTheme="minorHAnsi" w:hAnsiTheme="minorHAnsi" w:cstheme="minorBidi"/>
              <w:b w:val="0"/>
              <w:noProof/>
            </w:rPr>
          </w:pPr>
          <w:hyperlink w:anchor="_Toc496536523" w:history="1">
            <w:r w:rsidR="00595C4E" w:rsidRPr="00C443B2">
              <w:rPr>
                <w:rStyle w:val="Hyperlink"/>
                <w:noProof/>
              </w:rPr>
              <w:t>REFERENCES</w:t>
            </w:r>
            <w:r w:rsidR="00595C4E">
              <w:rPr>
                <w:noProof/>
                <w:webHidden/>
              </w:rPr>
              <w:tab/>
            </w:r>
            <w:r w:rsidR="00595C4E">
              <w:rPr>
                <w:noProof/>
                <w:webHidden/>
              </w:rPr>
              <w:fldChar w:fldCharType="begin"/>
            </w:r>
            <w:r w:rsidR="00595C4E">
              <w:rPr>
                <w:noProof/>
                <w:webHidden/>
              </w:rPr>
              <w:instrText xml:space="preserve"> PAGEREF _Toc496536523 \h </w:instrText>
            </w:r>
            <w:r w:rsidR="00595C4E">
              <w:rPr>
                <w:noProof/>
                <w:webHidden/>
              </w:rPr>
            </w:r>
            <w:r w:rsidR="00595C4E">
              <w:rPr>
                <w:noProof/>
                <w:webHidden/>
              </w:rPr>
              <w:fldChar w:fldCharType="separate"/>
            </w:r>
            <w:r w:rsidR="00595C4E">
              <w:rPr>
                <w:noProof/>
                <w:webHidden/>
              </w:rPr>
              <w:t>60</w:t>
            </w:r>
            <w:r w:rsidR="00595C4E">
              <w:rPr>
                <w:noProof/>
                <w:webHidden/>
              </w:rPr>
              <w:fldChar w:fldCharType="end"/>
            </w:r>
          </w:hyperlink>
        </w:p>
        <w:p w14:paraId="6C315506" w14:textId="77777777" w:rsidR="00595C4E" w:rsidRDefault="00BF4C93">
          <w:pPr>
            <w:pStyle w:val="TOC1"/>
            <w:tabs>
              <w:tab w:val="right" w:leader="dot" w:pos="9350"/>
            </w:tabs>
            <w:rPr>
              <w:rFonts w:asciiTheme="minorHAnsi" w:hAnsiTheme="minorHAnsi" w:cstheme="minorBidi"/>
              <w:b w:val="0"/>
              <w:noProof/>
            </w:rPr>
          </w:pPr>
          <w:hyperlink w:anchor="_Toc496536524" w:history="1">
            <w:r w:rsidR="00595C4E" w:rsidRPr="00C443B2">
              <w:rPr>
                <w:rStyle w:val="Hyperlink"/>
                <w:noProof/>
              </w:rPr>
              <w:t>ANNEX-A</w:t>
            </w:r>
            <w:r w:rsidR="00595C4E">
              <w:rPr>
                <w:noProof/>
                <w:webHidden/>
              </w:rPr>
              <w:tab/>
            </w:r>
            <w:r w:rsidR="00595C4E">
              <w:rPr>
                <w:noProof/>
                <w:webHidden/>
              </w:rPr>
              <w:fldChar w:fldCharType="begin"/>
            </w:r>
            <w:r w:rsidR="00595C4E">
              <w:rPr>
                <w:noProof/>
                <w:webHidden/>
              </w:rPr>
              <w:instrText xml:space="preserve"> PAGEREF _Toc496536524 \h </w:instrText>
            </w:r>
            <w:r w:rsidR="00595C4E">
              <w:rPr>
                <w:noProof/>
                <w:webHidden/>
              </w:rPr>
            </w:r>
            <w:r w:rsidR="00595C4E">
              <w:rPr>
                <w:noProof/>
                <w:webHidden/>
              </w:rPr>
              <w:fldChar w:fldCharType="separate"/>
            </w:r>
            <w:r w:rsidR="00595C4E">
              <w:rPr>
                <w:noProof/>
                <w:webHidden/>
              </w:rPr>
              <w:t>64</w:t>
            </w:r>
            <w:r w:rsidR="00595C4E">
              <w:rPr>
                <w:noProof/>
                <w:webHidden/>
              </w:rPr>
              <w:fldChar w:fldCharType="end"/>
            </w:r>
          </w:hyperlink>
        </w:p>
        <w:p w14:paraId="0BF4C9F5" w14:textId="3CE4AA5A" w:rsidR="00970527" w:rsidRDefault="00AA5AF5">
          <w:r>
            <w:rPr>
              <w:rFonts w:ascii="Times New Roman" w:hAnsi="Times New Roman" w:cs="Times New Roman"/>
              <w:sz w:val="22"/>
              <w:szCs w:val="22"/>
            </w:rPr>
            <w:fldChar w:fldCharType="end"/>
          </w:r>
        </w:p>
      </w:sdtContent>
    </w:sdt>
    <w:p w14:paraId="76DFFDBC" w14:textId="77777777" w:rsidR="00970527" w:rsidRDefault="00970527" w:rsidP="00970527"/>
    <w:p w14:paraId="6CB8ECEB" w14:textId="538F4716" w:rsidR="00AA5AF5" w:rsidRPr="00AA5AF5" w:rsidRDefault="00AA5AF5" w:rsidP="002B78EF">
      <w:pPr>
        <w:pStyle w:val="Heading1"/>
        <w:numPr>
          <w:ilvl w:val="0"/>
          <w:numId w:val="0"/>
        </w:numPr>
        <w:spacing w:after="240"/>
        <w:jc w:val="center"/>
      </w:pPr>
      <w:bookmarkStart w:id="0" w:name="_Toc496536507"/>
      <w:r w:rsidRPr="00AA5AF5">
        <w:t>List of Tables</w:t>
      </w:r>
      <w:bookmarkEnd w:id="0"/>
    </w:p>
    <w:p w14:paraId="6E5AAF1F" w14:textId="77777777" w:rsidR="00595C4E" w:rsidRDefault="00AA5AF5">
      <w:pPr>
        <w:pStyle w:val="TOC2"/>
        <w:tabs>
          <w:tab w:val="right" w:leader="dot" w:pos="9350"/>
        </w:tabs>
        <w:rPr>
          <w:rFonts w:asciiTheme="minorHAnsi" w:hAnsiTheme="minorHAnsi" w:cstheme="minorBidi"/>
          <w:noProof/>
        </w:rPr>
      </w:pPr>
      <w:r>
        <w:fldChar w:fldCharType="begin"/>
      </w:r>
      <w:r>
        <w:instrText xml:space="preserve"> TOC \h \z \u \t "Heading 4,2" </w:instrText>
      </w:r>
      <w:r>
        <w:fldChar w:fldCharType="separate"/>
      </w:r>
      <w:hyperlink w:anchor="_Toc496536525" w:history="1">
        <w:r w:rsidR="00595C4E" w:rsidRPr="007A0DFC">
          <w:rPr>
            <w:rStyle w:val="Hyperlink"/>
            <w:noProof/>
          </w:rPr>
          <w:t>Table 1: Effective Exchange Rates for Exports Imports in Korea, 1962-75</w:t>
        </w:r>
        <w:r w:rsidR="00595C4E">
          <w:rPr>
            <w:noProof/>
            <w:webHidden/>
          </w:rPr>
          <w:tab/>
        </w:r>
        <w:r w:rsidR="00595C4E">
          <w:rPr>
            <w:noProof/>
            <w:webHidden/>
          </w:rPr>
          <w:fldChar w:fldCharType="begin"/>
        </w:r>
        <w:r w:rsidR="00595C4E">
          <w:rPr>
            <w:noProof/>
            <w:webHidden/>
          </w:rPr>
          <w:instrText xml:space="preserve"> PAGEREF _Toc496536525 \h </w:instrText>
        </w:r>
        <w:r w:rsidR="00595C4E">
          <w:rPr>
            <w:noProof/>
            <w:webHidden/>
          </w:rPr>
        </w:r>
        <w:r w:rsidR="00595C4E">
          <w:rPr>
            <w:noProof/>
            <w:webHidden/>
          </w:rPr>
          <w:fldChar w:fldCharType="separate"/>
        </w:r>
        <w:r w:rsidR="00595C4E">
          <w:rPr>
            <w:noProof/>
            <w:webHidden/>
          </w:rPr>
          <w:t>16</w:t>
        </w:r>
        <w:r w:rsidR="00595C4E">
          <w:rPr>
            <w:noProof/>
            <w:webHidden/>
          </w:rPr>
          <w:fldChar w:fldCharType="end"/>
        </w:r>
      </w:hyperlink>
    </w:p>
    <w:p w14:paraId="27FD322C" w14:textId="77777777" w:rsidR="00595C4E" w:rsidRDefault="00BF4C93">
      <w:pPr>
        <w:pStyle w:val="TOC2"/>
        <w:tabs>
          <w:tab w:val="right" w:leader="dot" w:pos="9350"/>
        </w:tabs>
        <w:rPr>
          <w:rFonts w:asciiTheme="minorHAnsi" w:hAnsiTheme="minorHAnsi" w:cstheme="minorBidi"/>
          <w:noProof/>
        </w:rPr>
      </w:pPr>
      <w:hyperlink w:anchor="_Toc496536526" w:history="1">
        <w:r w:rsidR="00595C4E" w:rsidRPr="007A0DFC">
          <w:rPr>
            <w:rStyle w:val="Hyperlink"/>
            <w:noProof/>
          </w:rPr>
          <w:t>Table 2: Nominal and Effective Protection for Manufacturing</w:t>
        </w:r>
        <w:r w:rsidR="00595C4E">
          <w:rPr>
            <w:noProof/>
            <w:webHidden/>
          </w:rPr>
          <w:tab/>
        </w:r>
        <w:r w:rsidR="00595C4E">
          <w:rPr>
            <w:noProof/>
            <w:webHidden/>
          </w:rPr>
          <w:fldChar w:fldCharType="begin"/>
        </w:r>
        <w:r w:rsidR="00595C4E">
          <w:rPr>
            <w:noProof/>
            <w:webHidden/>
          </w:rPr>
          <w:instrText xml:space="preserve"> PAGEREF _Toc496536526 \h </w:instrText>
        </w:r>
        <w:r w:rsidR="00595C4E">
          <w:rPr>
            <w:noProof/>
            <w:webHidden/>
          </w:rPr>
        </w:r>
        <w:r w:rsidR="00595C4E">
          <w:rPr>
            <w:noProof/>
            <w:webHidden/>
          </w:rPr>
          <w:fldChar w:fldCharType="separate"/>
        </w:r>
        <w:r w:rsidR="00595C4E">
          <w:rPr>
            <w:noProof/>
            <w:webHidden/>
          </w:rPr>
          <w:t>17</w:t>
        </w:r>
        <w:r w:rsidR="00595C4E">
          <w:rPr>
            <w:noProof/>
            <w:webHidden/>
          </w:rPr>
          <w:fldChar w:fldCharType="end"/>
        </w:r>
      </w:hyperlink>
    </w:p>
    <w:p w14:paraId="377A89D7" w14:textId="77777777" w:rsidR="00595C4E" w:rsidRDefault="00BF4C93">
      <w:pPr>
        <w:pStyle w:val="TOC2"/>
        <w:tabs>
          <w:tab w:val="right" w:leader="dot" w:pos="9350"/>
        </w:tabs>
        <w:rPr>
          <w:rFonts w:asciiTheme="minorHAnsi" w:hAnsiTheme="minorHAnsi" w:cstheme="minorBidi"/>
          <w:noProof/>
        </w:rPr>
      </w:pPr>
      <w:hyperlink w:anchor="_Toc496536527" w:history="1">
        <w:r w:rsidR="00595C4E" w:rsidRPr="007A0DFC">
          <w:rPr>
            <w:rStyle w:val="Hyperlink"/>
            <w:noProof/>
          </w:rPr>
          <w:t>Table 3: Structure of Imports and Exports FY2016</w:t>
        </w:r>
        <w:r w:rsidR="00595C4E">
          <w:rPr>
            <w:noProof/>
            <w:webHidden/>
          </w:rPr>
          <w:tab/>
        </w:r>
        <w:r w:rsidR="00595C4E">
          <w:rPr>
            <w:noProof/>
            <w:webHidden/>
          </w:rPr>
          <w:fldChar w:fldCharType="begin"/>
        </w:r>
        <w:r w:rsidR="00595C4E">
          <w:rPr>
            <w:noProof/>
            <w:webHidden/>
          </w:rPr>
          <w:instrText xml:space="preserve"> PAGEREF _Toc496536527 \h </w:instrText>
        </w:r>
        <w:r w:rsidR="00595C4E">
          <w:rPr>
            <w:noProof/>
            <w:webHidden/>
          </w:rPr>
        </w:r>
        <w:r w:rsidR="00595C4E">
          <w:rPr>
            <w:noProof/>
            <w:webHidden/>
          </w:rPr>
          <w:fldChar w:fldCharType="separate"/>
        </w:r>
        <w:r w:rsidR="00595C4E">
          <w:rPr>
            <w:noProof/>
            <w:webHidden/>
          </w:rPr>
          <w:t>23</w:t>
        </w:r>
        <w:r w:rsidR="00595C4E">
          <w:rPr>
            <w:noProof/>
            <w:webHidden/>
          </w:rPr>
          <w:fldChar w:fldCharType="end"/>
        </w:r>
      </w:hyperlink>
    </w:p>
    <w:p w14:paraId="7306DE5C" w14:textId="77777777" w:rsidR="00595C4E" w:rsidRDefault="00BF4C93">
      <w:pPr>
        <w:pStyle w:val="TOC2"/>
        <w:tabs>
          <w:tab w:val="right" w:leader="dot" w:pos="9350"/>
        </w:tabs>
        <w:rPr>
          <w:rFonts w:asciiTheme="minorHAnsi" w:hAnsiTheme="minorHAnsi" w:cstheme="minorBidi"/>
          <w:noProof/>
        </w:rPr>
      </w:pPr>
      <w:hyperlink w:anchor="_Toc496536528" w:history="1">
        <w:r w:rsidR="00595C4E" w:rsidRPr="007A0DFC">
          <w:rPr>
            <w:rStyle w:val="Hyperlink"/>
            <w:noProof/>
          </w:rPr>
          <w:t>Table 4: Bangladesh: 2016 Trade Openness in Asia</w:t>
        </w:r>
        <w:r w:rsidR="00595C4E">
          <w:rPr>
            <w:noProof/>
            <w:webHidden/>
          </w:rPr>
          <w:tab/>
        </w:r>
        <w:r w:rsidR="00595C4E">
          <w:rPr>
            <w:noProof/>
            <w:webHidden/>
          </w:rPr>
          <w:fldChar w:fldCharType="begin"/>
        </w:r>
        <w:r w:rsidR="00595C4E">
          <w:rPr>
            <w:noProof/>
            <w:webHidden/>
          </w:rPr>
          <w:instrText xml:space="preserve"> PAGEREF _Toc496536528 \h </w:instrText>
        </w:r>
        <w:r w:rsidR="00595C4E">
          <w:rPr>
            <w:noProof/>
            <w:webHidden/>
          </w:rPr>
        </w:r>
        <w:r w:rsidR="00595C4E">
          <w:rPr>
            <w:noProof/>
            <w:webHidden/>
          </w:rPr>
          <w:fldChar w:fldCharType="separate"/>
        </w:r>
        <w:r w:rsidR="00595C4E">
          <w:rPr>
            <w:noProof/>
            <w:webHidden/>
          </w:rPr>
          <w:t>24</w:t>
        </w:r>
        <w:r w:rsidR="00595C4E">
          <w:rPr>
            <w:noProof/>
            <w:webHidden/>
          </w:rPr>
          <w:fldChar w:fldCharType="end"/>
        </w:r>
      </w:hyperlink>
    </w:p>
    <w:p w14:paraId="698D66C8" w14:textId="77777777" w:rsidR="00595C4E" w:rsidRDefault="00BF4C93">
      <w:pPr>
        <w:pStyle w:val="TOC2"/>
        <w:tabs>
          <w:tab w:val="right" w:leader="dot" w:pos="9350"/>
        </w:tabs>
        <w:rPr>
          <w:rFonts w:asciiTheme="minorHAnsi" w:hAnsiTheme="minorHAnsi" w:cstheme="minorBidi"/>
          <w:noProof/>
        </w:rPr>
      </w:pPr>
      <w:hyperlink w:anchor="_Toc496536529" w:history="1">
        <w:r w:rsidR="00595C4E" w:rsidRPr="007A0DFC">
          <w:rPr>
            <w:rStyle w:val="Hyperlink"/>
            <w:noProof/>
          </w:rPr>
          <w:t>Table 5. The Enabling Trade Index 2016; Bangladesh</w:t>
        </w:r>
        <w:r w:rsidR="00595C4E">
          <w:rPr>
            <w:noProof/>
            <w:webHidden/>
          </w:rPr>
          <w:tab/>
        </w:r>
        <w:r w:rsidR="00595C4E">
          <w:rPr>
            <w:noProof/>
            <w:webHidden/>
          </w:rPr>
          <w:fldChar w:fldCharType="begin"/>
        </w:r>
        <w:r w:rsidR="00595C4E">
          <w:rPr>
            <w:noProof/>
            <w:webHidden/>
          </w:rPr>
          <w:instrText xml:space="preserve"> PAGEREF _Toc496536529 \h </w:instrText>
        </w:r>
        <w:r w:rsidR="00595C4E">
          <w:rPr>
            <w:noProof/>
            <w:webHidden/>
          </w:rPr>
        </w:r>
        <w:r w:rsidR="00595C4E">
          <w:rPr>
            <w:noProof/>
            <w:webHidden/>
          </w:rPr>
          <w:fldChar w:fldCharType="separate"/>
        </w:r>
        <w:r w:rsidR="00595C4E">
          <w:rPr>
            <w:noProof/>
            <w:webHidden/>
          </w:rPr>
          <w:t>27</w:t>
        </w:r>
        <w:r w:rsidR="00595C4E">
          <w:rPr>
            <w:noProof/>
            <w:webHidden/>
          </w:rPr>
          <w:fldChar w:fldCharType="end"/>
        </w:r>
      </w:hyperlink>
    </w:p>
    <w:p w14:paraId="70ACEE21" w14:textId="77777777" w:rsidR="00595C4E" w:rsidRDefault="00BF4C93">
      <w:pPr>
        <w:pStyle w:val="TOC2"/>
        <w:tabs>
          <w:tab w:val="right" w:leader="dot" w:pos="9350"/>
        </w:tabs>
        <w:rPr>
          <w:rFonts w:asciiTheme="minorHAnsi" w:hAnsiTheme="minorHAnsi" w:cstheme="minorBidi"/>
          <w:noProof/>
        </w:rPr>
      </w:pPr>
      <w:hyperlink w:anchor="_Toc496536530" w:history="1">
        <w:r w:rsidR="00595C4E" w:rsidRPr="007A0DFC">
          <w:rPr>
            <w:rStyle w:val="Hyperlink"/>
            <w:noProof/>
          </w:rPr>
          <w:t>Table 6: Comparison of Infrastructure Quality, 2016-2017</w:t>
        </w:r>
        <w:r w:rsidR="00595C4E">
          <w:rPr>
            <w:noProof/>
            <w:webHidden/>
          </w:rPr>
          <w:tab/>
        </w:r>
        <w:r w:rsidR="00595C4E">
          <w:rPr>
            <w:noProof/>
            <w:webHidden/>
          </w:rPr>
          <w:fldChar w:fldCharType="begin"/>
        </w:r>
        <w:r w:rsidR="00595C4E">
          <w:rPr>
            <w:noProof/>
            <w:webHidden/>
          </w:rPr>
          <w:instrText xml:space="preserve"> PAGEREF _Toc496536530 \h </w:instrText>
        </w:r>
        <w:r w:rsidR="00595C4E">
          <w:rPr>
            <w:noProof/>
            <w:webHidden/>
          </w:rPr>
        </w:r>
        <w:r w:rsidR="00595C4E">
          <w:rPr>
            <w:noProof/>
            <w:webHidden/>
          </w:rPr>
          <w:fldChar w:fldCharType="separate"/>
        </w:r>
        <w:r w:rsidR="00595C4E">
          <w:rPr>
            <w:noProof/>
            <w:webHidden/>
          </w:rPr>
          <w:t>28</w:t>
        </w:r>
        <w:r w:rsidR="00595C4E">
          <w:rPr>
            <w:noProof/>
            <w:webHidden/>
          </w:rPr>
          <w:fldChar w:fldCharType="end"/>
        </w:r>
      </w:hyperlink>
    </w:p>
    <w:p w14:paraId="35386246" w14:textId="77777777" w:rsidR="00595C4E" w:rsidRDefault="00BF4C93">
      <w:pPr>
        <w:pStyle w:val="TOC2"/>
        <w:tabs>
          <w:tab w:val="right" w:leader="dot" w:pos="9350"/>
        </w:tabs>
        <w:rPr>
          <w:rFonts w:asciiTheme="minorHAnsi" w:hAnsiTheme="minorHAnsi" w:cstheme="minorBidi"/>
          <w:noProof/>
        </w:rPr>
      </w:pPr>
      <w:hyperlink w:anchor="_Toc496536531" w:history="1">
        <w:r w:rsidR="00595C4E" w:rsidRPr="007A0DFC">
          <w:rPr>
            <w:rStyle w:val="Hyperlink"/>
            <w:noProof/>
          </w:rPr>
          <w:t>Table 7: Ease of Doing Business (2016)</w:t>
        </w:r>
        <w:r w:rsidR="00595C4E">
          <w:rPr>
            <w:noProof/>
            <w:webHidden/>
          </w:rPr>
          <w:tab/>
        </w:r>
        <w:r w:rsidR="00595C4E">
          <w:rPr>
            <w:noProof/>
            <w:webHidden/>
          </w:rPr>
          <w:fldChar w:fldCharType="begin"/>
        </w:r>
        <w:r w:rsidR="00595C4E">
          <w:rPr>
            <w:noProof/>
            <w:webHidden/>
          </w:rPr>
          <w:instrText xml:space="preserve"> PAGEREF _Toc496536531 \h </w:instrText>
        </w:r>
        <w:r w:rsidR="00595C4E">
          <w:rPr>
            <w:noProof/>
            <w:webHidden/>
          </w:rPr>
        </w:r>
        <w:r w:rsidR="00595C4E">
          <w:rPr>
            <w:noProof/>
            <w:webHidden/>
          </w:rPr>
          <w:fldChar w:fldCharType="separate"/>
        </w:r>
        <w:r w:rsidR="00595C4E">
          <w:rPr>
            <w:noProof/>
            <w:webHidden/>
          </w:rPr>
          <w:t>29</w:t>
        </w:r>
        <w:r w:rsidR="00595C4E">
          <w:rPr>
            <w:noProof/>
            <w:webHidden/>
          </w:rPr>
          <w:fldChar w:fldCharType="end"/>
        </w:r>
      </w:hyperlink>
    </w:p>
    <w:p w14:paraId="4F1EDBB0" w14:textId="77777777" w:rsidR="00595C4E" w:rsidRDefault="00BF4C93">
      <w:pPr>
        <w:pStyle w:val="TOC2"/>
        <w:tabs>
          <w:tab w:val="right" w:leader="dot" w:pos="9350"/>
        </w:tabs>
        <w:rPr>
          <w:rFonts w:asciiTheme="minorHAnsi" w:hAnsiTheme="minorHAnsi" w:cstheme="minorBidi"/>
          <w:noProof/>
        </w:rPr>
      </w:pPr>
      <w:hyperlink w:anchor="_Toc496536532" w:history="1">
        <w:r w:rsidR="00595C4E" w:rsidRPr="007A0DFC">
          <w:rPr>
            <w:rStyle w:val="Hyperlink"/>
            <w:noProof/>
          </w:rPr>
          <w:t>Table 8: Snapshot of Bangladesh Trade Regime FY2017</w:t>
        </w:r>
        <w:r w:rsidR="00595C4E">
          <w:rPr>
            <w:noProof/>
            <w:webHidden/>
          </w:rPr>
          <w:tab/>
        </w:r>
        <w:r w:rsidR="00595C4E">
          <w:rPr>
            <w:noProof/>
            <w:webHidden/>
          </w:rPr>
          <w:fldChar w:fldCharType="begin"/>
        </w:r>
        <w:r w:rsidR="00595C4E">
          <w:rPr>
            <w:noProof/>
            <w:webHidden/>
          </w:rPr>
          <w:instrText xml:space="preserve"> PAGEREF _Toc496536532 \h </w:instrText>
        </w:r>
        <w:r w:rsidR="00595C4E">
          <w:rPr>
            <w:noProof/>
            <w:webHidden/>
          </w:rPr>
        </w:r>
        <w:r w:rsidR="00595C4E">
          <w:rPr>
            <w:noProof/>
            <w:webHidden/>
          </w:rPr>
          <w:fldChar w:fldCharType="separate"/>
        </w:r>
        <w:r w:rsidR="00595C4E">
          <w:rPr>
            <w:noProof/>
            <w:webHidden/>
          </w:rPr>
          <w:t>34</w:t>
        </w:r>
        <w:r w:rsidR="00595C4E">
          <w:rPr>
            <w:noProof/>
            <w:webHidden/>
          </w:rPr>
          <w:fldChar w:fldCharType="end"/>
        </w:r>
      </w:hyperlink>
    </w:p>
    <w:p w14:paraId="6DDEDAFB" w14:textId="77777777" w:rsidR="00595C4E" w:rsidRDefault="00BF4C93">
      <w:pPr>
        <w:pStyle w:val="TOC2"/>
        <w:tabs>
          <w:tab w:val="right" w:leader="dot" w:pos="9350"/>
        </w:tabs>
        <w:rPr>
          <w:rFonts w:asciiTheme="minorHAnsi" w:hAnsiTheme="minorHAnsi" w:cstheme="minorBidi"/>
          <w:noProof/>
        </w:rPr>
      </w:pPr>
      <w:hyperlink w:anchor="_Toc496536533" w:history="1">
        <w:r w:rsidR="00595C4E" w:rsidRPr="007A0DFC">
          <w:rPr>
            <w:rStyle w:val="Hyperlink"/>
            <w:noProof/>
          </w:rPr>
          <w:t>Table 9: Evolution of Tariffs and Protection</w:t>
        </w:r>
        <w:r w:rsidR="00595C4E">
          <w:rPr>
            <w:noProof/>
            <w:webHidden/>
          </w:rPr>
          <w:tab/>
        </w:r>
        <w:r w:rsidR="00595C4E">
          <w:rPr>
            <w:noProof/>
            <w:webHidden/>
          </w:rPr>
          <w:fldChar w:fldCharType="begin"/>
        </w:r>
        <w:r w:rsidR="00595C4E">
          <w:rPr>
            <w:noProof/>
            <w:webHidden/>
          </w:rPr>
          <w:instrText xml:space="preserve"> PAGEREF _Toc496536533 \h </w:instrText>
        </w:r>
        <w:r w:rsidR="00595C4E">
          <w:rPr>
            <w:noProof/>
            <w:webHidden/>
          </w:rPr>
        </w:r>
        <w:r w:rsidR="00595C4E">
          <w:rPr>
            <w:noProof/>
            <w:webHidden/>
          </w:rPr>
          <w:fldChar w:fldCharType="separate"/>
        </w:r>
        <w:r w:rsidR="00595C4E">
          <w:rPr>
            <w:noProof/>
            <w:webHidden/>
          </w:rPr>
          <w:t>39</w:t>
        </w:r>
        <w:r w:rsidR="00595C4E">
          <w:rPr>
            <w:noProof/>
            <w:webHidden/>
          </w:rPr>
          <w:fldChar w:fldCharType="end"/>
        </w:r>
      </w:hyperlink>
    </w:p>
    <w:p w14:paraId="1983CC8B" w14:textId="77777777" w:rsidR="00595C4E" w:rsidRDefault="00BF4C93">
      <w:pPr>
        <w:pStyle w:val="TOC2"/>
        <w:tabs>
          <w:tab w:val="right" w:leader="dot" w:pos="9350"/>
        </w:tabs>
        <w:rPr>
          <w:rFonts w:asciiTheme="minorHAnsi" w:hAnsiTheme="minorHAnsi" w:cstheme="minorBidi"/>
          <w:noProof/>
        </w:rPr>
      </w:pPr>
      <w:hyperlink w:anchor="_Toc496536534" w:history="1">
        <w:r w:rsidR="00595C4E" w:rsidRPr="007A0DFC">
          <w:rPr>
            <w:rStyle w:val="Hyperlink"/>
            <w:noProof/>
          </w:rPr>
          <w:t>Table 10: Exports of Goods and Services expressed as share (%) of GDP</w:t>
        </w:r>
        <w:r w:rsidR="00595C4E">
          <w:rPr>
            <w:noProof/>
            <w:webHidden/>
          </w:rPr>
          <w:tab/>
        </w:r>
        <w:r w:rsidR="00595C4E">
          <w:rPr>
            <w:noProof/>
            <w:webHidden/>
          </w:rPr>
          <w:fldChar w:fldCharType="begin"/>
        </w:r>
        <w:r w:rsidR="00595C4E">
          <w:rPr>
            <w:noProof/>
            <w:webHidden/>
          </w:rPr>
          <w:instrText xml:space="preserve"> PAGEREF _Toc496536534 \h </w:instrText>
        </w:r>
        <w:r w:rsidR="00595C4E">
          <w:rPr>
            <w:noProof/>
            <w:webHidden/>
          </w:rPr>
        </w:r>
        <w:r w:rsidR="00595C4E">
          <w:rPr>
            <w:noProof/>
            <w:webHidden/>
          </w:rPr>
          <w:fldChar w:fldCharType="separate"/>
        </w:r>
        <w:r w:rsidR="00595C4E">
          <w:rPr>
            <w:noProof/>
            <w:webHidden/>
          </w:rPr>
          <w:t>44</w:t>
        </w:r>
        <w:r w:rsidR="00595C4E">
          <w:rPr>
            <w:noProof/>
            <w:webHidden/>
          </w:rPr>
          <w:fldChar w:fldCharType="end"/>
        </w:r>
      </w:hyperlink>
    </w:p>
    <w:p w14:paraId="0361A1F8" w14:textId="417FED4B" w:rsidR="00AA5AF5" w:rsidRDefault="00AA5AF5" w:rsidP="00970527">
      <w:r>
        <w:fldChar w:fldCharType="end"/>
      </w:r>
    </w:p>
    <w:p w14:paraId="1B909BBC" w14:textId="718DFA13" w:rsidR="00AA5AF5" w:rsidRPr="002B78EF" w:rsidRDefault="00AA5AF5" w:rsidP="002B78EF">
      <w:pPr>
        <w:pStyle w:val="Heading1"/>
        <w:numPr>
          <w:ilvl w:val="0"/>
          <w:numId w:val="0"/>
        </w:numPr>
        <w:spacing w:after="240"/>
        <w:jc w:val="center"/>
      </w:pPr>
      <w:bookmarkStart w:id="1" w:name="_Toc496536508"/>
      <w:r w:rsidRPr="002B78EF">
        <w:lastRenderedPageBreak/>
        <w:t>List of Figures</w:t>
      </w:r>
      <w:bookmarkEnd w:id="1"/>
    </w:p>
    <w:p w14:paraId="4321A6ED" w14:textId="77777777" w:rsidR="00595C4E" w:rsidRDefault="00AA5AF5">
      <w:pPr>
        <w:pStyle w:val="TOC2"/>
        <w:tabs>
          <w:tab w:val="right" w:leader="dot" w:pos="9350"/>
        </w:tabs>
        <w:rPr>
          <w:rFonts w:asciiTheme="minorHAnsi" w:hAnsiTheme="minorHAnsi" w:cstheme="minorBidi"/>
          <w:noProof/>
        </w:rPr>
      </w:pPr>
      <w:r>
        <w:fldChar w:fldCharType="begin"/>
      </w:r>
      <w:r>
        <w:instrText xml:space="preserve"> TOC \h \z \u \t "Heading 5,2" </w:instrText>
      </w:r>
      <w:r>
        <w:fldChar w:fldCharType="separate"/>
      </w:r>
      <w:hyperlink w:anchor="_Toc496536535" w:history="1">
        <w:r w:rsidR="00595C4E" w:rsidRPr="00506AAC">
          <w:rPr>
            <w:rStyle w:val="Hyperlink"/>
            <w:noProof/>
          </w:rPr>
          <w:t>Figure 1: Projected economic structure and employment share (%)</w:t>
        </w:r>
        <w:r w:rsidR="00595C4E">
          <w:rPr>
            <w:noProof/>
            <w:webHidden/>
          </w:rPr>
          <w:tab/>
        </w:r>
        <w:r w:rsidR="00595C4E">
          <w:rPr>
            <w:noProof/>
            <w:webHidden/>
          </w:rPr>
          <w:fldChar w:fldCharType="begin"/>
        </w:r>
        <w:r w:rsidR="00595C4E">
          <w:rPr>
            <w:noProof/>
            <w:webHidden/>
          </w:rPr>
          <w:instrText xml:space="preserve"> PAGEREF _Toc496536535 \h </w:instrText>
        </w:r>
        <w:r w:rsidR="00595C4E">
          <w:rPr>
            <w:noProof/>
            <w:webHidden/>
          </w:rPr>
        </w:r>
        <w:r w:rsidR="00595C4E">
          <w:rPr>
            <w:noProof/>
            <w:webHidden/>
          </w:rPr>
          <w:fldChar w:fldCharType="separate"/>
        </w:r>
        <w:r w:rsidR="00595C4E">
          <w:rPr>
            <w:noProof/>
            <w:webHidden/>
          </w:rPr>
          <w:t>3</w:t>
        </w:r>
        <w:r w:rsidR="00595C4E">
          <w:rPr>
            <w:noProof/>
            <w:webHidden/>
          </w:rPr>
          <w:fldChar w:fldCharType="end"/>
        </w:r>
      </w:hyperlink>
    </w:p>
    <w:p w14:paraId="7D0DB2FA" w14:textId="77777777" w:rsidR="00595C4E" w:rsidRDefault="00BF4C93">
      <w:pPr>
        <w:pStyle w:val="TOC2"/>
        <w:tabs>
          <w:tab w:val="right" w:leader="dot" w:pos="9350"/>
        </w:tabs>
        <w:rPr>
          <w:rFonts w:asciiTheme="minorHAnsi" w:hAnsiTheme="minorHAnsi" w:cstheme="minorBidi"/>
          <w:noProof/>
        </w:rPr>
      </w:pPr>
      <w:hyperlink w:anchor="_Toc496536536" w:history="1">
        <w:r w:rsidR="00595C4E" w:rsidRPr="00506AAC">
          <w:rPr>
            <w:rStyle w:val="Hyperlink"/>
            <w:noProof/>
          </w:rPr>
          <w:t>Figure 2: Charting the Course of Industrial Revolutions</w:t>
        </w:r>
        <w:r w:rsidR="00595C4E">
          <w:rPr>
            <w:noProof/>
            <w:webHidden/>
          </w:rPr>
          <w:tab/>
        </w:r>
        <w:r w:rsidR="00595C4E">
          <w:rPr>
            <w:noProof/>
            <w:webHidden/>
          </w:rPr>
          <w:fldChar w:fldCharType="begin"/>
        </w:r>
        <w:r w:rsidR="00595C4E">
          <w:rPr>
            <w:noProof/>
            <w:webHidden/>
          </w:rPr>
          <w:instrText xml:space="preserve"> PAGEREF _Toc496536536 \h </w:instrText>
        </w:r>
        <w:r w:rsidR="00595C4E">
          <w:rPr>
            <w:noProof/>
            <w:webHidden/>
          </w:rPr>
        </w:r>
        <w:r w:rsidR="00595C4E">
          <w:rPr>
            <w:noProof/>
            <w:webHidden/>
          </w:rPr>
          <w:fldChar w:fldCharType="separate"/>
        </w:r>
        <w:r w:rsidR="00595C4E">
          <w:rPr>
            <w:noProof/>
            <w:webHidden/>
          </w:rPr>
          <w:t>3</w:t>
        </w:r>
        <w:r w:rsidR="00595C4E">
          <w:rPr>
            <w:noProof/>
            <w:webHidden/>
          </w:rPr>
          <w:fldChar w:fldCharType="end"/>
        </w:r>
      </w:hyperlink>
    </w:p>
    <w:p w14:paraId="11981BB5" w14:textId="77777777" w:rsidR="00595C4E" w:rsidRDefault="00BF4C93">
      <w:pPr>
        <w:pStyle w:val="TOC2"/>
        <w:tabs>
          <w:tab w:val="right" w:leader="dot" w:pos="9350"/>
        </w:tabs>
        <w:rPr>
          <w:rFonts w:asciiTheme="minorHAnsi" w:hAnsiTheme="minorHAnsi" w:cstheme="minorBidi"/>
          <w:noProof/>
        </w:rPr>
      </w:pPr>
      <w:hyperlink w:anchor="_Toc496536537" w:history="1">
        <w:r w:rsidR="00595C4E" w:rsidRPr="00506AAC">
          <w:rPr>
            <w:rStyle w:val="Hyperlink"/>
            <w:noProof/>
          </w:rPr>
          <w:t>Figure 3: Export performance since 1990</w:t>
        </w:r>
        <w:r w:rsidR="00595C4E">
          <w:rPr>
            <w:noProof/>
            <w:webHidden/>
          </w:rPr>
          <w:tab/>
        </w:r>
        <w:r w:rsidR="00595C4E">
          <w:rPr>
            <w:noProof/>
            <w:webHidden/>
          </w:rPr>
          <w:fldChar w:fldCharType="begin"/>
        </w:r>
        <w:r w:rsidR="00595C4E">
          <w:rPr>
            <w:noProof/>
            <w:webHidden/>
          </w:rPr>
          <w:instrText xml:space="preserve"> PAGEREF _Toc496536537 \h </w:instrText>
        </w:r>
        <w:r w:rsidR="00595C4E">
          <w:rPr>
            <w:noProof/>
            <w:webHidden/>
          </w:rPr>
        </w:r>
        <w:r w:rsidR="00595C4E">
          <w:rPr>
            <w:noProof/>
            <w:webHidden/>
          </w:rPr>
          <w:fldChar w:fldCharType="separate"/>
        </w:r>
        <w:r w:rsidR="00595C4E">
          <w:rPr>
            <w:noProof/>
            <w:webHidden/>
          </w:rPr>
          <w:t>23</w:t>
        </w:r>
        <w:r w:rsidR="00595C4E">
          <w:rPr>
            <w:noProof/>
            <w:webHidden/>
          </w:rPr>
          <w:fldChar w:fldCharType="end"/>
        </w:r>
      </w:hyperlink>
    </w:p>
    <w:p w14:paraId="136B9E09" w14:textId="77777777" w:rsidR="00595C4E" w:rsidRDefault="00BF4C93">
      <w:pPr>
        <w:pStyle w:val="TOC2"/>
        <w:tabs>
          <w:tab w:val="right" w:leader="dot" w:pos="9350"/>
        </w:tabs>
        <w:rPr>
          <w:rFonts w:asciiTheme="minorHAnsi" w:hAnsiTheme="minorHAnsi" w:cstheme="minorBidi"/>
          <w:noProof/>
        </w:rPr>
      </w:pPr>
      <w:hyperlink w:anchor="_Toc496536538" w:history="1">
        <w:r w:rsidR="00595C4E" w:rsidRPr="00506AAC">
          <w:rPr>
            <w:rStyle w:val="Hyperlink"/>
            <w:noProof/>
          </w:rPr>
          <w:t>Figure 4: Rising share of trade in GDP</w:t>
        </w:r>
        <w:r w:rsidR="00595C4E">
          <w:rPr>
            <w:noProof/>
            <w:webHidden/>
          </w:rPr>
          <w:tab/>
        </w:r>
        <w:r w:rsidR="00595C4E">
          <w:rPr>
            <w:noProof/>
            <w:webHidden/>
          </w:rPr>
          <w:fldChar w:fldCharType="begin"/>
        </w:r>
        <w:r w:rsidR="00595C4E">
          <w:rPr>
            <w:noProof/>
            <w:webHidden/>
          </w:rPr>
          <w:instrText xml:space="preserve"> PAGEREF _Toc496536538 \h </w:instrText>
        </w:r>
        <w:r w:rsidR="00595C4E">
          <w:rPr>
            <w:noProof/>
            <w:webHidden/>
          </w:rPr>
        </w:r>
        <w:r w:rsidR="00595C4E">
          <w:rPr>
            <w:noProof/>
            <w:webHidden/>
          </w:rPr>
          <w:fldChar w:fldCharType="separate"/>
        </w:r>
        <w:r w:rsidR="00595C4E">
          <w:rPr>
            <w:noProof/>
            <w:webHidden/>
          </w:rPr>
          <w:t>24</w:t>
        </w:r>
        <w:r w:rsidR="00595C4E">
          <w:rPr>
            <w:noProof/>
            <w:webHidden/>
          </w:rPr>
          <w:fldChar w:fldCharType="end"/>
        </w:r>
      </w:hyperlink>
    </w:p>
    <w:p w14:paraId="229A8A5A" w14:textId="77777777" w:rsidR="00595C4E" w:rsidRDefault="00BF4C93">
      <w:pPr>
        <w:pStyle w:val="TOC2"/>
        <w:tabs>
          <w:tab w:val="right" w:leader="dot" w:pos="9350"/>
        </w:tabs>
        <w:rPr>
          <w:rFonts w:asciiTheme="minorHAnsi" w:hAnsiTheme="minorHAnsi" w:cstheme="minorBidi"/>
          <w:noProof/>
        </w:rPr>
      </w:pPr>
      <w:hyperlink w:anchor="_Toc496536539" w:history="1">
        <w:r w:rsidR="00595C4E" w:rsidRPr="00506AAC">
          <w:rPr>
            <w:rStyle w:val="Hyperlink"/>
            <w:noProof/>
          </w:rPr>
          <w:t>Figure 5: Growth of RMG exports exceeds that of Non-RMG exports</w:t>
        </w:r>
        <w:r w:rsidR="00595C4E">
          <w:rPr>
            <w:noProof/>
            <w:webHidden/>
          </w:rPr>
          <w:tab/>
        </w:r>
        <w:r w:rsidR="00595C4E">
          <w:rPr>
            <w:noProof/>
            <w:webHidden/>
          </w:rPr>
          <w:fldChar w:fldCharType="begin"/>
        </w:r>
        <w:r w:rsidR="00595C4E">
          <w:rPr>
            <w:noProof/>
            <w:webHidden/>
          </w:rPr>
          <w:instrText xml:space="preserve"> PAGEREF _Toc496536539 \h </w:instrText>
        </w:r>
        <w:r w:rsidR="00595C4E">
          <w:rPr>
            <w:noProof/>
            <w:webHidden/>
          </w:rPr>
        </w:r>
        <w:r w:rsidR="00595C4E">
          <w:rPr>
            <w:noProof/>
            <w:webHidden/>
          </w:rPr>
          <w:fldChar w:fldCharType="separate"/>
        </w:r>
        <w:r w:rsidR="00595C4E">
          <w:rPr>
            <w:noProof/>
            <w:webHidden/>
          </w:rPr>
          <w:t>25</w:t>
        </w:r>
        <w:r w:rsidR="00595C4E">
          <w:rPr>
            <w:noProof/>
            <w:webHidden/>
          </w:rPr>
          <w:fldChar w:fldCharType="end"/>
        </w:r>
      </w:hyperlink>
    </w:p>
    <w:p w14:paraId="1DBA5253" w14:textId="77777777" w:rsidR="00595C4E" w:rsidRDefault="00BF4C93">
      <w:pPr>
        <w:pStyle w:val="TOC2"/>
        <w:tabs>
          <w:tab w:val="right" w:leader="dot" w:pos="9350"/>
        </w:tabs>
        <w:rPr>
          <w:rFonts w:asciiTheme="minorHAnsi" w:hAnsiTheme="minorHAnsi" w:cstheme="minorBidi"/>
          <w:noProof/>
        </w:rPr>
      </w:pPr>
      <w:hyperlink w:anchor="_Toc496536540" w:history="1">
        <w:r w:rsidR="00595C4E" w:rsidRPr="00506AAC">
          <w:rPr>
            <w:rStyle w:val="Hyperlink"/>
            <w:noProof/>
          </w:rPr>
          <w:t>Figure 6: Relative Export Concentration 2015</w:t>
        </w:r>
        <w:r w:rsidR="00595C4E">
          <w:rPr>
            <w:noProof/>
            <w:webHidden/>
          </w:rPr>
          <w:tab/>
        </w:r>
        <w:r w:rsidR="00595C4E">
          <w:rPr>
            <w:noProof/>
            <w:webHidden/>
          </w:rPr>
          <w:fldChar w:fldCharType="begin"/>
        </w:r>
        <w:r w:rsidR="00595C4E">
          <w:rPr>
            <w:noProof/>
            <w:webHidden/>
          </w:rPr>
          <w:instrText xml:space="preserve"> PAGEREF _Toc496536540 \h </w:instrText>
        </w:r>
        <w:r w:rsidR="00595C4E">
          <w:rPr>
            <w:noProof/>
            <w:webHidden/>
          </w:rPr>
        </w:r>
        <w:r w:rsidR="00595C4E">
          <w:rPr>
            <w:noProof/>
            <w:webHidden/>
          </w:rPr>
          <w:fldChar w:fldCharType="separate"/>
        </w:r>
        <w:r w:rsidR="00595C4E">
          <w:rPr>
            <w:noProof/>
            <w:webHidden/>
          </w:rPr>
          <w:t>25</w:t>
        </w:r>
        <w:r w:rsidR="00595C4E">
          <w:rPr>
            <w:noProof/>
            <w:webHidden/>
          </w:rPr>
          <w:fldChar w:fldCharType="end"/>
        </w:r>
      </w:hyperlink>
    </w:p>
    <w:p w14:paraId="0FF4F367" w14:textId="77777777" w:rsidR="00595C4E" w:rsidRDefault="00BF4C93">
      <w:pPr>
        <w:pStyle w:val="TOC2"/>
        <w:tabs>
          <w:tab w:val="right" w:leader="dot" w:pos="9350"/>
        </w:tabs>
        <w:rPr>
          <w:rFonts w:asciiTheme="minorHAnsi" w:hAnsiTheme="minorHAnsi" w:cstheme="minorBidi"/>
          <w:noProof/>
        </w:rPr>
      </w:pPr>
      <w:hyperlink w:anchor="_Toc496536541" w:history="1">
        <w:r w:rsidR="00595C4E" w:rsidRPr="00506AAC">
          <w:rPr>
            <w:rStyle w:val="Hyperlink"/>
            <w:noProof/>
          </w:rPr>
          <w:t>Figure 7: Large number of Export Products</w:t>
        </w:r>
        <w:r w:rsidR="00595C4E">
          <w:rPr>
            <w:noProof/>
            <w:webHidden/>
          </w:rPr>
          <w:tab/>
        </w:r>
        <w:r w:rsidR="00595C4E">
          <w:rPr>
            <w:noProof/>
            <w:webHidden/>
          </w:rPr>
          <w:fldChar w:fldCharType="begin"/>
        </w:r>
        <w:r w:rsidR="00595C4E">
          <w:rPr>
            <w:noProof/>
            <w:webHidden/>
          </w:rPr>
          <w:instrText xml:space="preserve"> PAGEREF _Toc496536541 \h </w:instrText>
        </w:r>
        <w:r w:rsidR="00595C4E">
          <w:rPr>
            <w:noProof/>
            <w:webHidden/>
          </w:rPr>
        </w:r>
        <w:r w:rsidR="00595C4E">
          <w:rPr>
            <w:noProof/>
            <w:webHidden/>
          </w:rPr>
          <w:fldChar w:fldCharType="separate"/>
        </w:r>
        <w:r w:rsidR="00595C4E">
          <w:rPr>
            <w:noProof/>
            <w:webHidden/>
          </w:rPr>
          <w:t>26</w:t>
        </w:r>
        <w:r w:rsidR="00595C4E">
          <w:rPr>
            <w:noProof/>
            <w:webHidden/>
          </w:rPr>
          <w:fldChar w:fldCharType="end"/>
        </w:r>
      </w:hyperlink>
    </w:p>
    <w:p w14:paraId="432A6134" w14:textId="77777777" w:rsidR="00595C4E" w:rsidRDefault="00BF4C93">
      <w:pPr>
        <w:pStyle w:val="TOC2"/>
        <w:tabs>
          <w:tab w:val="right" w:leader="dot" w:pos="9350"/>
        </w:tabs>
        <w:rPr>
          <w:rFonts w:asciiTheme="minorHAnsi" w:hAnsiTheme="minorHAnsi" w:cstheme="minorBidi"/>
          <w:noProof/>
        </w:rPr>
      </w:pPr>
      <w:hyperlink w:anchor="_Toc496536542" w:history="1">
        <w:r w:rsidR="00595C4E" w:rsidRPr="00506AAC">
          <w:rPr>
            <w:rStyle w:val="Hyperlink"/>
            <w:rFonts w:eastAsia="Times New Roman"/>
            <w:noProof/>
          </w:rPr>
          <w:t>Figure 8: Exchange Rate Movements FY03-FY17</w:t>
        </w:r>
        <w:r w:rsidR="00595C4E">
          <w:rPr>
            <w:noProof/>
            <w:webHidden/>
          </w:rPr>
          <w:tab/>
        </w:r>
        <w:r w:rsidR="00595C4E">
          <w:rPr>
            <w:noProof/>
            <w:webHidden/>
          </w:rPr>
          <w:fldChar w:fldCharType="begin"/>
        </w:r>
        <w:r w:rsidR="00595C4E">
          <w:rPr>
            <w:noProof/>
            <w:webHidden/>
          </w:rPr>
          <w:instrText xml:space="preserve"> PAGEREF _Toc496536542 \h </w:instrText>
        </w:r>
        <w:r w:rsidR="00595C4E">
          <w:rPr>
            <w:noProof/>
            <w:webHidden/>
          </w:rPr>
        </w:r>
        <w:r w:rsidR="00595C4E">
          <w:rPr>
            <w:noProof/>
            <w:webHidden/>
          </w:rPr>
          <w:fldChar w:fldCharType="separate"/>
        </w:r>
        <w:r w:rsidR="00595C4E">
          <w:rPr>
            <w:noProof/>
            <w:webHidden/>
          </w:rPr>
          <w:t>31</w:t>
        </w:r>
        <w:r w:rsidR="00595C4E">
          <w:rPr>
            <w:noProof/>
            <w:webHidden/>
          </w:rPr>
          <w:fldChar w:fldCharType="end"/>
        </w:r>
      </w:hyperlink>
    </w:p>
    <w:p w14:paraId="4BDFD6DD" w14:textId="77777777" w:rsidR="00595C4E" w:rsidRDefault="00BF4C93">
      <w:pPr>
        <w:pStyle w:val="TOC2"/>
        <w:tabs>
          <w:tab w:val="right" w:leader="dot" w:pos="9350"/>
        </w:tabs>
        <w:rPr>
          <w:rFonts w:asciiTheme="minorHAnsi" w:hAnsiTheme="minorHAnsi" w:cstheme="minorBidi"/>
          <w:noProof/>
        </w:rPr>
      </w:pPr>
      <w:hyperlink w:anchor="_Toc496536543" w:history="1">
        <w:r w:rsidR="00595C4E" w:rsidRPr="00506AAC">
          <w:rPr>
            <w:rStyle w:val="Hyperlink"/>
            <w:noProof/>
          </w:rPr>
          <w:t>Figure 9: CD and Para Tariff Trends</w:t>
        </w:r>
        <w:r w:rsidR="00595C4E">
          <w:rPr>
            <w:noProof/>
            <w:webHidden/>
          </w:rPr>
          <w:tab/>
        </w:r>
        <w:r w:rsidR="00595C4E">
          <w:rPr>
            <w:noProof/>
            <w:webHidden/>
          </w:rPr>
          <w:fldChar w:fldCharType="begin"/>
        </w:r>
        <w:r w:rsidR="00595C4E">
          <w:rPr>
            <w:noProof/>
            <w:webHidden/>
          </w:rPr>
          <w:instrText xml:space="preserve"> PAGEREF _Toc496536543 \h </w:instrText>
        </w:r>
        <w:r w:rsidR="00595C4E">
          <w:rPr>
            <w:noProof/>
            <w:webHidden/>
          </w:rPr>
        </w:r>
        <w:r w:rsidR="00595C4E">
          <w:rPr>
            <w:noProof/>
            <w:webHidden/>
          </w:rPr>
          <w:fldChar w:fldCharType="separate"/>
        </w:r>
        <w:r w:rsidR="00595C4E">
          <w:rPr>
            <w:noProof/>
            <w:webHidden/>
          </w:rPr>
          <w:t>40</w:t>
        </w:r>
        <w:r w:rsidR="00595C4E">
          <w:rPr>
            <w:noProof/>
            <w:webHidden/>
          </w:rPr>
          <w:fldChar w:fldCharType="end"/>
        </w:r>
      </w:hyperlink>
    </w:p>
    <w:p w14:paraId="6542C75B" w14:textId="77777777" w:rsidR="00595C4E" w:rsidRDefault="00BF4C93">
      <w:pPr>
        <w:pStyle w:val="TOC2"/>
        <w:tabs>
          <w:tab w:val="right" w:leader="dot" w:pos="9350"/>
        </w:tabs>
        <w:rPr>
          <w:rFonts w:asciiTheme="minorHAnsi" w:hAnsiTheme="minorHAnsi" w:cstheme="minorBidi"/>
          <w:noProof/>
        </w:rPr>
      </w:pPr>
      <w:hyperlink w:anchor="_Toc496536544" w:history="1">
        <w:r w:rsidR="00595C4E" w:rsidRPr="00506AAC">
          <w:rPr>
            <w:rStyle w:val="Hyperlink"/>
            <w:rFonts w:eastAsia="Times New Roman"/>
            <w:noProof/>
          </w:rPr>
          <w:t>Figure 10: Trends in Output and Input Tariffs: Bangladesh</w:t>
        </w:r>
        <w:r w:rsidR="00595C4E">
          <w:rPr>
            <w:noProof/>
            <w:webHidden/>
          </w:rPr>
          <w:tab/>
        </w:r>
        <w:r w:rsidR="00595C4E">
          <w:rPr>
            <w:noProof/>
            <w:webHidden/>
          </w:rPr>
          <w:fldChar w:fldCharType="begin"/>
        </w:r>
        <w:r w:rsidR="00595C4E">
          <w:rPr>
            <w:noProof/>
            <w:webHidden/>
          </w:rPr>
          <w:instrText xml:space="preserve"> PAGEREF _Toc496536544 \h </w:instrText>
        </w:r>
        <w:r w:rsidR="00595C4E">
          <w:rPr>
            <w:noProof/>
            <w:webHidden/>
          </w:rPr>
        </w:r>
        <w:r w:rsidR="00595C4E">
          <w:rPr>
            <w:noProof/>
            <w:webHidden/>
          </w:rPr>
          <w:fldChar w:fldCharType="separate"/>
        </w:r>
        <w:r w:rsidR="00595C4E">
          <w:rPr>
            <w:noProof/>
            <w:webHidden/>
          </w:rPr>
          <w:t>42</w:t>
        </w:r>
        <w:r w:rsidR="00595C4E">
          <w:rPr>
            <w:noProof/>
            <w:webHidden/>
          </w:rPr>
          <w:fldChar w:fldCharType="end"/>
        </w:r>
      </w:hyperlink>
    </w:p>
    <w:p w14:paraId="4DE6DD8D" w14:textId="77777777" w:rsidR="00595C4E" w:rsidRDefault="00BF4C93">
      <w:pPr>
        <w:pStyle w:val="TOC2"/>
        <w:tabs>
          <w:tab w:val="right" w:leader="dot" w:pos="9350"/>
        </w:tabs>
        <w:rPr>
          <w:rFonts w:asciiTheme="minorHAnsi" w:hAnsiTheme="minorHAnsi" w:cstheme="minorBidi"/>
          <w:noProof/>
        </w:rPr>
      </w:pPr>
      <w:hyperlink w:anchor="_Toc496536545" w:history="1">
        <w:r w:rsidR="00595C4E" w:rsidRPr="00506AAC">
          <w:rPr>
            <w:rStyle w:val="Hyperlink"/>
            <w:rFonts w:eastAsia="Times New Roman"/>
            <w:noProof/>
          </w:rPr>
          <w:t>Figure 11: Trends in Output and Input Tariffs: High-performing economies</w:t>
        </w:r>
        <w:r w:rsidR="00595C4E">
          <w:rPr>
            <w:noProof/>
            <w:webHidden/>
          </w:rPr>
          <w:tab/>
        </w:r>
        <w:r w:rsidR="00595C4E">
          <w:rPr>
            <w:noProof/>
            <w:webHidden/>
          </w:rPr>
          <w:fldChar w:fldCharType="begin"/>
        </w:r>
        <w:r w:rsidR="00595C4E">
          <w:rPr>
            <w:noProof/>
            <w:webHidden/>
          </w:rPr>
          <w:instrText xml:space="preserve"> PAGEREF _Toc496536545 \h </w:instrText>
        </w:r>
        <w:r w:rsidR="00595C4E">
          <w:rPr>
            <w:noProof/>
            <w:webHidden/>
          </w:rPr>
        </w:r>
        <w:r w:rsidR="00595C4E">
          <w:rPr>
            <w:noProof/>
            <w:webHidden/>
          </w:rPr>
          <w:fldChar w:fldCharType="separate"/>
        </w:r>
        <w:r w:rsidR="00595C4E">
          <w:rPr>
            <w:noProof/>
            <w:webHidden/>
          </w:rPr>
          <w:t>43</w:t>
        </w:r>
        <w:r w:rsidR="00595C4E">
          <w:rPr>
            <w:noProof/>
            <w:webHidden/>
          </w:rPr>
          <w:fldChar w:fldCharType="end"/>
        </w:r>
      </w:hyperlink>
    </w:p>
    <w:p w14:paraId="2CCE4EDA" w14:textId="77777777" w:rsidR="00595C4E" w:rsidRDefault="00BF4C93">
      <w:pPr>
        <w:pStyle w:val="TOC2"/>
        <w:tabs>
          <w:tab w:val="right" w:leader="dot" w:pos="9350"/>
        </w:tabs>
        <w:rPr>
          <w:rFonts w:asciiTheme="minorHAnsi" w:hAnsiTheme="minorHAnsi" w:cstheme="minorBidi"/>
          <w:noProof/>
        </w:rPr>
      </w:pPr>
      <w:hyperlink w:anchor="_Toc496536546" w:history="1">
        <w:r w:rsidR="00595C4E" w:rsidRPr="00506AAC">
          <w:rPr>
            <w:rStyle w:val="Hyperlink"/>
            <w:noProof/>
          </w:rPr>
          <w:t>Figure 12: Trends in Output and Input Tariffs: Vietnam and India</w:t>
        </w:r>
        <w:r w:rsidR="00595C4E">
          <w:rPr>
            <w:noProof/>
            <w:webHidden/>
          </w:rPr>
          <w:tab/>
        </w:r>
        <w:r w:rsidR="00595C4E">
          <w:rPr>
            <w:noProof/>
            <w:webHidden/>
          </w:rPr>
          <w:fldChar w:fldCharType="begin"/>
        </w:r>
        <w:r w:rsidR="00595C4E">
          <w:rPr>
            <w:noProof/>
            <w:webHidden/>
          </w:rPr>
          <w:instrText xml:space="preserve"> PAGEREF _Toc496536546 \h </w:instrText>
        </w:r>
        <w:r w:rsidR="00595C4E">
          <w:rPr>
            <w:noProof/>
            <w:webHidden/>
          </w:rPr>
        </w:r>
        <w:r w:rsidR="00595C4E">
          <w:rPr>
            <w:noProof/>
            <w:webHidden/>
          </w:rPr>
          <w:fldChar w:fldCharType="separate"/>
        </w:r>
        <w:r w:rsidR="00595C4E">
          <w:rPr>
            <w:noProof/>
            <w:webHidden/>
          </w:rPr>
          <w:t>43</w:t>
        </w:r>
        <w:r w:rsidR="00595C4E">
          <w:rPr>
            <w:noProof/>
            <w:webHidden/>
          </w:rPr>
          <w:fldChar w:fldCharType="end"/>
        </w:r>
      </w:hyperlink>
    </w:p>
    <w:p w14:paraId="01B3D8DE" w14:textId="77777777" w:rsidR="00595C4E" w:rsidRDefault="00BF4C93">
      <w:pPr>
        <w:pStyle w:val="TOC2"/>
        <w:tabs>
          <w:tab w:val="right" w:leader="dot" w:pos="9350"/>
        </w:tabs>
        <w:rPr>
          <w:rFonts w:asciiTheme="minorHAnsi" w:hAnsiTheme="minorHAnsi" w:cstheme="minorBidi"/>
          <w:noProof/>
        </w:rPr>
      </w:pPr>
      <w:hyperlink w:anchor="_Toc496536547" w:history="1">
        <w:r w:rsidR="00595C4E" w:rsidRPr="00506AAC">
          <w:rPr>
            <w:rStyle w:val="Hyperlink"/>
            <w:noProof/>
          </w:rPr>
          <w:t>Figure 13: Futuristic Tariff Profile (FY17-41)</w:t>
        </w:r>
        <w:r w:rsidR="00595C4E">
          <w:rPr>
            <w:noProof/>
            <w:webHidden/>
          </w:rPr>
          <w:tab/>
        </w:r>
        <w:r w:rsidR="00595C4E">
          <w:rPr>
            <w:noProof/>
            <w:webHidden/>
          </w:rPr>
          <w:fldChar w:fldCharType="begin"/>
        </w:r>
        <w:r w:rsidR="00595C4E">
          <w:rPr>
            <w:noProof/>
            <w:webHidden/>
          </w:rPr>
          <w:instrText xml:space="preserve"> PAGEREF _Toc496536547 \h </w:instrText>
        </w:r>
        <w:r w:rsidR="00595C4E">
          <w:rPr>
            <w:noProof/>
            <w:webHidden/>
          </w:rPr>
        </w:r>
        <w:r w:rsidR="00595C4E">
          <w:rPr>
            <w:noProof/>
            <w:webHidden/>
          </w:rPr>
          <w:fldChar w:fldCharType="separate"/>
        </w:r>
        <w:r w:rsidR="00595C4E">
          <w:rPr>
            <w:noProof/>
            <w:webHidden/>
          </w:rPr>
          <w:t>45</w:t>
        </w:r>
        <w:r w:rsidR="00595C4E">
          <w:rPr>
            <w:noProof/>
            <w:webHidden/>
          </w:rPr>
          <w:fldChar w:fldCharType="end"/>
        </w:r>
      </w:hyperlink>
    </w:p>
    <w:p w14:paraId="6B935DB1" w14:textId="77777777" w:rsidR="00595C4E" w:rsidRDefault="00BF4C93">
      <w:pPr>
        <w:pStyle w:val="TOC2"/>
        <w:tabs>
          <w:tab w:val="right" w:leader="dot" w:pos="9350"/>
        </w:tabs>
        <w:rPr>
          <w:rFonts w:asciiTheme="minorHAnsi" w:hAnsiTheme="minorHAnsi" w:cstheme="minorBidi"/>
          <w:noProof/>
        </w:rPr>
      </w:pPr>
      <w:hyperlink w:anchor="_Toc496536548" w:history="1">
        <w:r w:rsidR="00595C4E" w:rsidRPr="00506AAC">
          <w:rPr>
            <w:rStyle w:val="Hyperlink"/>
            <w:rFonts w:eastAsia="Times New Roman"/>
            <w:noProof/>
          </w:rPr>
          <w:t>Figure 14: Global FDI Flows 2005-2016, Billion US$</w:t>
        </w:r>
        <w:r w:rsidR="00595C4E">
          <w:rPr>
            <w:noProof/>
            <w:webHidden/>
          </w:rPr>
          <w:tab/>
        </w:r>
        <w:r w:rsidR="00595C4E">
          <w:rPr>
            <w:noProof/>
            <w:webHidden/>
          </w:rPr>
          <w:fldChar w:fldCharType="begin"/>
        </w:r>
        <w:r w:rsidR="00595C4E">
          <w:rPr>
            <w:noProof/>
            <w:webHidden/>
          </w:rPr>
          <w:instrText xml:space="preserve"> PAGEREF _Toc496536548 \h </w:instrText>
        </w:r>
        <w:r w:rsidR="00595C4E">
          <w:rPr>
            <w:noProof/>
            <w:webHidden/>
          </w:rPr>
        </w:r>
        <w:r w:rsidR="00595C4E">
          <w:rPr>
            <w:noProof/>
            <w:webHidden/>
          </w:rPr>
          <w:fldChar w:fldCharType="separate"/>
        </w:r>
        <w:r w:rsidR="00595C4E">
          <w:rPr>
            <w:noProof/>
            <w:webHidden/>
          </w:rPr>
          <w:t>51</w:t>
        </w:r>
        <w:r w:rsidR="00595C4E">
          <w:rPr>
            <w:noProof/>
            <w:webHidden/>
          </w:rPr>
          <w:fldChar w:fldCharType="end"/>
        </w:r>
      </w:hyperlink>
    </w:p>
    <w:p w14:paraId="0F7E2D1E" w14:textId="77777777" w:rsidR="00595C4E" w:rsidRDefault="00BF4C93">
      <w:pPr>
        <w:pStyle w:val="TOC2"/>
        <w:tabs>
          <w:tab w:val="right" w:leader="dot" w:pos="9350"/>
        </w:tabs>
        <w:rPr>
          <w:rFonts w:asciiTheme="minorHAnsi" w:hAnsiTheme="minorHAnsi" w:cstheme="minorBidi"/>
          <w:noProof/>
        </w:rPr>
      </w:pPr>
      <w:hyperlink w:anchor="_Toc496536549" w:history="1">
        <w:r w:rsidR="00595C4E" w:rsidRPr="00506AAC">
          <w:rPr>
            <w:rStyle w:val="Hyperlink"/>
            <w:noProof/>
          </w:rPr>
          <w:t>Figure 15: Regional Distribution of FDIs 2016, US$ Billions</w:t>
        </w:r>
        <w:r w:rsidR="00595C4E">
          <w:rPr>
            <w:noProof/>
            <w:webHidden/>
          </w:rPr>
          <w:tab/>
        </w:r>
        <w:r w:rsidR="00595C4E">
          <w:rPr>
            <w:noProof/>
            <w:webHidden/>
          </w:rPr>
          <w:fldChar w:fldCharType="begin"/>
        </w:r>
        <w:r w:rsidR="00595C4E">
          <w:rPr>
            <w:noProof/>
            <w:webHidden/>
          </w:rPr>
          <w:instrText xml:space="preserve"> PAGEREF _Toc496536549 \h </w:instrText>
        </w:r>
        <w:r w:rsidR="00595C4E">
          <w:rPr>
            <w:noProof/>
            <w:webHidden/>
          </w:rPr>
        </w:r>
        <w:r w:rsidR="00595C4E">
          <w:rPr>
            <w:noProof/>
            <w:webHidden/>
          </w:rPr>
          <w:fldChar w:fldCharType="separate"/>
        </w:r>
        <w:r w:rsidR="00595C4E">
          <w:rPr>
            <w:noProof/>
            <w:webHidden/>
          </w:rPr>
          <w:t>51</w:t>
        </w:r>
        <w:r w:rsidR="00595C4E">
          <w:rPr>
            <w:noProof/>
            <w:webHidden/>
          </w:rPr>
          <w:fldChar w:fldCharType="end"/>
        </w:r>
      </w:hyperlink>
    </w:p>
    <w:p w14:paraId="76958BF8" w14:textId="77777777" w:rsidR="00595C4E" w:rsidRDefault="00BF4C93">
      <w:pPr>
        <w:pStyle w:val="TOC2"/>
        <w:tabs>
          <w:tab w:val="right" w:leader="dot" w:pos="9350"/>
        </w:tabs>
        <w:rPr>
          <w:rFonts w:asciiTheme="minorHAnsi" w:hAnsiTheme="minorHAnsi" w:cstheme="minorBidi"/>
          <w:noProof/>
        </w:rPr>
      </w:pPr>
      <w:hyperlink w:anchor="_Toc496536550" w:history="1">
        <w:r w:rsidR="00595C4E" w:rsidRPr="00506AAC">
          <w:rPr>
            <w:rStyle w:val="Hyperlink"/>
            <w:rFonts w:eastAsia="Times New Roman"/>
            <w:noProof/>
          </w:rPr>
          <w:t>Figure 16: FDI Inflows in East and South Asia 2016, US$ Billion</w:t>
        </w:r>
        <w:r w:rsidR="00595C4E">
          <w:rPr>
            <w:noProof/>
            <w:webHidden/>
          </w:rPr>
          <w:tab/>
        </w:r>
        <w:r w:rsidR="00595C4E">
          <w:rPr>
            <w:noProof/>
            <w:webHidden/>
          </w:rPr>
          <w:fldChar w:fldCharType="begin"/>
        </w:r>
        <w:r w:rsidR="00595C4E">
          <w:rPr>
            <w:noProof/>
            <w:webHidden/>
          </w:rPr>
          <w:instrText xml:space="preserve"> PAGEREF _Toc496536550 \h </w:instrText>
        </w:r>
        <w:r w:rsidR="00595C4E">
          <w:rPr>
            <w:noProof/>
            <w:webHidden/>
          </w:rPr>
        </w:r>
        <w:r w:rsidR="00595C4E">
          <w:rPr>
            <w:noProof/>
            <w:webHidden/>
          </w:rPr>
          <w:fldChar w:fldCharType="separate"/>
        </w:r>
        <w:r w:rsidR="00595C4E">
          <w:rPr>
            <w:noProof/>
            <w:webHidden/>
          </w:rPr>
          <w:t>52</w:t>
        </w:r>
        <w:r w:rsidR="00595C4E">
          <w:rPr>
            <w:noProof/>
            <w:webHidden/>
          </w:rPr>
          <w:fldChar w:fldCharType="end"/>
        </w:r>
      </w:hyperlink>
    </w:p>
    <w:p w14:paraId="6227B283" w14:textId="77777777" w:rsidR="00595C4E" w:rsidRDefault="00BF4C93">
      <w:pPr>
        <w:pStyle w:val="TOC2"/>
        <w:tabs>
          <w:tab w:val="right" w:leader="dot" w:pos="9350"/>
        </w:tabs>
        <w:rPr>
          <w:rFonts w:asciiTheme="minorHAnsi" w:hAnsiTheme="minorHAnsi" w:cstheme="minorBidi"/>
          <w:noProof/>
        </w:rPr>
      </w:pPr>
      <w:hyperlink w:anchor="_Toc496536551" w:history="1">
        <w:r w:rsidR="00595C4E" w:rsidRPr="00506AAC">
          <w:rPr>
            <w:rStyle w:val="Hyperlink"/>
            <w:rFonts w:eastAsia="Times New Roman"/>
            <w:noProof/>
          </w:rPr>
          <w:t>Figure 17: Trend of FDIs in Bangladesh 1996-2016</w:t>
        </w:r>
        <w:r w:rsidR="00595C4E">
          <w:rPr>
            <w:noProof/>
            <w:webHidden/>
          </w:rPr>
          <w:tab/>
        </w:r>
        <w:r w:rsidR="00595C4E">
          <w:rPr>
            <w:noProof/>
            <w:webHidden/>
          </w:rPr>
          <w:fldChar w:fldCharType="begin"/>
        </w:r>
        <w:r w:rsidR="00595C4E">
          <w:rPr>
            <w:noProof/>
            <w:webHidden/>
          </w:rPr>
          <w:instrText xml:space="preserve"> PAGEREF _Toc496536551 \h </w:instrText>
        </w:r>
        <w:r w:rsidR="00595C4E">
          <w:rPr>
            <w:noProof/>
            <w:webHidden/>
          </w:rPr>
        </w:r>
        <w:r w:rsidR="00595C4E">
          <w:rPr>
            <w:noProof/>
            <w:webHidden/>
          </w:rPr>
          <w:fldChar w:fldCharType="separate"/>
        </w:r>
        <w:r w:rsidR="00595C4E">
          <w:rPr>
            <w:noProof/>
            <w:webHidden/>
          </w:rPr>
          <w:t>52</w:t>
        </w:r>
        <w:r w:rsidR="00595C4E">
          <w:rPr>
            <w:noProof/>
            <w:webHidden/>
          </w:rPr>
          <w:fldChar w:fldCharType="end"/>
        </w:r>
      </w:hyperlink>
    </w:p>
    <w:p w14:paraId="27F82A87" w14:textId="77777777" w:rsidR="00595C4E" w:rsidRDefault="00BF4C93">
      <w:pPr>
        <w:pStyle w:val="TOC2"/>
        <w:tabs>
          <w:tab w:val="right" w:leader="dot" w:pos="9350"/>
        </w:tabs>
        <w:rPr>
          <w:rFonts w:asciiTheme="minorHAnsi" w:hAnsiTheme="minorHAnsi" w:cstheme="minorBidi"/>
          <w:noProof/>
        </w:rPr>
      </w:pPr>
      <w:hyperlink w:anchor="_Toc496536552" w:history="1">
        <w:r w:rsidR="00595C4E" w:rsidRPr="00506AAC">
          <w:rPr>
            <w:rStyle w:val="Hyperlink"/>
            <w:rFonts w:eastAsia="Times New Roman"/>
            <w:noProof/>
          </w:rPr>
          <w:t>Figure 18: Sectoral Distribution of FDIs in Bangladesh</w:t>
        </w:r>
        <w:r w:rsidR="00595C4E">
          <w:rPr>
            <w:noProof/>
            <w:webHidden/>
          </w:rPr>
          <w:tab/>
        </w:r>
        <w:r w:rsidR="00595C4E">
          <w:rPr>
            <w:noProof/>
            <w:webHidden/>
          </w:rPr>
          <w:fldChar w:fldCharType="begin"/>
        </w:r>
        <w:r w:rsidR="00595C4E">
          <w:rPr>
            <w:noProof/>
            <w:webHidden/>
          </w:rPr>
          <w:instrText xml:space="preserve"> PAGEREF _Toc496536552 \h </w:instrText>
        </w:r>
        <w:r w:rsidR="00595C4E">
          <w:rPr>
            <w:noProof/>
            <w:webHidden/>
          </w:rPr>
        </w:r>
        <w:r w:rsidR="00595C4E">
          <w:rPr>
            <w:noProof/>
            <w:webHidden/>
          </w:rPr>
          <w:fldChar w:fldCharType="separate"/>
        </w:r>
        <w:r w:rsidR="00595C4E">
          <w:rPr>
            <w:noProof/>
            <w:webHidden/>
          </w:rPr>
          <w:t>53</w:t>
        </w:r>
        <w:r w:rsidR="00595C4E">
          <w:rPr>
            <w:noProof/>
            <w:webHidden/>
          </w:rPr>
          <w:fldChar w:fldCharType="end"/>
        </w:r>
      </w:hyperlink>
    </w:p>
    <w:p w14:paraId="15B341F5" w14:textId="77777777" w:rsidR="00AA5AF5" w:rsidRDefault="00AA5AF5" w:rsidP="00970527">
      <w:r>
        <w:fldChar w:fldCharType="end"/>
      </w:r>
    </w:p>
    <w:p w14:paraId="416E0DFF" w14:textId="77777777" w:rsidR="00AA5AF5" w:rsidRDefault="00AA5AF5" w:rsidP="00970527"/>
    <w:p w14:paraId="33305858" w14:textId="60BA0960" w:rsidR="00AA5AF5" w:rsidRPr="002B78EF" w:rsidRDefault="00AA5AF5" w:rsidP="002B78EF">
      <w:pPr>
        <w:pStyle w:val="Heading1"/>
        <w:numPr>
          <w:ilvl w:val="0"/>
          <w:numId w:val="0"/>
        </w:numPr>
        <w:spacing w:after="240"/>
        <w:jc w:val="center"/>
      </w:pPr>
      <w:bookmarkStart w:id="2" w:name="_Toc496536509"/>
      <w:r w:rsidRPr="002B78EF">
        <w:t>List of Boxes</w:t>
      </w:r>
      <w:bookmarkEnd w:id="2"/>
    </w:p>
    <w:p w14:paraId="00A2F793" w14:textId="77777777" w:rsidR="00595C4E" w:rsidRDefault="00AA5AF5">
      <w:pPr>
        <w:pStyle w:val="TOC2"/>
        <w:tabs>
          <w:tab w:val="right" w:leader="dot" w:pos="9350"/>
        </w:tabs>
        <w:rPr>
          <w:rFonts w:asciiTheme="minorHAnsi" w:hAnsiTheme="minorHAnsi" w:cstheme="minorBidi"/>
          <w:noProof/>
        </w:rPr>
      </w:pPr>
      <w:r>
        <w:fldChar w:fldCharType="begin"/>
      </w:r>
      <w:r>
        <w:instrText xml:space="preserve"> TOC \h \z \u \t "Heading 6,2" </w:instrText>
      </w:r>
      <w:r>
        <w:fldChar w:fldCharType="separate"/>
      </w:r>
      <w:hyperlink r:id="rId10" w:anchor="_Toc496536553" w:history="1">
        <w:r w:rsidR="00595C4E" w:rsidRPr="00321076">
          <w:rPr>
            <w:rStyle w:val="Hyperlink"/>
            <w:noProof/>
          </w:rPr>
          <w:t>Box 1: Robots Replacing Humans in Garments Manufacturing!</w:t>
        </w:r>
        <w:r w:rsidR="00595C4E">
          <w:rPr>
            <w:noProof/>
            <w:webHidden/>
          </w:rPr>
          <w:tab/>
        </w:r>
        <w:r w:rsidR="00595C4E">
          <w:rPr>
            <w:noProof/>
            <w:webHidden/>
          </w:rPr>
          <w:fldChar w:fldCharType="begin"/>
        </w:r>
        <w:r w:rsidR="00595C4E">
          <w:rPr>
            <w:noProof/>
            <w:webHidden/>
          </w:rPr>
          <w:instrText xml:space="preserve"> PAGEREF _Toc496536553 \h </w:instrText>
        </w:r>
        <w:r w:rsidR="00595C4E">
          <w:rPr>
            <w:noProof/>
            <w:webHidden/>
          </w:rPr>
        </w:r>
        <w:r w:rsidR="00595C4E">
          <w:rPr>
            <w:noProof/>
            <w:webHidden/>
          </w:rPr>
          <w:fldChar w:fldCharType="separate"/>
        </w:r>
        <w:r w:rsidR="00595C4E">
          <w:rPr>
            <w:noProof/>
            <w:webHidden/>
          </w:rPr>
          <w:t>5</w:t>
        </w:r>
        <w:r w:rsidR="00595C4E">
          <w:rPr>
            <w:noProof/>
            <w:webHidden/>
          </w:rPr>
          <w:fldChar w:fldCharType="end"/>
        </w:r>
      </w:hyperlink>
    </w:p>
    <w:p w14:paraId="07006BC5" w14:textId="77777777" w:rsidR="00595C4E" w:rsidRDefault="00BF4C93">
      <w:pPr>
        <w:pStyle w:val="TOC2"/>
        <w:tabs>
          <w:tab w:val="right" w:leader="dot" w:pos="9350"/>
        </w:tabs>
        <w:rPr>
          <w:rFonts w:asciiTheme="minorHAnsi" w:hAnsiTheme="minorHAnsi" w:cstheme="minorBidi"/>
          <w:noProof/>
        </w:rPr>
      </w:pPr>
      <w:hyperlink r:id="rId11" w:anchor="_Toc496536554" w:history="1">
        <w:r w:rsidR="00595C4E" w:rsidRPr="00321076">
          <w:rPr>
            <w:rStyle w:val="Hyperlink"/>
            <w:noProof/>
          </w:rPr>
          <w:t>Box 2: Applications of 3D Printing in Industrial Production</w:t>
        </w:r>
        <w:r w:rsidR="00595C4E">
          <w:rPr>
            <w:noProof/>
            <w:webHidden/>
          </w:rPr>
          <w:tab/>
        </w:r>
        <w:r w:rsidR="00595C4E">
          <w:rPr>
            <w:noProof/>
            <w:webHidden/>
          </w:rPr>
          <w:fldChar w:fldCharType="begin"/>
        </w:r>
        <w:r w:rsidR="00595C4E">
          <w:rPr>
            <w:noProof/>
            <w:webHidden/>
          </w:rPr>
          <w:instrText xml:space="preserve"> PAGEREF _Toc496536554 \h </w:instrText>
        </w:r>
        <w:r w:rsidR="00595C4E">
          <w:rPr>
            <w:noProof/>
            <w:webHidden/>
          </w:rPr>
        </w:r>
        <w:r w:rsidR="00595C4E">
          <w:rPr>
            <w:noProof/>
            <w:webHidden/>
          </w:rPr>
          <w:fldChar w:fldCharType="separate"/>
        </w:r>
        <w:r w:rsidR="00595C4E">
          <w:rPr>
            <w:noProof/>
            <w:webHidden/>
          </w:rPr>
          <w:t>6</w:t>
        </w:r>
        <w:r w:rsidR="00595C4E">
          <w:rPr>
            <w:noProof/>
            <w:webHidden/>
          </w:rPr>
          <w:fldChar w:fldCharType="end"/>
        </w:r>
      </w:hyperlink>
    </w:p>
    <w:p w14:paraId="17D0A0BB" w14:textId="77777777" w:rsidR="00AA5AF5" w:rsidRDefault="00AA5AF5" w:rsidP="00970527">
      <w:r>
        <w:fldChar w:fldCharType="end"/>
      </w:r>
    </w:p>
    <w:p w14:paraId="338FB052" w14:textId="2A6C13B4" w:rsidR="007B7988" w:rsidRDefault="007B7988">
      <w:r>
        <w:br w:type="page"/>
      </w:r>
    </w:p>
    <w:p w14:paraId="259A6386" w14:textId="77777777" w:rsidR="004C4677" w:rsidRPr="004C4677" w:rsidRDefault="004C4677" w:rsidP="004C4677">
      <w:pPr>
        <w:pStyle w:val="Heading1"/>
        <w:numPr>
          <w:ilvl w:val="0"/>
          <w:numId w:val="0"/>
        </w:numPr>
        <w:spacing w:after="240"/>
        <w:jc w:val="center"/>
      </w:pPr>
      <w:bookmarkStart w:id="3" w:name="_Toc496536510"/>
      <w:r w:rsidRPr="004C4677">
        <w:lastRenderedPageBreak/>
        <w:t>Abbreviations</w:t>
      </w:r>
      <w:bookmarkEnd w:id="3"/>
    </w:p>
    <w:p w14:paraId="2EE8DD34" w14:textId="77777777" w:rsidR="004C4677" w:rsidRPr="004C4677" w:rsidRDefault="004C4677" w:rsidP="004C4677">
      <w:pPr>
        <w:spacing w:after="0"/>
      </w:pPr>
    </w:p>
    <w:p w14:paraId="66260E0D" w14:textId="77777777" w:rsidR="004C4677" w:rsidRPr="004C4677" w:rsidRDefault="004C4677" w:rsidP="004C4677">
      <w:pPr>
        <w:spacing w:after="0"/>
        <w:sectPr w:rsidR="004C4677" w:rsidRPr="004C4677" w:rsidSect="004C4677">
          <w:footerReference w:type="default" r:id="rId12"/>
          <w:footerReference w:type="first" r:id="rId13"/>
          <w:pgSz w:w="12240" w:h="15840"/>
          <w:pgMar w:top="1440" w:right="1440" w:bottom="1440" w:left="1440" w:header="720" w:footer="720" w:gutter="0"/>
          <w:pgNumType w:fmt="lowerRoman" w:start="0"/>
          <w:cols w:space="720"/>
          <w:docGrid w:linePitch="360"/>
        </w:sectPr>
      </w:pPr>
    </w:p>
    <w:p w14:paraId="367ADF58"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AdVAT </w:t>
      </w:r>
      <w:r w:rsidRPr="004C4677">
        <w:rPr>
          <w:rFonts w:ascii="Times New Roman" w:hAnsi="Times New Roman" w:cs="Times New Roman"/>
          <w:sz w:val="22"/>
          <w:szCs w:val="24"/>
        </w:rPr>
        <w:tab/>
        <w:t>Advance Value Added Tax</w:t>
      </w:r>
    </w:p>
    <w:p w14:paraId="22D70970"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AI</w:t>
      </w:r>
      <w:r w:rsidRPr="004C4677">
        <w:rPr>
          <w:rFonts w:ascii="Times New Roman" w:hAnsi="Times New Roman" w:cs="Times New Roman"/>
          <w:sz w:val="22"/>
          <w:szCs w:val="24"/>
        </w:rPr>
        <w:tab/>
        <w:t xml:space="preserve">Artificial Intelligence </w:t>
      </w:r>
    </w:p>
    <w:p w14:paraId="2E91D8B1"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AIT </w:t>
      </w:r>
      <w:r w:rsidRPr="004C4677">
        <w:rPr>
          <w:rFonts w:ascii="Times New Roman" w:hAnsi="Times New Roman" w:cs="Times New Roman"/>
          <w:sz w:val="22"/>
          <w:szCs w:val="24"/>
        </w:rPr>
        <w:tab/>
        <w:t>Advance Income Tax</w:t>
      </w:r>
    </w:p>
    <w:p w14:paraId="2C32D153"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ASEAN </w:t>
      </w:r>
      <w:r w:rsidRPr="004C4677">
        <w:rPr>
          <w:rFonts w:ascii="Times New Roman" w:hAnsi="Times New Roman" w:cs="Times New Roman"/>
          <w:sz w:val="22"/>
          <w:szCs w:val="24"/>
        </w:rPr>
        <w:tab/>
        <w:t>Association of Southeast Asian Nations </w:t>
      </w:r>
      <w:r w:rsidRPr="004C4677">
        <w:rPr>
          <w:rFonts w:ascii="Times New Roman" w:hAnsi="Times New Roman" w:cs="Times New Roman"/>
          <w:sz w:val="22"/>
          <w:szCs w:val="24"/>
        </w:rPr>
        <w:tab/>
      </w:r>
    </w:p>
    <w:p w14:paraId="34951A85" w14:textId="3D15AA20"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ASYCUDA </w:t>
      </w:r>
      <w:r w:rsidRPr="004C4677">
        <w:rPr>
          <w:rFonts w:ascii="Times New Roman" w:hAnsi="Times New Roman" w:cs="Times New Roman"/>
          <w:sz w:val="22"/>
          <w:szCs w:val="24"/>
        </w:rPr>
        <w:tab/>
        <w:t>Automated System for Custom Data</w:t>
      </w:r>
      <w:r w:rsidRPr="004C4677">
        <w:rPr>
          <w:rFonts w:ascii="Times New Roman" w:hAnsi="Times New Roman" w:cs="Times New Roman"/>
          <w:sz w:val="22"/>
          <w:szCs w:val="24"/>
        </w:rPr>
        <w:tab/>
      </w:r>
    </w:p>
    <w:p w14:paraId="57273117"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BBS </w:t>
      </w:r>
      <w:r w:rsidRPr="004C4677">
        <w:rPr>
          <w:rFonts w:ascii="Times New Roman" w:hAnsi="Times New Roman" w:cs="Times New Roman"/>
          <w:sz w:val="22"/>
          <w:szCs w:val="24"/>
        </w:rPr>
        <w:tab/>
        <w:t xml:space="preserve">Bangladesh Bureau of Statistics </w:t>
      </w:r>
    </w:p>
    <w:p w14:paraId="159311DB"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BGMEA </w:t>
      </w:r>
      <w:r w:rsidRPr="004C4677">
        <w:rPr>
          <w:rFonts w:ascii="Times New Roman" w:hAnsi="Times New Roman" w:cs="Times New Roman"/>
          <w:sz w:val="22"/>
          <w:szCs w:val="24"/>
        </w:rPr>
        <w:tab/>
        <w:t xml:space="preserve">Bangladesh Garments Manufactures and Exporters Association </w:t>
      </w:r>
      <w:r w:rsidRPr="004C4677">
        <w:rPr>
          <w:rFonts w:ascii="Times New Roman" w:hAnsi="Times New Roman" w:cs="Times New Roman"/>
          <w:sz w:val="22"/>
          <w:szCs w:val="24"/>
        </w:rPr>
        <w:tab/>
      </w:r>
    </w:p>
    <w:p w14:paraId="4620B183"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BKMEA</w:t>
      </w:r>
      <w:r w:rsidRPr="004C4677">
        <w:rPr>
          <w:rFonts w:ascii="Times New Roman" w:hAnsi="Times New Roman" w:cs="Times New Roman"/>
          <w:sz w:val="22"/>
          <w:szCs w:val="24"/>
        </w:rPr>
        <w:tab/>
        <w:t>Bangladesh Knitwear Manufactures and Exporters Association</w:t>
      </w:r>
    </w:p>
    <w:p w14:paraId="6F46B5D8"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CD</w:t>
      </w:r>
      <w:r w:rsidRPr="004C4677">
        <w:rPr>
          <w:rFonts w:ascii="Times New Roman" w:hAnsi="Times New Roman" w:cs="Times New Roman"/>
          <w:sz w:val="22"/>
          <w:szCs w:val="24"/>
        </w:rPr>
        <w:tab/>
        <w:t>Customs Duty</w:t>
      </w:r>
    </w:p>
    <w:p w14:paraId="06BB15B6"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DMCC </w:t>
      </w:r>
      <w:r w:rsidRPr="004C4677">
        <w:rPr>
          <w:rFonts w:ascii="Times New Roman" w:hAnsi="Times New Roman" w:cs="Times New Roman"/>
          <w:sz w:val="22"/>
          <w:szCs w:val="24"/>
        </w:rPr>
        <w:tab/>
        <w:t xml:space="preserve">Dubai Multi-Commodities Centre </w:t>
      </w:r>
      <w:r w:rsidRPr="004C4677">
        <w:rPr>
          <w:rFonts w:ascii="Times New Roman" w:hAnsi="Times New Roman" w:cs="Times New Roman"/>
          <w:sz w:val="22"/>
          <w:szCs w:val="24"/>
        </w:rPr>
        <w:tab/>
      </w:r>
    </w:p>
    <w:p w14:paraId="523C8C81" w14:textId="48C67D3A"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DRAM</w:t>
      </w:r>
      <w:r w:rsidR="00544A84">
        <w:rPr>
          <w:rFonts w:ascii="Times New Roman" w:hAnsi="Times New Roman" w:cs="Times New Roman"/>
          <w:sz w:val="22"/>
          <w:szCs w:val="24"/>
        </w:rPr>
        <w:t xml:space="preserve">  </w:t>
      </w:r>
      <w:r w:rsidR="00544A84">
        <w:rPr>
          <w:rFonts w:ascii="Times New Roman" w:hAnsi="Times New Roman" w:cs="Times New Roman"/>
          <w:sz w:val="22"/>
          <w:szCs w:val="24"/>
        </w:rPr>
        <w:tab/>
        <w:t>Dynamic Random Access Memory</w:t>
      </w:r>
    </w:p>
    <w:p w14:paraId="77E72333"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DWT </w:t>
      </w:r>
      <w:r w:rsidRPr="004C4677">
        <w:rPr>
          <w:rFonts w:ascii="Times New Roman" w:hAnsi="Times New Roman" w:cs="Times New Roman"/>
          <w:sz w:val="22"/>
          <w:szCs w:val="24"/>
        </w:rPr>
        <w:tab/>
        <w:t xml:space="preserve">Deadweight Tonnage </w:t>
      </w:r>
    </w:p>
    <w:p w14:paraId="793E62C5"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EBA </w:t>
      </w:r>
      <w:r w:rsidRPr="004C4677">
        <w:rPr>
          <w:rFonts w:ascii="Times New Roman" w:hAnsi="Times New Roman" w:cs="Times New Roman"/>
          <w:sz w:val="22"/>
          <w:szCs w:val="24"/>
        </w:rPr>
        <w:tab/>
        <w:t>Everything but Arms</w:t>
      </w:r>
    </w:p>
    <w:p w14:paraId="69601A86"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ECR  </w:t>
      </w:r>
      <w:r w:rsidRPr="004C4677">
        <w:rPr>
          <w:rFonts w:ascii="Times New Roman" w:hAnsi="Times New Roman" w:cs="Times New Roman"/>
          <w:sz w:val="22"/>
          <w:szCs w:val="24"/>
        </w:rPr>
        <w:tab/>
        <w:t>Export Concentration Ratio</w:t>
      </w:r>
      <w:r w:rsidRPr="004C4677">
        <w:rPr>
          <w:rFonts w:ascii="Times New Roman" w:hAnsi="Times New Roman" w:cs="Times New Roman"/>
          <w:sz w:val="22"/>
          <w:szCs w:val="24"/>
        </w:rPr>
        <w:tab/>
      </w:r>
    </w:p>
    <w:p w14:paraId="26E6635E" w14:textId="176404BA"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EERM </w:t>
      </w:r>
      <w:r w:rsidRPr="004C4677">
        <w:rPr>
          <w:rFonts w:ascii="Times New Roman" w:hAnsi="Times New Roman" w:cs="Times New Roman"/>
          <w:sz w:val="22"/>
          <w:szCs w:val="24"/>
        </w:rPr>
        <w:tab/>
        <w:t>Effective Exchange Rate for Imports</w:t>
      </w:r>
      <w:r w:rsidRPr="004C4677">
        <w:rPr>
          <w:rFonts w:ascii="Times New Roman" w:hAnsi="Times New Roman" w:cs="Times New Roman"/>
          <w:sz w:val="22"/>
          <w:szCs w:val="24"/>
        </w:rPr>
        <w:tab/>
      </w:r>
    </w:p>
    <w:p w14:paraId="6F7EDB12" w14:textId="32AE2E25"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EERX </w:t>
      </w:r>
      <w:r w:rsidRPr="004C4677">
        <w:rPr>
          <w:rFonts w:ascii="Times New Roman" w:hAnsi="Times New Roman" w:cs="Times New Roman"/>
          <w:sz w:val="22"/>
          <w:szCs w:val="24"/>
        </w:rPr>
        <w:tab/>
        <w:t>Effective Exchange Rate for Exports</w:t>
      </w:r>
      <w:r w:rsidRPr="004C4677">
        <w:rPr>
          <w:rFonts w:ascii="Times New Roman" w:hAnsi="Times New Roman" w:cs="Times New Roman"/>
          <w:sz w:val="22"/>
          <w:szCs w:val="24"/>
        </w:rPr>
        <w:tab/>
      </w:r>
    </w:p>
    <w:p w14:paraId="70A73E24"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EPB   </w:t>
      </w:r>
      <w:r w:rsidRPr="004C4677">
        <w:rPr>
          <w:rFonts w:ascii="Times New Roman" w:hAnsi="Times New Roman" w:cs="Times New Roman"/>
          <w:sz w:val="22"/>
          <w:szCs w:val="24"/>
        </w:rPr>
        <w:tab/>
        <w:t>Export Promotion Bureau</w:t>
      </w:r>
    </w:p>
    <w:p w14:paraId="5B07EDFA"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EPZ  </w:t>
      </w:r>
      <w:r w:rsidRPr="004C4677">
        <w:rPr>
          <w:rFonts w:ascii="Times New Roman" w:hAnsi="Times New Roman" w:cs="Times New Roman"/>
          <w:sz w:val="22"/>
          <w:szCs w:val="24"/>
        </w:rPr>
        <w:tab/>
        <w:t>Export Promotion Zone</w:t>
      </w:r>
    </w:p>
    <w:p w14:paraId="5A41763F"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ERP  </w:t>
      </w:r>
      <w:r w:rsidRPr="004C4677">
        <w:rPr>
          <w:rFonts w:ascii="Times New Roman" w:hAnsi="Times New Roman" w:cs="Times New Roman"/>
          <w:sz w:val="22"/>
          <w:szCs w:val="24"/>
        </w:rPr>
        <w:tab/>
        <w:t>Effective Rate of Protection</w:t>
      </w:r>
      <w:r w:rsidRPr="004C4677">
        <w:rPr>
          <w:rFonts w:ascii="Times New Roman" w:hAnsi="Times New Roman" w:cs="Times New Roman"/>
          <w:sz w:val="22"/>
          <w:szCs w:val="24"/>
        </w:rPr>
        <w:tab/>
      </w:r>
    </w:p>
    <w:p w14:paraId="1C623458"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ETI   </w:t>
      </w:r>
      <w:r w:rsidRPr="004C4677">
        <w:rPr>
          <w:rFonts w:ascii="Times New Roman" w:hAnsi="Times New Roman" w:cs="Times New Roman"/>
          <w:sz w:val="22"/>
          <w:szCs w:val="24"/>
        </w:rPr>
        <w:tab/>
        <w:t>Enabling Trade Index</w:t>
      </w:r>
    </w:p>
    <w:p w14:paraId="7E7EC531"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EU</w:t>
      </w:r>
      <w:r w:rsidRPr="004C4677">
        <w:rPr>
          <w:rFonts w:ascii="Times New Roman" w:hAnsi="Times New Roman" w:cs="Times New Roman"/>
          <w:sz w:val="22"/>
          <w:szCs w:val="24"/>
        </w:rPr>
        <w:tab/>
        <w:t>European Union</w:t>
      </w:r>
    </w:p>
    <w:p w14:paraId="605FF5F7"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FCG </w:t>
      </w:r>
      <w:r w:rsidRPr="004C4677">
        <w:rPr>
          <w:rFonts w:ascii="Times New Roman" w:hAnsi="Times New Roman" w:cs="Times New Roman"/>
          <w:sz w:val="22"/>
          <w:szCs w:val="24"/>
        </w:rPr>
        <w:tab/>
        <w:t>Final Consumer Goods</w:t>
      </w:r>
    </w:p>
    <w:p w14:paraId="5C6BE6A9"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FDI </w:t>
      </w:r>
      <w:r w:rsidRPr="004C4677">
        <w:rPr>
          <w:rFonts w:ascii="Times New Roman" w:hAnsi="Times New Roman" w:cs="Times New Roman"/>
          <w:sz w:val="22"/>
          <w:szCs w:val="24"/>
        </w:rPr>
        <w:tab/>
        <w:t>Foreign Direct Investment</w:t>
      </w:r>
      <w:r w:rsidRPr="004C4677">
        <w:rPr>
          <w:rFonts w:ascii="Times New Roman" w:hAnsi="Times New Roman" w:cs="Times New Roman"/>
          <w:sz w:val="22"/>
          <w:szCs w:val="24"/>
        </w:rPr>
        <w:tab/>
      </w:r>
    </w:p>
    <w:p w14:paraId="327CCABF"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FTA </w:t>
      </w:r>
      <w:r w:rsidRPr="004C4677">
        <w:rPr>
          <w:rFonts w:ascii="Times New Roman" w:hAnsi="Times New Roman" w:cs="Times New Roman"/>
          <w:sz w:val="22"/>
          <w:szCs w:val="24"/>
        </w:rPr>
        <w:tab/>
        <w:t>Free Trade Agreement</w:t>
      </w:r>
    </w:p>
    <w:p w14:paraId="787AC3B2"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FY </w:t>
      </w:r>
      <w:r w:rsidRPr="004C4677">
        <w:rPr>
          <w:rFonts w:ascii="Times New Roman" w:hAnsi="Times New Roman" w:cs="Times New Roman"/>
          <w:sz w:val="22"/>
          <w:szCs w:val="24"/>
        </w:rPr>
        <w:tab/>
        <w:t>Fiscal Year</w:t>
      </w:r>
    </w:p>
    <w:p w14:paraId="18B27A5A"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GDP </w:t>
      </w:r>
      <w:r w:rsidRPr="004C4677">
        <w:rPr>
          <w:rFonts w:ascii="Times New Roman" w:hAnsi="Times New Roman" w:cs="Times New Roman"/>
          <w:sz w:val="22"/>
          <w:szCs w:val="24"/>
        </w:rPr>
        <w:tab/>
        <w:t>Gross Domestic Product</w:t>
      </w:r>
      <w:r w:rsidRPr="004C4677">
        <w:rPr>
          <w:rFonts w:ascii="Times New Roman" w:hAnsi="Times New Roman" w:cs="Times New Roman"/>
          <w:sz w:val="22"/>
          <w:szCs w:val="24"/>
        </w:rPr>
        <w:tab/>
      </w:r>
    </w:p>
    <w:p w14:paraId="120C9DBF"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GED </w:t>
      </w:r>
      <w:r w:rsidRPr="004C4677">
        <w:rPr>
          <w:rFonts w:ascii="Times New Roman" w:hAnsi="Times New Roman" w:cs="Times New Roman"/>
          <w:sz w:val="22"/>
          <w:szCs w:val="24"/>
        </w:rPr>
        <w:tab/>
        <w:t>General Economic Division</w:t>
      </w:r>
    </w:p>
    <w:p w14:paraId="090C7411"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GNI </w:t>
      </w:r>
      <w:r w:rsidRPr="004C4677">
        <w:rPr>
          <w:rFonts w:ascii="Times New Roman" w:hAnsi="Times New Roman" w:cs="Times New Roman"/>
          <w:sz w:val="22"/>
          <w:szCs w:val="24"/>
        </w:rPr>
        <w:tab/>
        <w:t>Gross National Income</w:t>
      </w:r>
    </w:p>
    <w:p w14:paraId="3DCD752F"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GNP</w:t>
      </w:r>
      <w:r w:rsidRPr="004C4677">
        <w:rPr>
          <w:rFonts w:ascii="Times New Roman" w:hAnsi="Times New Roman" w:cs="Times New Roman"/>
          <w:sz w:val="22"/>
          <w:szCs w:val="24"/>
        </w:rPr>
        <w:tab/>
        <w:t>Gross National Product</w:t>
      </w:r>
    </w:p>
    <w:p w14:paraId="0E157115"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GSP  </w:t>
      </w:r>
      <w:r w:rsidRPr="004C4677">
        <w:rPr>
          <w:rFonts w:ascii="Times New Roman" w:hAnsi="Times New Roman" w:cs="Times New Roman"/>
          <w:sz w:val="22"/>
          <w:szCs w:val="24"/>
        </w:rPr>
        <w:tab/>
        <w:t>Generalized System of Preferences</w:t>
      </w:r>
    </w:p>
    <w:p w14:paraId="679FE068"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GVC </w:t>
      </w:r>
      <w:r w:rsidRPr="004C4677">
        <w:rPr>
          <w:rFonts w:ascii="Times New Roman" w:hAnsi="Times New Roman" w:cs="Times New Roman"/>
          <w:sz w:val="22"/>
          <w:szCs w:val="24"/>
        </w:rPr>
        <w:tab/>
        <w:t>Global Value Chains</w:t>
      </w:r>
      <w:r w:rsidRPr="004C4677">
        <w:rPr>
          <w:rFonts w:ascii="Times New Roman" w:hAnsi="Times New Roman" w:cs="Times New Roman"/>
          <w:sz w:val="22"/>
          <w:szCs w:val="24"/>
        </w:rPr>
        <w:tab/>
      </w:r>
    </w:p>
    <w:p w14:paraId="7B70F54E"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HCI  </w:t>
      </w:r>
      <w:r w:rsidRPr="004C4677">
        <w:rPr>
          <w:rFonts w:ascii="Times New Roman" w:hAnsi="Times New Roman" w:cs="Times New Roman"/>
          <w:sz w:val="22"/>
          <w:szCs w:val="24"/>
        </w:rPr>
        <w:tab/>
        <w:t>Heavy and Chemical Industries</w:t>
      </w:r>
      <w:r w:rsidRPr="004C4677">
        <w:rPr>
          <w:rFonts w:ascii="Times New Roman" w:hAnsi="Times New Roman" w:cs="Times New Roman"/>
          <w:sz w:val="22"/>
          <w:szCs w:val="24"/>
        </w:rPr>
        <w:tab/>
      </w:r>
    </w:p>
    <w:p w14:paraId="377FB762"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HIC </w:t>
      </w:r>
      <w:r w:rsidRPr="004C4677">
        <w:rPr>
          <w:rFonts w:ascii="Times New Roman" w:hAnsi="Times New Roman" w:cs="Times New Roman"/>
          <w:sz w:val="22"/>
          <w:szCs w:val="24"/>
        </w:rPr>
        <w:tab/>
        <w:t>High Income Country</w:t>
      </w:r>
    </w:p>
    <w:p w14:paraId="39AB02CB"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HS   </w:t>
      </w:r>
      <w:r w:rsidRPr="004C4677">
        <w:rPr>
          <w:rFonts w:ascii="Times New Roman" w:hAnsi="Times New Roman" w:cs="Times New Roman"/>
          <w:sz w:val="22"/>
          <w:szCs w:val="24"/>
        </w:rPr>
        <w:tab/>
        <w:t>Harmonized Commodity Description and Coding System</w:t>
      </w:r>
    </w:p>
    <w:p w14:paraId="7096F791"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ICT </w:t>
      </w:r>
      <w:r w:rsidRPr="004C4677">
        <w:rPr>
          <w:rFonts w:ascii="Times New Roman" w:hAnsi="Times New Roman" w:cs="Times New Roman"/>
          <w:sz w:val="22"/>
          <w:szCs w:val="24"/>
        </w:rPr>
        <w:tab/>
        <w:t>Information and Communications Technology</w:t>
      </w:r>
      <w:r w:rsidRPr="004C4677">
        <w:rPr>
          <w:rFonts w:ascii="Times New Roman" w:hAnsi="Times New Roman" w:cs="Times New Roman"/>
          <w:sz w:val="22"/>
          <w:szCs w:val="24"/>
        </w:rPr>
        <w:tab/>
      </w:r>
    </w:p>
    <w:p w14:paraId="6AA45D00" w14:textId="5CC0C219" w:rsidR="004C4677" w:rsidRPr="004C4677" w:rsidRDefault="00544A84" w:rsidP="004C4677">
      <w:pPr>
        <w:tabs>
          <w:tab w:val="left" w:pos="1701"/>
        </w:tabs>
        <w:spacing w:after="0" w:line="240" w:lineRule="auto"/>
        <w:ind w:left="1276" w:hanging="1276"/>
        <w:rPr>
          <w:rFonts w:ascii="Times New Roman" w:hAnsi="Times New Roman" w:cs="Times New Roman"/>
          <w:sz w:val="22"/>
          <w:szCs w:val="24"/>
        </w:rPr>
      </w:pPr>
      <w:r>
        <w:rPr>
          <w:rFonts w:ascii="Times New Roman" w:hAnsi="Times New Roman" w:cs="Times New Roman"/>
          <w:sz w:val="22"/>
          <w:szCs w:val="24"/>
        </w:rPr>
        <w:br w:type="column"/>
      </w:r>
      <w:r w:rsidR="004C4677" w:rsidRPr="004C4677">
        <w:rPr>
          <w:rFonts w:ascii="Times New Roman" w:hAnsi="Times New Roman" w:cs="Times New Roman"/>
          <w:sz w:val="22"/>
          <w:szCs w:val="24"/>
        </w:rPr>
        <w:t xml:space="preserve">ISAC  </w:t>
      </w:r>
      <w:r w:rsidR="004C4677" w:rsidRPr="004C4677">
        <w:rPr>
          <w:rFonts w:ascii="Times New Roman" w:hAnsi="Times New Roman" w:cs="Times New Roman"/>
          <w:sz w:val="22"/>
          <w:szCs w:val="24"/>
        </w:rPr>
        <w:tab/>
        <w:t>Industrial Sector Adjustment Credit</w:t>
      </w:r>
    </w:p>
    <w:p w14:paraId="3E90B56C"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LC  </w:t>
      </w:r>
      <w:r w:rsidRPr="004C4677">
        <w:rPr>
          <w:rFonts w:ascii="Times New Roman" w:hAnsi="Times New Roman" w:cs="Times New Roman"/>
          <w:sz w:val="22"/>
          <w:szCs w:val="24"/>
        </w:rPr>
        <w:tab/>
        <w:t>Line of Credit</w:t>
      </w:r>
    </w:p>
    <w:p w14:paraId="508CC3B4"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LDC </w:t>
      </w:r>
      <w:r w:rsidRPr="004C4677">
        <w:rPr>
          <w:rFonts w:ascii="Times New Roman" w:hAnsi="Times New Roman" w:cs="Times New Roman"/>
          <w:sz w:val="22"/>
          <w:szCs w:val="24"/>
        </w:rPr>
        <w:tab/>
        <w:t>Least Developed Country</w:t>
      </w:r>
    </w:p>
    <w:p w14:paraId="433CB791" w14:textId="5F573805"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LMIC </w:t>
      </w:r>
      <w:r w:rsidRPr="004C4677">
        <w:rPr>
          <w:rFonts w:ascii="Times New Roman" w:hAnsi="Times New Roman" w:cs="Times New Roman"/>
          <w:sz w:val="22"/>
          <w:szCs w:val="24"/>
        </w:rPr>
        <w:tab/>
        <w:t>Lower Middle Income Country</w:t>
      </w:r>
      <w:r w:rsidRPr="004C4677">
        <w:rPr>
          <w:rFonts w:ascii="Times New Roman" w:hAnsi="Times New Roman" w:cs="Times New Roman"/>
          <w:sz w:val="22"/>
          <w:szCs w:val="24"/>
        </w:rPr>
        <w:tab/>
      </w:r>
    </w:p>
    <w:p w14:paraId="0B5B1417"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LPI </w:t>
      </w:r>
      <w:r w:rsidRPr="004C4677">
        <w:rPr>
          <w:rFonts w:ascii="Times New Roman" w:hAnsi="Times New Roman" w:cs="Times New Roman"/>
          <w:sz w:val="22"/>
          <w:szCs w:val="24"/>
        </w:rPr>
        <w:tab/>
        <w:t>Logistics Performance Index</w:t>
      </w:r>
    </w:p>
    <w:p w14:paraId="401E64BD"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MFA  </w:t>
      </w:r>
      <w:r w:rsidRPr="004C4677">
        <w:rPr>
          <w:rFonts w:ascii="Times New Roman" w:hAnsi="Times New Roman" w:cs="Times New Roman"/>
          <w:sz w:val="22"/>
          <w:szCs w:val="24"/>
        </w:rPr>
        <w:tab/>
        <w:t xml:space="preserve">Multi-Fiber Arrangement </w:t>
      </w:r>
    </w:p>
    <w:p w14:paraId="690B6AD8"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MFN </w:t>
      </w:r>
      <w:r w:rsidRPr="004C4677">
        <w:rPr>
          <w:rFonts w:ascii="Times New Roman" w:hAnsi="Times New Roman" w:cs="Times New Roman"/>
          <w:sz w:val="22"/>
          <w:szCs w:val="24"/>
        </w:rPr>
        <w:tab/>
        <w:t>Most Favored Nation</w:t>
      </w:r>
    </w:p>
    <w:p w14:paraId="760EC58B"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MGI </w:t>
      </w:r>
      <w:r w:rsidRPr="004C4677">
        <w:rPr>
          <w:rFonts w:ascii="Times New Roman" w:hAnsi="Times New Roman" w:cs="Times New Roman"/>
          <w:sz w:val="22"/>
          <w:szCs w:val="24"/>
        </w:rPr>
        <w:tab/>
        <w:t xml:space="preserve">McKinsey Global Institute </w:t>
      </w:r>
    </w:p>
    <w:p w14:paraId="2FBD66F9"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MSC  </w:t>
      </w:r>
      <w:r w:rsidRPr="004C4677">
        <w:rPr>
          <w:rFonts w:ascii="Times New Roman" w:hAnsi="Times New Roman" w:cs="Times New Roman"/>
          <w:sz w:val="22"/>
          <w:szCs w:val="24"/>
        </w:rPr>
        <w:tab/>
        <w:t>Multimedia Super Corridor</w:t>
      </w:r>
    </w:p>
    <w:p w14:paraId="10243381"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NBR   </w:t>
      </w:r>
      <w:r w:rsidRPr="004C4677">
        <w:rPr>
          <w:rFonts w:ascii="Times New Roman" w:hAnsi="Times New Roman" w:cs="Times New Roman"/>
          <w:sz w:val="22"/>
          <w:szCs w:val="24"/>
        </w:rPr>
        <w:tab/>
        <w:t>National Board of Revenue</w:t>
      </w:r>
    </w:p>
    <w:p w14:paraId="57D8958F"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NEM   </w:t>
      </w:r>
      <w:r w:rsidRPr="004C4677">
        <w:rPr>
          <w:rFonts w:ascii="Times New Roman" w:hAnsi="Times New Roman" w:cs="Times New Roman"/>
          <w:sz w:val="22"/>
          <w:szCs w:val="24"/>
        </w:rPr>
        <w:tab/>
        <w:t>New Economic Model</w:t>
      </w:r>
    </w:p>
    <w:p w14:paraId="2AEE638B"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NRP   </w:t>
      </w:r>
      <w:r w:rsidRPr="004C4677">
        <w:rPr>
          <w:rFonts w:ascii="Times New Roman" w:hAnsi="Times New Roman" w:cs="Times New Roman"/>
          <w:sz w:val="22"/>
          <w:szCs w:val="24"/>
        </w:rPr>
        <w:tab/>
        <w:t>Nominal Rate Protection</w:t>
      </w:r>
    </w:p>
    <w:p w14:paraId="166DA81C"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OECD </w:t>
      </w:r>
      <w:r w:rsidRPr="004C4677">
        <w:rPr>
          <w:rFonts w:ascii="Times New Roman" w:hAnsi="Times New Roman" w:cs="Times New Roman"/>
          <w:sz w:val="22"/>
          <w:szCs w:val="24"/>
        </w:rPr>
        <w:tab/>
        <w:t>Organization of Economic Cooperation and Development</w:t>
      </w:r>
      <w:r w:rsidRPr="004C4677">
        <w:rPr>
          <w:rFonts w:ascii="Times New Roman" w:hAnsi="Times New Roman" w:cs="Times New Roman"/>
          <w:sz w:val="22"/>
          <w:szCs w:val="24"/>
        </w:rPr>
        <w:tab/>
      </w:r>
    </w:p>
    <w:p w14:paraId="07D70122"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PRI </w:t>
      </w:r>
      <w:r w:rsidRPr="004C4677">
        <w:rPr>
          <w:rFonts w:ascii="Times New Roman" w:hAnsi="Times New Roman" w:cs="Times New Roman"/>
          <w:sz w:val="22"/>
          <w:szCs w:val="24"/>
        </w:rPr>
        <w:tab/>
        <w:t xml:space="preserve">Policy Research Institute </w:t>
      </w:r>
    </w:p>
    <w:p w14:paraId="5E53295A"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PTA </w:t>
      </w:r>
      <w:r w:rsidRPr="004C4677">
        <w:rPr>
          <w:rFonts w:ascii="Times New Roman" w:hAnsi="Times New Roman" w:cs="Times New Roman"/>
          <w:sz w:val="22"/>
          <w:szCs w:val="24"/>
        </w:rPr>
        <w:tab/>
        <w:t>Preferential Trade Area</w:t>
      </w:r>
      <w:r w:rsidRPr="004C4677">
        <w:rPr>
          <w:rFonts w:ascii="Times New Roman" w:hAnsi="Times New Roman" w:cs="Times New Roman"/>
          <w:sz w:val="22"/>
          <w:szCs w:val="24"/>
        </w:rPr>
        <w:tab/>
      </w:r>
    </w:p>
    <w:p w14:paraId="37663DC8"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QR    </w:t>
      </w:r>
      <w:r w:rsidRPr="004C4677">
        <w:rPr>
          <w:rFonts w:ascii="Times New Roman" w:hAnsi="Times New Roman" w:cs="Times New Roman"/>
          <w:sz w:val="22"/>
          <w:szCs w:val="24"/>
        </w:rPr>
        <w:tab/>
        <w:t xml:space="preserve">Quantitative Restrictions </w:t>
      </w:r>
      <w:r w:rsidRPr="004C4677">
        <w:rPr>
          <w:rFonts w:ascii="Times New Roman" w:hAnsi="Times New Roman" w:cs="Times New Roman"/>
          <w:sz w:val="22"/>
          <w:szCs w:val="24"/>
        </w:rPr>
        <w:tab/>
      </w:r>
    </w:p>
    <w:p w14:paraId="685D048F"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RCEP </w:t>
      </w:r>
      <w:r w:rsidRPr="004C4677">
        <w:rPr>
          <w:rFonts w:ascii="Times New Roman" w:hAnsi="Times New Roman" w:cs="Times New Roman"/>
          <w:sz w:val="22"/>
          <w:szCs w:val="24"/>
        </w:rPr>
        <w:tab/>
        <w:t xml:space="preserve">Regional Comprehensive Economic Partnership </w:t>
      </w:r>
    </w:p>
    <w:p w14:paraId="5384D929"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RD  </w:t>
      </w:r>
      <w:r w:rsidRPr="004C4677">
        <w:rPr>
          <w:rFonts w:ascii="Times New Roman" w:hAnsi="Times New Roman" w:cs="Times New Roman"/>
          <w:sz w:val="22"/>
          <w:szCs w:val="24"/>
        </w:rPr>
        <w:tab/>
        <w:t>Regulatory Duty</w:t>
      </w:r>
    </w:p>
    <w:p w14:paraId="2A8BD35C"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REER  </w:t>
      </w:r>
      <w:r w:rsidRPr="004C4677">
        <w:rPr>
          <w:rFonts w:ascii="Times New Roman" w:hAnsi="Times New Roman" w:cs="Times New Roman"/>
          <w:sz w:val="22"/>
          <w:szCs w:val="24"/>
        </w:rPr>
        <w:tab/>
        <w:t>Real Effective Exchange Rate</w:t>
      </w:r>
      <w:r w:rsidRPr="004C4677">
        <w:rPr>
          <w:rFonts w:ascii="Times New Roman" w:hAnsi="Times New Roman" w:cs="Times New Roman"/>
          <w:sz w:val="22"/>
          <w:szCs w:val="24"/>
        </w:rPr>
        <w:tab/>
      </w:r>
    </w:p>
    <w:p w14:paraId="5138459D"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RMG </w:t>
      </w:r>
      <w:r w:rsidRPr="004C4677">
        <w:rPr>
          <w:rFonts w:ascii="Times New Roman" w:hAnsi="Times New Roman" w:cs="Times New Roman"/>
          <w:sz w:val="22"/>
          <w:szCs w:val="24"/>
        </w:rPr>
        <w:tab/>
        <w:t>Ready Made Garment</w:t>
      </w:r>
      <w:r w:rsidRPr="004C4677">
        <w:rPr>
          <w:rFonts w:ascii="Times New Roman" w:hAnsi="Times New Roman" w:cs="Times New Roman"/>
          <w:sz w:val="22"/>
          <w:szCs w:val="24"/>
        </w:rPr>
        <w:tab/>
      </w:r>
    </w:p>
    <w:p w14:paraId="76D38607"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RTA  </w:t>
      </w:r>
      <w:r w:rsidRPr="004C4677">
        <w:rPr>
          <w:rFonts w:ascii="Times New Roman" w:hAnsi="Times New Roman" w:cs="Times New Roman"/>
          <w:sz w:val="22"/>
          <w:szCs w:val="24"/>
        </w:rPr>
        <w:tab/>
        <w:t>Regional Trade Agreements</w:t>
      </w:r>
      <w:r w:rsidRPr="004C4677">
        <w:rPr>
          <w:rFonts w:ascii="Times New Roman" w:hAnsi="Times New Roman" w:cs="Times New Roman"/>
          <w:sz w:val="22"/>
          <w:szCs w:val="24"/>
        </w:rPr>
        <w:tab/>
      </w:r>
    </w:p>
    <w:p w14:paraId="2BC9AD42"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SAFTA</w:t>
      </w:r>
      <w:r w:rsidRPr="004C4677">
        <w:rPr>
          <w:rFonts w:ascii="Times New Roman" w:hAnsi="Times New Roman" w:cs="Times New Roman"/>
          <w:sz w:val="22"/>
          <w:szCs w:val="24"/>
        </w:rPr>
        <w:tab/>
        <w:t>South Asian Free Trade Area</w:t>
      </w:r>
      <w:r w:rsidRPr="004C4677">
        <w:rPr>
          <w:rFonts w:ascii="Times New Roman" w:hAnsi="Times New Roman" w:cs="Times New Roman"/>
          <w:sz w:val="22"/>
          <w:szCs w:val="24"/>
        </w:rPr>
        <w:tab/>
      </w:r>
    </w:p>
    <w:p w14:paraId="73089A69"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SBW  </w:t>
      </w:r>
      <w:r w:rsidRPr="004C4677">
        <w:rPr>
          <w:rFonts w:ascii="Times New Roman" w:hAnsi="Times New Roman" w:cs="Times New Roman"/>
          <w:sz w:val="22"/>
          <w:szCs w:val="24"/>
        </w:rPr>
        <w:tab/>
        <w:t>Special Bonded Warehouse</w:t>
      </w:r>
    </w:p>
    <w:p w14:paraId="2C189B64"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SD  </w:t>
      </w:r>
      <w:r w:rsidRPr="004C4677">
        <w:rPr>
          <w:rFonts w:ascii="Times New Roman" w:hAnsi="Times New Roman" w:cs="Times New Roman"/>
          <w:sz w:val="22"/>
          <w:szCs w:val="24"/>
        </w:rPr>
        <w:tab/>
        <w:t>Supplementary Duty</w:t>
      </w:r>
    </w:p>
    <w:p w14:paraId="470E1EE0"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SEZ  </w:t>
      </w:r>
      <w:r w:rsidRPr="004C4677">
        <w:rPr>
          <w:rFonts w:ascii="Times New Roman" w:hAnsi="Times New Roman" w:cs="Times New Roman"/>
          <w:sz w:val="22"/>
          <w:szCs w:val="24"/>
        </w:rPr>
        <w:tab/>
        <w:t>Special Economic Zones</w:t>
      </w:r>
    </w:p>
    <w:p w14:paraId="03C33F29"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SME   </w:t>
      </w:r>
      <w:r w:rsidRPr="004C4677">
        <w:rPr>
          <w:rFonts w:ascii="Times New Roman" w:hAnsi="Times New Roman" w:cs="Times New Roman"/>
          <w:sz w:val="22"/>
          <w:szCs w:val="24"/>
        </w:rPr>
        <w:tab/>
        <w:t>Small and Medium Enterprises</w:t>
      </w:r>
      <w:r w:rsidRPr="004C4677">
        <w:rPr>
          <w:rFonts w:ascii="Times New Roman" w:hAnsi="Times New Roman" w:cs="Times New Roman"/>
          <w:sz w:val="22"/>
          <w:szCs w:val="24"/>
        </w:rPr>
        <w:tab/>
      </w:r>
    </w:p>
    <w:p w14:paraId="745ABBD1"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TNC </w:t>
      </w:r>
      <w:r w:rsidRPr="004C4677">
        <w:rPr>
          <w:rFonts w:ascii="Times New Roman" w:hAnsi="Times New Roman" w:cs="Times New Roman"/>
          <w:sz w:val="22"/>
          <w:szCs w:val="24"/>
        </w:rPr>
        <w:tab/>
        <w:t>Trans-National Corporation</w:t>
      </w:r>
    </w:p>
    <w:p w14:paraId="57E43C68"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TPP </w:t>
      </w:r>
      <w:r w:rsidRPr="004C4677">
        <w:rPr>
          <w:rFonts w:ascii="Times New Roman" w:hAnsi="Times New Roman" w:cs="Times New Roman"/>
          <w:sz w:val="22"/>
          <w:szCs w:val="24"/>
        </w:rPr>
        <w:tab/>
        <w:t>Trans Pacific Partnership</w:t>
      </w:r>
      <w:r w:rsidRPr="004C4677">
        <w:rPr>
          <w:rFonts w:ascii="Times New Roman" w:hAnsi="Times New Roman" w:cs="Times New Roman"/>
          <w:sz w:val="22"/>
          <w:szCs w:val="24"/>
        </w:rPr>
        <w:tab/>
      </w:r>
    </w:p>
    <w:p w14:paraId="69EE48CE"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TTIP </w:t>
      </w:r>
      <w:r w:rsidRPr="004C4677">
        <w:rPr>
          <w:rFonts w:ascii="Times New Roman" w:hAnsi="Times New Roman" w:cs="Times New Roman"/>
          <w:sz w:val="22"/>
          <w:szCs w:val="24"/>
        </w:rPr>
        <w:tab/>
        <w:t>Trans-Atlantic Trade and Investment Partnership</w:t>
      </w:r>
    </w:p>
    <w:p w14:paraId="756BFDAB"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TTRI </w:t>
      </w:r>
      <w:r w:rsidRPr="004C4677">
        <w:rPr>
          <w:rFonts w:ascii="Times New Roman" w:hAnsi="Times New Roman" w:cs="Times New Roman"/>
          <w:sz w:val="22"/>
          <w:szCs w:val="24"/>
        </w:rPr>
        <w:tab/>
        <w:t>Trade Restrictiveness Index</w:t>
      </w:r>
    </w:p>
    <w:p w14:paraId="4AEF8C78"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UD </w:t>
      </w:r>
      <w:r w:rsidRPr="004C4677">
        <w:rPr>
          <w:rFonts w:ascii="Times New Roman" w:hAnsi="Times New Roman" w:cs="Times New Roman"/>
          <w:sz w:val="22"/>
          <w:szCs w:val="24"/>
        </w:rPr>
        <w:tab/>
        <w:t>Utilization Declarations</w:t>
      </w:r>
    </w:p>
    <w:p w14:paraId="62ECC177"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UMIC </w:t>
      </w:r>
      <w:r w:rsidRPr="004C4677">
        <w:rPr>
          <w:rFonts w:ascii="Times New Roman" w:hAnsi="Times New Roman" w:cs="Times New Roman"/>
          <w:sz w:val="22"/>
          <w:szCs w:val="24"/>
        </w:rPr>
        <w:tab/>
        <w:t>Upper Middle Income Country</w:t>
      </w:r>
      <w:r w:rsidRPr="004C4677">
        <w:rPr>
          <w:rFonts w:ascii="Times New Roman" w:hAnsi="Times New Roman" w:cs="Times New Roman"/>
          <w:sz w:val="22"/>
          <w:szCs w:val="24"/>
        </w:rPr>
        <w:tab/>
      </w:r>
    </w:p>
    <w:p w14:paraId="2FC6E552"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UNCTAD</w:t>
      </w:r>
      <w:r w:rsidRPr="004C4677">
        <w:rPr>
          <w:rFonts w:ascii="Times New Roman" w:hAnsi="Times New Roman" w:cs="Times New Roman"/>
          <w:sz w:val="22"/>
          <w:szCs w:val="24"/>
        </w:rPr>
        <w:tab/>
        <w:t>United Nations Conference on Trade and Development </w:t>
      </w:r>
      <w:r w:rsidRPr="004C4677">
        <w:rPr>
          <w:rFonts w:ascii="Times New Roman" w:hAnsi="Times New Roman" w:cs="Times New Roman"/>
          <w:sz w:val="22"/>
          <w:szCs w:val="24"/>
        </w:rPr>
        <w:tab/>
      </w:r>
    </w:p>
    <w:p w14:paraId="7C5854A0"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VAT </w:t>
      </w:r>
      <w:r w:rsidRPr="004C4677">
        <w:rPr>
          <w:rFonts w:ascii="Times New Roman" w:hAnsi="Times New Roman" w:cs="Times New Roman"/>
          <w:sz w:val="22"/>
          <w:szCs w:val="24"/>
        </w:rPr>
        <w:tab/>
        <w:t>Value Added Tax</w:t>
      </w:r>
    </w:p>
    <w:p w14:paraId="63B37629"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WDI</w:t>
      </w:r>
      <w:r w:rsidRPr="004C4677">
        <w:rPr>
          <w:rFonts w:ascii="Times New Roman" w:hAnsi="Times New Roman" w:cs="Times New Roman"/>
          <w:sz w:val="22"/>
          <w:szCs w:val="24"/>
        </w:rPr>
        <w:tab/>
        <w:t>World Development Indicators</w:t>
      </w:r>
    </w:p>
    <w:p w14:paraId="76C8DC6E"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pPr>
      <w:r w:rsidRPr="004C4677">
        <w:rPr>
          <w:rFonts w:ascii="Times New Roman" w:hAnsi="Times New Roman" w:cs="Times New Roman"/>
          <w:sz w:val="22"/>
          <w:szCs w:val="24"/>
        </w:rPr>
        <w:t xml:space="preserve">WITS </w:t>
      </w:r>
      <w:r w:rsidRPr="004C4677">
        <w:rPr>
          <w:rFonts w:ascii="Times New Roman" w:hAnsi="Times New Roman" w:cs="Times New Roman"/>
          <w:sz w:val="22"/>
          <w:szCs w:val="24"/>
        </w:rPr>
        <w:tab/>
        <w:t xml:space="preserve">World Integrated Trade Solution </w:t>
      </w:r>
    </w:p>
    <w:p w14:paraId="12BD6A7D" w14:textId="77777777" w:rsidR="004C4677" w:rsidRPr="004C4677" w:rsidRDefault="004C4677" w:rsidP="004C4677">
      <w:pPr>
        <w:tabs>
          <w:tab w:val="left" w:pos="1701"/>
        </w:tabs>
        <w:spacing w:after="0" w:line="240" w:lineRule="auto"/>
        <w:ind w:left="1276" w:hanging="1276"/>
        <w:rPr>
          <w:rFonts w:ascii="Times New Roman" w:hAnsi="Times New Roman" w:cs="Times New Roman"/>
          <w:sz w:val="22"/>
          <w:szCs w:val="24"/>
        </w:rPr>
        <w:sectPr w:rsidR="004C4677" w:rsidRPr="004C4677" w:rsidSect="00A54799">
          <w:type w:val="continuous"/>
          <w:pgSz w:w="12240" w:h="15840"/>
          <w:pgMar w:top="1440" w:right="1440" w:bottom="1440" w:left="1440" w:header="720" w:footer="720" w:gutter="0"/>
          <w:cols w:num="2" w:sep="1" w:space="567"/>
          <w:docGrid w:linePitch="360"/>
        </w:sectPr>
      </w:pPr>
      <w:r w:rsidRPr="004C4677">
        <w:rPr>
          <w:rFonts w:ascii="Times New Roman" w:hAnsi="Times New Roman" w:cs="Times New Roman"/>
          <w:sz w:val="22"/>
          <w:szCs w:val="24"/>
        </w:rPr>
        <w:t xml:space="preserve">WTO  </w:t>
      </w:r>
      <w:r w:rsidRPr="004C4677">
        <w:rPr>
          <w:rFonts w:ascii="Times New Roman" w:hAnsi="Times New Roman" w:cs="Times New Roman"/>
          <w:sz w:val="22"/>
          <w:szCs w:val="24"/>
        </w:rPr>
        <w:tab/>
        <w:t>World Trade Organization</w:t>
      </w:r>
      <w:r w:rsidRPr="004C4677">
        <w:rPr>
          <w:rFonts w:ascii="Times New Roman" w:hAnsi="Times New Roman" w:cs="Times New Roman"/>
          <w:sz w:val="22"/>
          <w:szCs w:val="24"/>
        </w:rPr>
        <w:tab/>
      </w:r>
    </w:p>
    <w:p w14:paraId="318C3136" w14:textId="77777777" w:rsidR="00AB43A0" w:rsidRDefault="00AB43A0" w:rsidP="004C4677">
      <w:pPr>
        <w:pStyle w:val="Heading1"/>
        <w:numPr>
          <w:ilvl w:val="0"/>
          <w:numId w:val="0"/>
        </w:numPr>
        <w:spacing w:after="240"/>
        <w:jc w:val="center"/>
        <w:sectPr w:rsidR="00AB43A0" w:rsidSect="004C4677">
          <w:footerReference w:type="default" r:id="rId14"/>
          <w:pgSz w:w="12240" w:h="15840"/>
          <w:pgMar w:top="1440" w:right="1440" w:bottom="1440" w:left="1440" w:header="720" w:footer="720" w:gutter="0"/>
          <w:pgNumType w:fmt="lowerRoman"/>
          <w:cols w:space="720"/>
          <w:titlePg/>
          <w:docGrid w:linePitch="360"/>
        </w:sectPr>
      </w:pPr>
    </w:p>
    <w:p w14:paraId="663A5BB3" w14:textId="5E3EFD67" w:rsidR="004C4677" w:rsidRPr="004C4677" w:rsidRDefault="004C4677" w:rsidP="004C4677">
      <w:pPr>
        <w:pStyle w:val="Heading1"/>
        <w:numPr>
          <w:ilvl w:val="0"/>
          <w:numId w:val="0"/>
        </w:numPr>
        <w:spacing w:after="240"/>
        <w:jc w:val="center"/>
      </w:pPr>
      <w:bookmarkStart w:id="4" w:name="_Toc496536511"/>
      <w:r w:rsidRPr="004C4677">
        <w:t>Executive Summary</w:t>
      </w:r>
      <w:bookmarkEnd w:id="4"/>
    </w:p>
    <w:p w14:paraId="67DCD950" w14:textId="77777777" w:rsidR="004C4677" w:rsidRPr="004C4677" w:rsidRDefault="004C4677" w:rsidP="004C4677">
      <w:pPr>
        <w:spacing w:after="200" w:line="276" w:lineRule="auto"/>
        <w:jc w:val="both"/>
        <w:rPr>
          <w:rFonts w:ascii="Times New Roman" w:eastAsia="Calibri" w:hAnsi="Times New Roman" w:cs="Times New Roman"/>
          <w:b/>
          <w:sz w:val="24"/>
          <w:szCs w:val="24"/>
        </w:rPr>
      </w:pPr>
      <w:r w:rsidRPr="004C4677">
        <w:rPr>
          <w:rFonts w:ascii="Times New Roman" w:eastAsia="Calibri" w:hAnsi="Times New Roman" w:cs="Times New Roman"/>
          <w:sz w:val="24"/>
          <w:szCs w:val="24"/>
        </w:rPr>
        <w:t xml:space="preserve">The global business community now recognizes Bangladesh as a nation of dynamic first generation industrial entrepreneurs who can compete with established players in the world market – export performance of readymade garments (RMG) is the classic example. Bangladesh has become a global powerhouse in low-cost manufacturing. But profound changes are taking place in the global economy. A fast-paced technological revolution, the digital age, is under way which will eventually change the way we live, work, and interact with the global community. The future of manufacturing is also digital. These </w:t>
      </w:r>
      <w:r w:rsidRPr="004C4677">
        <w:rPr>
          <w:rFonts w:ascii="Times New Roman" w:eastAsia="Times New Roman" w:hAnsi="Times New Roman" w:cs="Times New Roman"/>
          <w:bCs/>
          <w:sz w:val="24"/>
          <w:szCs w:val="24"/>
        </w:rPr>
        <w:t xml:space="preserve">changes are unlike anything humankind has experienced before. </w:t>
      </w:r>
      <w:r w:rsidRPr="004C4677">
        <w:rPr>
          <w:rFonts w:ascii="Times New Roman" w:eastAsia="Times New Roman" w:hAnsi="Times New Roman" w:cs="Times New Roman"/>
          <w:spacing w:val="-5"/>
          <w:sz w:val="24"/>
          <w:szCs w:val="24"/>
        </w:rPr>
        <w:t xml:space="preserve">Properly harnessing these global forces will enable Bangladesh to grow at higher rates in future that were simply not possible before. </w:t>
      </w:r>
      <w:r w:rsidRPr="004C4677">
        <w:rPr>
          <w:rFonts w:ascii="Times New Roman" w:eastAsia="Calibri" w:hAnsi="Times New Roman" w:cs="Times New Roman"/>
          <w:sz w:val="24"/>
          <w:szCs w:val="24"/>
        </w:rPr>
        <w:t>And Bangladesh industry must conform to stay competitive.</w:t>
      </w:r>
    </w:p>
    <w:p w14:paraId="1E89B27F" w14:textId="16DDA49B" w:rsidR="004C4677" w:rsidRPr="004C4677" w:rsidRDefault="004C4677" w:rsidP="004C4677">
      <w:pPr>
        <w:spacing w:after="200" w:line="276" w:lineRule="auto"/>
        <w:jc w:val="both"/>
        <w:rPr>
          <w:rFonts w:ascii="Times New Roman" w:eastAsia="Calibri" w:hAnsi="Times New Roman" w:cs="Times New Roman"/>
          <w:sz w:val="24"/>
          <w:szCs w:val="24"/>
        </w:rPr>
      </w:pPr>
      <w:r w:rsidRPr="004C4677">
        <w:rPr>
          <w:rFonts w:ascii="Times New Roman" w:eastAsia="Calibri" w:hAnsi="Times New Roman" w:cs="Times New Roman"/>
          <w:b/>
          <w:sz w:val="24"/>
          <w:szCs w:val="24"/>
        </w:rPr>
        <w:t xml:space="preserve">Structural Change. </w:t>
      </w:r>
      <w:r w:rsidRPr="004C4677">
        <w:rPr>
          <w:rFonts w:ascii="Times New Roman" w:eastAsia="Calibri" w:hAnsi="Times New Roman" w:cs="Times New Roman"/>
          <w:sz w:val="24"/>
          <w:szCs w:val="24"/>
        </w:rPr>
        <w:t>A rapid pace of industrialization centered on export-oriented manufacturing has been responsible for growth acceleration of the Bangladesh economy thus far</w:t>
      </w:r>
      <w:r w:rsidR="00C72FF4">
        <w:rPr>
          <w:rFonts w:ascii="Times New Roman" w:eastAsia="Calibri" w:hAnsi="Times New Roman" w:cs="Times New Roman"/>
          <w:sz w:val="24"/>
          <w:szCs w:val="24"/>
        </w:rPr>
        <w:t>. The country has gone through</w:t>
      </w:r>
      <w:r w:rsidRPr="004C4677">
        <w:rPr>
          <w:rFonts w:ascii="Times New Roman" w:eastAsia="Calibri" w:hAnsi="Times New Roman" w:cs="Times New Roman"/>
          <w:sz w:val="24"/>
          <w:szCs w:val="24"/>
        </w:rPr>
        <w:t xml:space="preserve"> structural change since its independence, following the canonical shifts of output and labor, from agriculture to industry, a structural transformation attributable to changing demand patterns: owing to higher income elasticities for manufactures, the share of expenditures in agricultural goods tends to decline. Consequently, industry share in GDP outstrips those of agriculture as national incomes rise. Looking into the future, there is little doubt that industry will remain the key driver of growth at least until Bangladesh becomes an Upper Middle-Income Country (UMIC) by 2030. Thereafter, (or even earlier), the economy will be driven by a combination of futuristic digital and industrial revolution in which, according to expert analyses, services will be making heavy inroads.</w:t>
      </w:r>
    </w:p>
    <w:p w14:paraId="23918336" w14:textId="77777777" w:rsidR="004C4677" w:rsidRPr="004C4677" w:rsidRDefault="004C4677" w:rsidP="004C4677">
      <w:pPr>
        <w:spacing w:after="200" w:line="276" w:lineRule="auto"/>
        <w:jc w:val="both"/>
        <w:rPr>
          <w:rFonts w:ascii="Times New Roman" w:eastAsia="Calibri" w:hAnsi="Times New Roman" w:cs="Times New Roman"/>
          <w:sz w:val="24"/>
          <w:szCs w:val="24"/>
        </w:rPr>
      </w:pPr>
      <w:r w:rsidRPr="004C4677">
        <w:rPr>
          <w:rFonts w:ascii="Times New Roman" w:eastAsia="Calibri" w:hAnsi="Times New Roman" w:cs="Times New Roman"/>
          <w:b/>
          <w:sz w:val="24"/>
          <w:szCs w:val="24"/>
        </w:rPr>
        <w:t xml:space="preserve">Industry 4.0. </w:t>
      </w:r>
      <w:r w:rsidRPr="004C4677">
        <w:rPr>
          <w:rFonts w:ascii="Times New Roman" w:eastAsia="Calibri" w:hAnsi="Times New Roman" w:cs="Times New Roman"/>
          <w:sz w:val="24"/>
          <w:szCs w:val="24"/>
        </w:rPr>
        <w:t xml:space="preserve">The Fourth Industrial Revolution is upon us -- a phenomenon defined by trends such as the Internet of Things (IoT), robotics, 3D printing, and artificial intelligence (AI), which are changing the way we live and work. The Internet of Things (IoT), with intelligent manufacturing is increasingly becoming the norm in advanced industrial economies. According to global industry experts, the future of manufacturing will be characterized by that of </w:t>
      </w:r>
      <w:r w:rsidRPr="004C4677">
        <w:rPr>
          <w:rFonts w:ascii="Times New Roman" w:eastAsia="Calibri" w:hAnsi="Times New Roman" w:cs="Times New Roman"/>
          <w:b/>
          <w:sz w:val="24"/>
          <w:szCs w:val="24"/>
        </w:rPr>
        <w:t>smart manufacturing</w:t>
      </w:r>
      <w:r w:rsidRPr="004C4677">
        <w:rPr>
          <w:rFonts w:ascii="Times New Roman" w:eastAsia="Calibri" w:hAnsi="Times New Roman" w:cs="Times New Roman"/>
          <w:sz w:val="24"/>
          <w:szCs w:val="24"/>
        </w:rPr>
        <w:t xml:space="preserve">—the application of information and communication technologies (ICTs) to every facet of modern manufacturing processes. The digitalization of manufacturing will transform the manufacturing process as much as it will transform the operations, energy footprint of factories, and the management of manufacturing supply chains. There are concerns however; that it might potentially reduce the relative advantage of low labor-cost exporters like Bangladesh. Therefore, public policy will play a pivotal role in ensuring and sustaining Bangladesh’s global competitive advantage in the future. </w:t>
      </w:r>
    </w:p>
    <w:p w14:paraId="206376A0" w14:textId="77777777" w:rsidR="004C4677" w:rsidRPr="004C4677" w:rsidRDefault="004C4677" w:rsidP="004C4677">
      <w:pPr>
        <w:spacing w:before="100" w:beforeAutospacing="1" w:after="100" w:afterAutospacing="1" w:line="276" w:lineRule="auto"/>
        <w:jc w:val="both"/>
        <w:rPr>
          <w:rFonts w:ascii="Times New Roman" w:eastAsia="Calibri" w:hAnsi="Times New Roman" w:cs="Times New Roman"/>
          <w:sz w:val="24"/>
          <w:szCs w:val="24"/>
        </w:rPr>
      </w:pPr>
      <w:r w:rsidRPr="004C4677">
        <w:rPr>
          <w:rFonts w:ascii="Times New Roman" w:eastAsia="Calibri" w:hAnsi="Times New Roman" w:cs="Times New Roman"/>
          <w:b/>
          <w:sz w:val="24"/>
          <w:szCs w:val="24"/>
        </w:rPr>
        <w:t xml:space="preserve">Shifting patterns of Globalization. </w:t>
      </w:r>
      <w:r w:rsidRPr="004C4677">
        <w:rPr>
          <w:rFonts w:ascii="Times New Roman" w:eastAsia="Calibri" w:hAnsi="Times New Roman" w:cs="Times New Roman"/>
          <w:sz w:val="24"/>
          <w:szCs w:val="24"/>
        </w:rPr>
        <w:t xml:space="preserve">In the past 25 years, falling costs of transportation and communication and removal of barriers to trade have been the driving force behind globalization - the closer integration of economies into the global marketplace. According to research by various organizations (World Bank, 2002; Mckinsey Global Institute, 2017), globalization has played a </w:t>
      </w:r>
      <w:r w:rsidRPr="004C4677">
        <w:rPr>
          <w:rFonts w:ascii="Times New Roman" w:eastAsia="Calibri" w:hAnsi="Times New Roman" w:cs="Times New Roman"/>
          <w:sz w:val="24"/>
          <w:szCs w:val="24"/>
        </w:rPr>
        <w:lastRenderedPageBreak/>
        <w:t xml:space="preserve">pivotal role in fostering economic growth and poverty reduction. Bangladesh has been among the strongest beneficiaries of this development. Several important features of the current and future trends of globalization have been identified. Global analysts agree that the next 25 years will experience a new wave of accelerated globalization driven by cross-border flow of technology, capital, and knowledge, within a global infrastructure characterized by the greatest trade openness to trade and investment. Also notable is the rising importance of global value chains, where services are actually embodied in manufactured goods.  </w:t>
      </w:r>
    </w:p>
    <w:p w14:paraId="22CAA0F5" w14:textId="77777777" w:rsidR="004C4677" w:rsidRPr="004C4677" w:rsidRDefault="004C4677" w:rsidP="004C4677">
      <w:pPr>
        <w:spacing w:before="100" w:beforeAutospacing="1" w:after="100" w:afterAutospacing="1" w:line="276" w:lineRule="auto"/>
        <w:jc w:val="both"/>
        <w:rPr>
          <w:rFonts w:ascii="Times New Roman" w:eastAsia="Calibri" w:hAnsi="Times New Roman" w:cs="Times New Roman"/>
          <w:sz w:val="24"/>
          <w:szCs w:val="24"/>
        </w:rPr>
      </w:pPr>
      <w:r w:rsidRPr="004C4677">
        <w:rPr>
          <w:rFonts w:ascii="Times New Roman" w:eastAsia="Calibri" w:hAnsi="Times New Roman" w:cs="Times New Roman"/>
          <w:sz w:val="24"/>
          <w:szCs w:val="24"/>
        </w:rPr>
        <w:t>Over the next 25 years the stage is set for developing and emerging economies like Bangladesh to move center stage in the global economy. Tremendous opportunities will be created along with income inequality, tensions in labor markets, environmental challenges. In charting a long-term perspective of Bangladesh’s transformation to a high-income country, at least three important features of the current and next wave of globalization should be kept in view: (a) boundless growth of trade, (b) greater integration of capital and financial markets, and (c) rapid pace of technological innovation and diffusion. With the help of appropriate policies Bangladesh must ensure that growth is inclusive by addressing the challenges arising from income inequality and potential labor market disruptions.</w:t>
      </w:r>
    </w:p>
    <w:p w14:paraId="528D9FC2" w14:textId="77777777" w:rsidR="004C4677" w:rsidRPr="004C4677" w:rsidRDefault="004C4677" w:rsidP="004C4677">
      <w:pPr>
        <w:spacing w:after="200" w:line="276" w:lineRule="auto"/>
        <w:jc w:val="both"/>
        <w:rPr>
          <w:rFonts w:ascii="Times New Roman" w:eastAsia="Calibri" w:hAnsi="Times New Roman" w:cs="Times New Roman"/>
          <w:color w:val="101010"/>
          <w:sz w:val="24"/>
          <w:szCs w:val="24"/>
        </w:rPr>
      </w:pPr>
      <w:r w:rsidRPr="004C4677">
        <w:rPr>
          <w:rFonts w:ascii="Times New Roman" w:eastAsia="Calibri" w:hAnsi="Times New Roman" w:cs="Times New Roman"/>
          <w:b/>
          <w:sz w:val="24"/>
          <w:szCs w:val="24"/>
        </w:rPr>
        <w:t xml:space="preserve">Challenges in a Competitive World. </w:t>
      </w:r>
      <w:r w:rsidRPr="004C4677">
        <w:rPr>
          <w:rFonts w:ascii="Times New Roman" w:eastAsia="Times New Roman" w:hAnsi="Times New Roman" w:cs="Times New Roman"/>
          <w:spacing w:val="-5"/>
          <w:sz w:val="24"/>
          <w:szCs w:val="24"/>
        </w:rPr>
        <w:t>In the unfolding industrial universe of the future, Bangladeshi firms will face the stark reality that c</w:t>
      </w:r>
      <w:r w:rsidRPr="004C4677">
        <w:rPr>
          <w:rFonts w:ascii="Times New Roman" w:eastAsia="Calibri" w:hAnsi="Times New Roman" w:cs="Times New Roman"/>
          <w:sz w:val="24"/>
          <w:szCs w:val="24"/>
        </w:rPr>
        <w:t>ompetitive advantage founded on low labor cost cannot be guaranteed for all time. Competitive advantage is dynamic and will be evolving. From its current phase of factor-driven competitive advantage Bangladeshi firms will have to move into investment and innovation driven competitive advantage (</w:t>
      </w:r>
      <w:r w:rsidRPr="004C4677">
        <w:rPr>
          <w:rFonts w:ascii="Times New Roman" w:eastAsia="Calibri" w:hAnsi="Times New Roman" w:cs="Times New Roman"/>
          <w:i/>
          <w:sz w:val="24"/>
          <w:szCs w:val="24"/>
        </w:rPr>
        <w:t>a la Porter</w:t>
      </w:r>
      <w:r w:rsidRPr="004C4677">
        <w:rPr>
          <w:rFonts w:ascii="Times New Roman" w:eastAsia="Calibri" w:hAnsi="Times New Roman" w:cs="Times New Roman"/>
          <w:sz w:val="24"/>
          <w:szCs w:val="24"/>
        </w:rPr>
        <w:t xml:space="preserve">). Without such efforts, entrepreneurs need be warned that the current competitive advantage in labor-intensive garment exports could well be lost in future. </w:t>
      </w:r>
      <w:r w:rsidRPr="004C4677">
        <w:rPr>
          <w:rFonts w:ascii="Times New Roman" w:eastAsia="Calibri" w:hAnsi="Times New Roman" w:cs="Times New Roman"/>
          <w:color w:val="101010"/>
          <w:sz w:val="24"/>
          <w:szCs w:val="24"/>
        </w:rPr>
        <w:t xml:space="preserve">The state will have to play a significant but facilitating role in ensuring that the competitive advantage of our private firms is sustained over the long-term. </w:t>
      </w:r>
    </w:p>
    <w:p w14:paraId="1E36BDA1" w14:textId="77777777" w:rsidR="004C4677" w:rsidRPr="004C4677" w:rsidRDefault="004C4677" w:rsidP="004C4677">
      <w:pPr>
        <w:spacing w:before="240" w:after="100" w:afterAutospacing="1"/>
        <w:jc w:val="both"/>
        <w:rPr>
          <w:rFonts w:ascii="Times New Roman" w:eastAsia="Times New Roman" w:hAnsi="Times New Roman" w:cs="Times New Roman"/>
          <w:bCs/>
          <w:sz w:val="24"/>
          <w:szCs w:val="24"/>
        </w:rPr>
      </w:pPr>
      <w:r w:rsidRPr="004C4677">
        <w:rPr>
          <w:rFonts w:ascii="Times New Roman" w:eastAsia="Calibri" w:hAnsi="Times New Roman" w:cs="Times New Roman"/>
          <w:b/>
          <w:sz w:val="24"/>
          <w:szCs w:val="24"/>
        </w:rPr>
        <w:t xml:space="preserve">Lessons from High Performing Economies. </w:t>
      </w:r>
      <w:r w:rsidRPr="004C4677">
        <w:rPr>
          <w:rFonts w:ascii="Times New Roman" w:eastAsia="Times New Roman" w:hAnsi="Times New Roman" w:cs="Times New Roman"/>
          <w:spacing w:val="-5"/>
          <w:sz w:val="24"/>
          <w:szCs w:val="24"/>
        </w:rPr>
        <w:t xml:space="preserve">Korea, Taiwan, Malaysia, Thailand, </w:t>
      </w:r>
      <w:r w:rsidRPr="004C4677">
        <w:rPr>
          <w:rFonts w:ascii="Times New Roman" w:eastAsia="Calibri" w:hAnsi="Times New Roman" w:cs="Times New Roman"/>
          <w:bCs/>
          <w:sz w:val="24"/>
          <w:szCs w:val="24"/>
        </w:rPr>
        <w:t>all of these high performing economies that eventually crossed the high-income threshold acquired the following characteristics: macroeconomic stability, high shares of trade in GDP, heavy investment in people (skills development), and strong competition among firms. Bangladesh already has some of these characteristics, and will have to focus on acquiring the rest, especially on investment in people and skill development. A</w:t>
      </w:r>
      <w:r w:rsidRPr="004C4677">
        <w:rPr>
          <w:rFonts w:ascii="Times New Roman" w:eastAsia="Times New Roman" w:hAnsi="Times New Roman" w:cs="Times New Roman"/>
          <w:bCs/>
          <w:sz w:val="24"/>
          <w:szCs w:val="24"/>
        </w:rPr>
        <w:t>ll these countries sought to exploit the international market and adopted export-push strategies by the 1980s, or earlier, with active promotion of manufactured exports. This proved to be the most successful combination of fundamentals and policy interventions and hold the most promise for other developing economies. Two strategic policy prescriptions for Bangladesh that emerge from their experience of dynamic export-oriented growth may be divided into fundamentals, or selective interventions. Fundamentals are macroeconomic stability, high investments in human capital, stable and secure financial systems, limited price distortions, and open to foreign technology. Selective interventions include mild financial repression (keeping interest rates low but positive), directed credit, selective industrial promotion, and trade policies that push non-traditional exports.</w:t>
      </w:r>
    </w:p>
    <w:p w14:paraId="35158F66" w14:textId="77777777" w:rsidR="004C4677" w:rsidRPr="004C4677" w:rsidRDefault="004C4677" w:rsidP="004C4677">
      <w:pPr>
        <w:spacing w:after="200" w:line="276" w:lineRule="auto"/>
        <w:jc w:val="both"/>
        <w:rPr>
          <w:rFonts w:ascii="Times New Roman" w:eastAsia="Times New Roman" w:hAnsi="Times New Roman" w:cs="Times New Roman"/>
          <w:bCs/>
          <w:sz w:val="24"/>
          <w:szCs w:val="24"/>
        </w:rPr>
      </w:pPr>
      <w:r w:rsidRPr="004C4677">
        <w:rPr>
          <w:rFonts w:ascii="Times New Roman" w:eastAsia="Times New Roman" w:hAnsi="Times New Roman" w:cs="Times New Roman"/>
          <w:b/>
          <w:bCs/>
          <w:sz w:val="24"/>
          <w:szCs w:val="24"/>
        </w:rPr>
        <w:lastRenderedPageBreak/>
        <w:t xml:space="preserve">Trade openness and Export Competitiveness. </w:t>
      </w:r>
      <w:r w:rsidRPr="004C4677">
        <w:rPr>
          <w:rFonts w:ascii="Times New Roman" w:eastAsia="Times New Roman" w:hAnsi="Times New Roman" w:cs="Times New Roman"/>
          <w:bCs/>
          <w:sz w:val="24"/>
          <w:szCs w:val="24"/>
        </w:rPr>
        <w:t xml:space="preserve">There is strong international evidence that export performance, and its offshoot, progress in export diversification, is in large part the outcome of the trade policy regime governing export production and trade. Though there was wide variation in the extent of incentives, most of the high performing East Asian countries engaged in some form of selective promotion subsidies, preferential financing, tax incentives, subsidized infrastructure, and foreign investment incentives. Because all of them, at some point or the other, had on-going import-substituting policies to support domestic industrialization, export incentives were necessary to effectively offset the anti-export bias of effective protection provided to import-substituting industries. Evidence from Bangladesh over the past two decades provides confirmation to the proposition that trade openness has had a positive impact on export performance. But there is still some way to go as Bangladesh’s export basket is not very diversified. One of the features of a competitive dynamic economy is to ensure that domestic prices of tradable are close to international prices which would require protection levels to be modest. Bangladesh has high levels of effective protection to import substitutes which keep domestic prices significantly above international prices with considerably higher profitability of domestic sales compared to exports. A swift rationalization of the protection structure has become an imperative for export diversification. </w:t>
      </w:r>
    </w:p>
    <w:p w14:paraId="172B0197" w14:textId="77777777" w:rsidR="004C4677" w:rsidRPr="004C4677" w:rsidRDefault="004C4677" w:rsidP="004C4677">
      <w:pPr>
        <w:spacing w:after="200" w:line="276" w:lineRule="auto"/>
        <w:jc w:val="both"/>
        <w:rPr>
          <w:rFonts w:ascii="Times New Roman" w:eastAsia="Calibri" w:hAnsi="Times New Roman" w:cs="Times New Roman"/>
          <w:sz w:val="24"/>
          <w:szCs w:val="24"/>
        </w:rPr>
      </w:pPr>
      <w:r w:rsidRPr="004C4677">
        <w:rPr>
          <w:rFonts w:ascii="Times New Roman" w:eastAsia="Calibri" w:hAnsi="Times New Roman" w:cs="Times New Roman"/>
          <w:b/>
          <w:sz w:val="24"/>
          <w:szCs w:val="24"/>
        </w:rPr>
        <w:t xml:space="preserve">Exploiting Global Value Chains. </w:t>
      </w:r>
      <w:r w:rsidRPr="004C4677">
        <w:rPr>
          <w:rFonts w:ascii="Times New Roman" w:eastAsia="Calibri" w:hAnsi="Times New Roman" w:cs="Times New Roman"/>
          <w:sz w:val="24"/>
          <w:szCs w:val="24"/>
        </w:rPr>
        <w:t>The fragmentation of production processes across different countries has given rise to global value chains (GVCs) creating opportunities for intra-industry trade globally, especially giving a boost to trade in intermediate goods. But the technical ‘know-how’ needed for the production of an intermediate good in the GVC must be obtained since Bangladeshi entrepreneurs are not exposed to such expertise. That justifies the critical need for foreign direct investment, and policy makers must mitigate any constraints that undermine the prospects of FDI. Not only in the production of intermediate goods, courting FDI will be essential for future technology leapfrogging to capture production and market access in manufacturing products of the coming decades. A clear strategy will have to be laid out for mobilizing foreign direct investment (FDI) through private investments and public–private partnerships. Drawing lessons from the FDI experience of comparators will be critical for this approach as Bangladesh is significantly lagging behind at present.</w:t>
      </w:r>
    </w:p>
    <w:p w14:paraId="67E8C6E9" w14:textId="77777777" w:rsidR="004C4677" w:rsidRPr="004C4677" w:rsidRDefault="004C4677" w:rsidP="004C4677">
      <w:pPr>
        <w:spacing w:after="200" w:line="276" w:lineRule="auto"/>
        <w:jc w:val="both"/>
        <w:rPr>
          <w:rFonts w:ascii="Times New Roman" w:eastAsia="Calibri" w:hAnsi="Times New Roman" w:cs="Times New Roman"/>
          <w:sz w:val="24"/>
          <w:szCs w:val="24"/>
        </w:rPr>
      </w:pPr>
      <w:r w:rsidRPr="004C4677">
        <w:rPr>
          <w:rFonts w:ascii="Times New Roman" w:eastAsia="Calibri" w:hAnsi="Times New Roman" w:cs="Times New Roman"/>
          <w:b/>
          <w:sz w:val="24"/>
          <w:szCs w:val="24"/>
        </w:rPr>
        <w:t xml:space="preserve">Strengthening institutions. </w:t>
      </w:r>
      <w:r w:rsidRPr="004C4677">
        <w:rPr>
          <w:rFonts w:ascii="Times New Roman" w:eastAsia="Calibri" w:hAnsi="Times New Roman" w:cs="Times New Roman"/>
          <w:sz w:val="24"/>
          <w:szCs w:val="24"/>
        </w:rPr>
        <w:t xml:space="preserve">Historical research finds conclusive evidence that inclusiveness of political and economic institutions is critical for sustained prosperity. Bangladesh is on way to building the kind of institutions that yield prosperity for the long-term. The next decade will be crucial for strengthening economic institutions that will help entrepreneurs seize market opportunities emerging in a fast-changing global economy driven by innovation and Schumpeterian forces of creative destruction in the global marketplace. </w:t>
      </w:r>
    </w:p>
    <w:p w14:paraId="0F3CB909" w14:textId="77777777" w:rsidR="007B7988" w:rsidRDefault="007B7988" w:rsidP="00970527"/>
    <w:p w14:paraId="6C919F6D" w14:textId="77777777" w:rsidR="00AA5AF5" w:rsidRDefault="00AA5AF5" w:rsidP="00970527"/>
    <w:p w14:paraId="4FF8ECCC" w14:textId="77777777" w:rsidR="00AA5AF5" w:rsidRPr="00970527" w:rsidRDefault="00AA5AF5" w:rsidP="00970527">
      <w:pPr>
        <w:sectPr w:rsidR="00AA5AF5" w:rsidRPr="00970527" w:rsidSect="00AB43A0">
          <w:type w:val="continuous"/>
          <w:pgSz w:w="12240" w:h="15840"/>
          <w:pgMar w:top="1440" w:right="1440" w:bottom="1440" w:left="1440" w:header="720" w:footer="720" w:gutter="0"/>
          <w:pgNumType w:fmt="lowerRoman"/>
          <w:cols w:space="720"/>
          <w:titlePg/>
          <w:docGrid w:linePitch="360"/>
        </w:sectPr>
      </w:pPr>
    </w:p>
    <w:p w14:paraId="0E489A4D" w14:textId="5A93317E" w:rsidR="00233385" w:rsidRPr="00A81958" w:rsidRDefault="00233385" w:rsidP="00A81958">
      <w:pPr>
        <w:pStyle w:val="Title"/>
        <w:spacing w:after="600"/>
        <w:jc w:val="center"/>
        <w:rPr>
          <w:b/>
          <w:sz w:val="52"/>
        </w:rPr>
      </w:pPr>
      <w:bookmarkStart w:id="5" w:name="_Toc496536512"/>
      <w:r w:rsidRPr="00A81958">
        <w:rPr>
          <w:b/>
          <w:sz w:val="52"/>
        </w:rPr>
        <w:lastRenderedPageBreak/>
        <w:t>Trade and Industry strategy in the 21</w:t>
      </w:r>
      <w:r w:rsidRPr="00A81958">
        <w:rPr>
          <w:b/>
          <w:sz w:val="52"/>
          <w:vertAlign w:val="superscript"/>
        </w:rPr>
        <w:t>st</w:t>
      </w:r>
      <w:r w:rsidRPr="00A81958">
        <w:rPr>
          <w:b/>
          <w:sz w:val="52"/>
        </w:rPr>
        <w:t xml:space="preserve"> Century for sustained rapid growth and job creation</w:t>
      </w:r>
      <w:bookmarkEnd w:id="5"/>
    </w:p>
    <w:p w14:paraId="004155BF" w14:textId="77777777" w:rsidR="00F62D3F" w:rsidRPr="00B54A48" w:rsidRDefault="00F62D3F" w:rsidP="00B54A48">
      <w:pPr>
        <w:pStyle w:val="Heading1"/>
      </w:pPr>
      <w:bookmarkStart w:id="6" w:name="_Toc496536513"/>
      <w:r w:rsidRPr="00B54A48">
        <w:t xml:space="preserve">INDUSTRY </w:t>
      </w:r>
      <w:r w:rsidR="00315E06" w:rsidRPr="00B54A48">
        <w:t xml:space="preserve">AND TRADE </w:t>
      </w:r>
      <w:r w:rsidRPr="00B54A48">
        <w:t>IN THE 21ST CENTURY</w:t>
      </w:r>
      <w:bookmarkEnd w:id="6"/>
    </w:p>
    <w:p w14:paraId="65833BBA" w14:textId="3254FD2B" w:rsidR="006C7D9D" w:rsidRPr="00BF439C" w:rsidRDefault="00216A40" w:rsidP="00B54A48">
      <w:pPr>
        <w:spacing w:after="240" w:line="276" w:lineRule="auto"/>
        <w:jc w:val="both"/>
        <w:rPr>
          <w:rFonts w:ascii="Times New Roman" w:eastAsia="Times New Roman" w:hAnsi="Times New Roman" w:cs="Times New Roman"/>
          <w:spacing w:val="-5"/>
          <w:sz w:val="24"/>
          <w:szCs w:val="24"/>
        </w:rPr>
      </w:pPr>
      <w:r w:rsidRPr="00BF439C">
        <w:rPr>
          <w:rFonts w:ascii="Times New Roman" w:hAnsi="Times New Roman" w:cs="Times New Roman"/>
          <w:sz w:val="24"/>
          <w:szCs w:val="24"/>
        </w:rPr>
        <w:t>We are</w:t>
      </w:r>
      <w:r w:rsidR="008017A7" w:rsidRPr="00BF439C">
        <w:rPr>
          <w:rFonts w:ascii="Times New Roman" w:hAnsi="Times New Roman" w:cs="Times New Roman"/>
          <w:sz w:val="24"/>
          <w:szCs w:val="24"/>
        </w:rPr>
        <w:t xml:space="preserve"> living in</w:t>
      </w:r>
      <w:r w:rsidR="008017A7" w:rsidRPr="00BF439C">
        <w:rPr>
          <w:rFonts w:ascii="Times New Roman" w:hAnsi="Times New Roman" w:cs="Times New Roman"/>
          <w:b/>
          <w:sz w:val="24"/>
          <w:szCs w:val="24"/>
        </w:rPr>
        <w:t xml:space="preserve"> </w:t>
      </w:r>
      <w:r w:rsidR="008017A7" w:rsidRPr="00BF439C">
        <w:rPr>
          <w:rFonts w:ascii="Times New Roman" w:hAnsi="Times New Roman" w:cs="Times New Roman"/>
          <w:sz w:val="24"/>
          <w:szCs w:val="24"/>
        </w:rPr>
        <w:t xml:space="preserve">a world that is transforming at speeds almost incomprehensible to the average mind. </w:t>
      </w:r>
      <w:r w:rsidR="006C7D9D" w:rsidRPr="00BF439C">
        <w:rPr>
          <w:rFonts w:ascii="Times New Roman" w:hAnsi="Times New Roman" w:cs="Times New Roman"/>
          <w:sz w:val="24"/>
          <w:szCs w:val="24"/>
        </w:rPr>
        <w:t xml:space="preserve">Unlike historical growth rates experienced in the past centuries, </w:t>
      </w:r>
      <w:r w:rsidR="00BF439C" w:rsidRPr="00BF439C">
        <w:rPr>
          <w:rFonts w:ascii="Times New Roman" w:hAnsi="Times New Roman" w:cs="Times New Roman"/>
          <w:sz w:val="24"/>
          <w:szCs w:val="24"/>
        </w:rPr>
        <w:t xml:space="preserve">it is now possible for </w:t>
      </w:r>
      <w:r w:rsidR="006C7D9D" w:rsidRPr="00BF439C">
        <w:rPr>
          <w:rFonts w:ascii="Times New Roman" w:hAnsi="Times New Roman" w:cs="Times New Roman"/>
          <w:sz w:val="24"/>
          <w:szCs w:val="24"/>
        </w:rPr>
        <w:t xml:space="preserve">developing economies </w:t>
      </w:r>
      <w:r w:rsidR="005D7115" w:rsidRPr="00BF439C">
        <w:rPr>
          <w:rFonts w:ascii="Times New Roman" w:hAnsi="Times New Roman" w:cs="Times New Roman"/>
          <w:sz w:val="24"/>
          <w:szCs w:val="24"/>
        </w:rPr>
        <w:t xml:space="preserve">like Bangladesh </w:t>
      </w:r>
      <w:r w:rsidR="00BF439C" w:rsidRPr="00BF439C">
        <w:rPr>
          <w:rFonts w:ascii="Times New Roman" w:hAnsi="Times New Roman" w:cs="Times New Roman"/>
          <w:sz w:val="24"/>
          <w:szCs w:val="24"/>
        </w:rPr>
        <w:t xml:space="preserve">to </w:t>
      </w:r>
      <w:r w:rsidR="006C7D9D" w:rsidRPr="00BF439C">
        <w:rPr>
          <w:rFonts w:ascii="Times New Roman" w:hAnsi="Times New Roman" w:cs="Times New Roman"/>
          <w:sz w:val="24"/>
          <w:szCs w:val="24"/>
        </w:rPr>
        <w:t>grow at 7</w:t>
      </w:r>
      <w:r w:rsidR="009F34AB" w:rsidRPr="00BF439C">
        <w:rPr>
          <w:rFonts w:ascii="Times New Roman" w:hAnsi="Times New Roman" w:cs="Times New Roman"/>
          <w:sz w:val="24"/>
          <w:szCs w:val="24"/>
        </w:rPr>
        <w:t>, 8, 9</w:t>
      </w:r>
      <w:r w:rsidR="006C7D9D" w:rsidRPr="00BF439C">
        <w:rPr>
          <w:rFonts w:ascii="Times New Roman" w:hAnsi="Times New Roman" w:cs="Times New Roman"/>
          <w:sz w:val="24"/>
          <w:szCs w:val="24"/>
        </w:rPr>
        <w:t xml:space="preserve">, or 10 percent annually. </w:t>
      </w:r>
      <w:r w:rsidR="006C7D9D" w:rsidRPr="00BF439C">
        <w:rPr>
          <w:rFonts w:ascii="Times New Roman" w:eastAsia="Times New Roman" w:hAnsi="Times New Roman" w:cs="Times New Roman"/>
          <w:spacing w:val="-5"/>
          <w:sz w:val="24"/>
          <w:szCs w:val="24"/>
        </w:rPr>
        <w:t xml:space="preserve"> This is becau</w:t>
      </w:r>
      <w:r w:rsidR="00B0792E">
        <w:rPr>
          <w:rFonts w:ascii="Times New Roman" w:eastAsia="Times New Roman" w:hAnsi="Times New Roman" w:cs="Times New Roman"/>
          <w:spacing w:val="-5"/>
          <w:sz w:val="24"/>
          <w:szCs w:val="24"/>
        </w:rPr>
        <w:t xml:space="preserve">se of the enabling effect of a rapidly integrating </w:t>
      </w:r>
      <w:r w:rsidR="006C7D9D" w:rsidRPr="00BF439C">
        <w:rPr>
          <w:rFonts w:ascii="Times New Roman" w:eastAsia="Times New Roman" w:hAnsi="Times New Roman" w:cs="Times New Roman"/>
          <w:spacing w:val="-5"/>
          <w:sz w:val="24"/>
          <w:szCs w:val="24"/>
        </w:rPr>
        <w:t>global economy. The global economy provides two things. One is a huge market</w:t>
      </w:r>
      <w:r w:rsidR="00BF439C" w:rsidRPr="00BF439C">
        <w:rPr>
          <w:rFonts w:ascii="Times New Roman" w:eastAsia="Times New Roman" w:hAnsi="Times New Roman" w:cs="Times New Roman"/>
          <w:spacing w:val="-5"/>
          <w:sz w:val="24"/>
          <w:szCs w:val="24"/>
        </w:rPr>
        <w:t xml:space="preserve"> which is getting more integrated over time</w:t>
      </w:r>
      <w:r w:rsidR="006C7D9D" w:rsidRPr="00BF439C">
        <w:rPr>
          <w:rFonts w:ascii="Times New Roman" w:eastAsia="Times New Roman" w:hAnsi="Times New Roman" w:cs="Times New Roman"/>
          <w:spacing w:val="-5"/>
          <w:sz w:val="24"/>
          <w:szCs w:val="24"/>
        </w:rPr>
        <w:t xml:space="preserve">. Provided an economy has some competitive edge </w:t>
      </w:r>
      <w:r w:rsidR="00BF439C">
        <w:rPr>
          <w:rFonts w:ascii="Times New Roman" w:eastAsia="Times New Roman" w:hAnsi="Times New Roman" w:cs="Times New Roman"/>
          <w:spacing w:val="-5"/>
          <w:sz w:val="24"/>
          <w:szCs w:val="24"/>
        </w:rPr>
        <w:t xml:space="preserve">– and Bangladesh does -- </w:t>
      </w:r>
      <w:r w:rsidR="006C7D9D" w:rsidRPr="00BF439C">
        <w:rPr>
          <w:rFonts w:ascii="Times New Roman" w:eastAsia="Times New Roman" w:hAnsi="Times New Roman" w:cs="Times New Roman"/>
          <w:spacing w:val="-5"/>
          <w:sz w:val="24"/>
          <w:szCs w:val="24"/>
        </w:rPr>
        <w:t>it can basically grow as fast as it can invest</w:t>
      </w:r>
      <w:r w:rsidR="00B0792E">
        <w:rPr>
          <w:rFonts w:ascii="Times New Roman" w:eastAsia="Times New Roman" w:hAnsi="Times New Roman" w:cs="Times New Roman"/>
          <w:spacing w:val="-5"/>
          <w:sz w:val="24"/>
          <w:szCs w:val="24"/>
        </w:rPr>
        <w:t xml:space="preserve"> and build productive capacity</w:t>
      </w:r>
      <w:r w:rsidR="006C7D9D" w:rsidRPr="00BF439C">
        <w:rPr>
          <w:rFonts w:ascii="Times New Roman" w:eastAsia="Times New Roman" w:hAnsi="Times New Roman" w:cs="Times New Roman"/>
          <w:spacing w:val="-5"/>
          <w:sz w:val="24"/>
          <w:szCs w:val="24"/>
        </w:rPr>
        <w:t>. The second thing—</w:t>
      </w:r>
      <w:r w:rsidR="00B0792E">
        <w:rPr>
          <w:rFonts w:ascii="Times New Roman" w:eastAsia="Times New Roman" w:hAnsi="Times New Roman" w:cs="Times New Roman"/>
          <w:spacing w:val="-5"/>
          <w:sz w:val="24"/>
          <w:szCs w:val="24"/>
        </w:rPr>
        <w:t xml:space="preserve"> even </w:t>
      </w:r>
      <w:r w:rsidR="006C7D9D" w:rsidRPr="00BF439C">
        <w:rPr>
          <w:rFonts w:ascii="Times New Roman" w:eastAsia="Times New Roman" w:hAnsi="Times New Roman" w:cs="Times New Roman"/>
          <w:spacing w:val="-5"/>
          <w:sz w:val="24"/>
          <w:szCs w:val="24"/>
        </w:rPr>
        <w:t xml:space="preserve">more important—is that the global economy provides knowledge, technology, know-how. </w:t>
      </w:r>
      <w:r w:rsidR="00BF439C" w:rsidRPr="00BF439C">
        <w:rPr>
          <w:rFonts w:ascii="Times New Roman" w:eastAsia="Times New Roman" w:hAnsi="Times New Roman" w:cs="Times New Roman"/>
          <w:spacing w:val="-5"/>
          <w:sz w:val="24"/>
          <w:szCs w:val="24"/>
        </w:rPr>
        <w:t xml:space="preserve">Globalization coupled with instantaneous transmission of digitized information results in acceleration and augmentation of </w:t>
      </w:r>
      <w:r w:rsidR="00BF439C">
        <w:rPr>
          <w:rFonts w:ascii="Times New Roman" w:eastAsia="Times New Roman" w:hAnsi="Times New Roman" w:cs="Times New Roman"/>
          <w:spacing w:val="-5"/>
          <w:sz w:val="24"/>
          <w:szCs w:val="24"/>
        </w:rPr>
        <w:t xml:space="preserve">the flow of </w:t>
      </w:r>
      <w:r w:rsidR="00BF439C" w:rsidRPr="00BF439C">
        <w:rPr>
          <w:rFonts w:ascii="Times New Roman" w:eastAsia="Times New Roman" w:hAnsi="Times New Roman" w:cs="Times New Roman"/>
          <w:spacing w:val="-5"/>
          <w:sz w:val="24"/>
          <w:szCs w:val="24"/>
        </w:rPr>
        <w:t xml:space="preserve">knowledge, technology, and learning. </w:t>
      </w:r>
      <w:r w:rsidR="00FC432E">
        <w:rPr>
          <w:rFonts w:ascii="Times New Roman" w:eastAsia="Times New Roman" w:hAnsi="Times New Roman" w:cs="Times New Roman"/>
          <w:bCs/>
          <w:sz w:val="24"/>
          <w:szCs w:val="24"/>
        </w:rPr>
        <w:t xml:space="preserve">According to Karl Schwab, the founder and head of World Economic Forum, the digital age will bring change “unlike anything humankind has experienced before.” </w:t>
      </w:r>
      <w:r w:rsidR="00BF439C">
        <w:rPr>
          <w:rFonts w:ascii="Times New Roman" w:eastAsia="Times New Roman" w:hAnsi="Times New Roman" w:cs="Times New Roman"/>
          <w:spacing w:val="-5"/>
          <w:sz w:val="24"/>
          <w:szCs w:val="24"/>
        </w:rPr>
        <w:t xml:space="preserve">Properly harnessing these global forces will enable Bangladesh </w:t>
      </w:r>
      <w:r w:rsidR="00BF439C" w:rsidRPr="00BF439C">
        <w:rPr>
          <w:rFonts w:ascii="Times New Roman" w:eastAsia="Times New Roman" w:hAnsi="Times New Roman" w:cs="Times New Roman"/>
          <w:spacing w:val="-5"/>
          <w:sz w:val="24"/>
          <w:szCs w:val="24"/>
        </w:rPr>
        <w:t xml:space="preserve">to grow at </w:t>
      </w:r>
      <w:r w:rsidR="00C632AC">
        <w:rPr>
          <w:rFonts w:ascii="Times New Roman" w:eastAsia="Times New Roman" w:hAnsi="Times New Roman" w:cs="Times New Roman"/>
          <w:spacing w:val="-5"/>
          <w:sz w:val="24"/>
          <w:szCs w:val="24"/>
        </w:rPr>
        <w:t xml:space="preserve">higher </w:t>
      </w:r>
      <w:r w:rsidR="00BF439C" w:rsidRPr="00BF439C">
        <w:rPr>
          <w:rFonts w:ascii="Times New Roman" w:eastAsia="Times New Roman" w:hAnsi="Times New Roman" w:cs="Times New Roman"/>
          <w:spacing w:val="-5"/>
          <w:sz w:val="24"/>
          <w:szCs w:val="24"/>
        </w:rPr>
        <w:t xml:space="preserve">rates </w:t>
      </w:r>
      <w:r w:rsidR="00BF439C">
        <w:rPr>
          <w:rFonts w:ascii="Times New Roman" w:eastAsia="Times New Roman" w:hAnsi="Times New Roman" w:cs="Times New Roman"/>
          <w:spacing w:val="-5"/>
          <w:sz w:val="24"/>
          <w:szCs w:val="24"/>
        </w:rPr>
        <w:t xml:space="preserve">in future </w:t>
      </w:r>
      <w:r w:rsidR="00BF439C" w:rsidRPr="00BF439C">
        <w:rPr>
          <w:rFonts w:ascii="Times New Roman" w:eastAsia="Times New Roman" w:hAnsi="Times New Roman" w:cs="Times New Roman"/>
          <w:spacing w:val="-5"/>
          <w:sz w:val="24"/>
          <w:szCs w:val="24"/>
        </w:rPr>
        <w:t xml:space="preserve">that were simply not possible before. </w:t>
      </w:r>
    </w:p>
    <w:p w14:paraId="76974960" w14:textId="00A56645" w:rsidR="000710F0" w:rsidRDefault="00463B4C" w:rsidP="00B54A48">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The transition from agriculture to manufacturing is still the path to higher productivity and rising living standards for Bangladesh – a structural transformation that is bound to continue and intensify over the next decades</w:t>
      </w:r>
      <w:r w:rsidR="009805AD">
        <w:rPr>
          <w:rFonts w:ascii="Times New Roman" w:hAnsi="Times New Roman" w:cs="Times New Roman"/>
          <w:sz w:val="24"/>
          <w:szCs w:val="24"/>
        </w:rPr>
        <w:t>.</w:t>
      </w:r>
      <w:r>
        <w:rPr>
          <w:rFonts w:ascii="Times New Roman" w:hAnsi="Times New Roman" w:cs="Times New Roman"/>
          <w:sz w:val="24"/>
          <w:szCs w:val="24"/>
        </w:rPr>
        <w:t xml:space="preserve"> </w:t>
      </w:r>
      <w:r w:rsidR="009805AD">
        <w:rPr>
          <w:rFonts w:ascii="Times New Roman" w:hAnsi="Times New Roman" w:cs="Times New Roman"/>
          <w:sz w:val="24"/>
          <w:szCs w:val="24"/>
        </w:rPr>
        <w:t>In the future</w:t>
      </w:r>
      <w:r w:rsidR="000B7D16">
        <w:rPr>
          <w:rFonts w:ascii="Times New Roman" w:hAnsi="Times New Roman" w:cs="Times New Roman"/>
          <w:sz w:val="24"/>
          <w:szCs w:val="24"/>
        </w:rPr>
        <w:t>,</w:t>
      </w:r>
      <w:r w:rsidR="009805AD">
        <w:rPr>
          <w:rFonts w:ascii="Times New Roman" w:hAnsi="Times New Roman" w:cs="Times New Roman"/>
          <w:sz w:val="24"/>
          <w:szCs w:val="24"/>
        </w:rPr>
        <w:t xml:space="preserve"> this transition will come with </w:t>
      </w:r>
      <w:r w:rsidR="000B7D16">
        <w:rPr>
          <w:rFonts w:ascii="Times New Roman" w:hAnsi="Times New Roman" w:cs="Times New Roman"/>
          <w:sz w:val="24"/>
          <w:szCs w:val="24"/>
        </w:rPr>
        <w:t xml:space="preserve">intense </w:t>
      </w:r>
      <w:r w:rsidR="009805AD">
        <w:rPr>
          <w:rFonts w:ascii="Times New Roman" w:hAnsi="Times New Roman" w:cs="Times New Roman"/>
          <w:sz w:val="24"/>
          <w:szCs w:val="24"/>
        </w:rPr>
        <w:t>pressures</w:t>
      </w:r>
      <w:r>
        <w:rPr>
          <w:rFonts w:ascii="Times New Roman" w:hAnsi="Times New Roman" w:cs="Times New Roman"/>
          <w:sz w:val="24"/>
          <w:szCs w:val="24"/>
        </w:rPr>
        <w:t xml:space="preserve"> for innovation and securing </w:t>
      </w:r>
      <w:r w:rsidR="00AF12FF">
        <w:rPr>
          <w:rFonts w:ascii="Times New Roman" w:hAnsi="Times New Roman" w:cs="Times New Roman"/>
          <w:sz w:val="24"/>
          <w:szCs w:val="24"/>
        </w:rPr>
        <w:t xml:space="preserve">industrial </w:t>
      </w:r>
      <w:r>
        <w:rPr>
          <w:rFonts w:ascii="Times New Roman" w:hAnsi="Times New Roman" w:cs="Times New Roman"/>
          <w:sz w:val="24"/>
          <w:szCs w:val="24"/>
        </w:rPr>
        <w:t>competitiveness</w:t>
      </w:r>
      <w:r w:rsidR="009805AD">
        <w:rPr>
          <w:rFonts w:ascii="Times New Roman" w:hAnsi="Times New Roman" w:cs="Times New Roman"/>
          <w:sz w:val="24"/>
          <w:szCs w:val="24"/>
        </w:rPr>
        <w:t>,</w:t>
      </w:r>
      <w:r w:rsidR="00DA5031">
        <w:rPr>
          <w:rFonts w:ascii="Times New Roman" w:hAnsi="Times New Roman" w:cs="Times New Roman"/>
          <w:sz w:val="24"/>
          <w:szCs w:val="24"/>
        </w:rPr>
        <w:t xml:space="preserve"> as manufacturing goods make up 70% of global trade</w:t>
      </w:r>
      <w:r>
        <w:rPr>
          <w:rFonts w:ascii="Times New Roman" w:hAnsi="Times New Roman" w:cs="Times New Roman"/>
          <w:sz w:val="24"/>
          <w:szCs w:val="24"/>
        </w:rPr>
        <w:t xml:space="preserve">. </w:t>
      </w:r>
      <w:r w:rsidR="000710F0">
        <w:rPr>
          <w:rFonts w:ascii="Times New Roman" w:hAnsi="Times New Roman" w:cs="Times New Roman"/>
          <w:sz w:val="24"/>
          <w:szCs w:val="24"/>
        </w:rPr>
        <w:t xml:space="preserve">There is clear consensus that Bangladesh’s future growth and prosperity lies in outward-looking industrialization to create good jobs and income by exploiting our competitive advantage. That will require Bangladesh industrial and trade policies to evolve in tandem with global trends, and developments in industry and trade of the future. </w:t>
      </w:r>
      <w:r w:rsidR="00BC31FF">
        <w:rPr>
          <w:rFonts w:ascii="Times New Roman" w:hAnsi="Times New Roman" w:cs="Times New Roman"/>
          <w:sz w:val="24"/>
          <w:szCs w:val="24"/>
        </w:rPr>
        <w:t>In particular, our policymakers will have to recognize that our competitive advantage today based on low-skilled and low cost labor could be threatened by evolving technology and innovation in the 21</w:t>
      </w:r>
      <w:r w:rsidR="00BC31FF" w:rsidRPr="00BC31FF">
        <w:rPr>
          <w:rFonts w:ascii="Times New Roman" w:hAnsi="Times New Roman" w:cs="Times New Roman"/>
          <w:sz w:val="24"/>
          <w:szCs w:val="24"/>
          <w:vertAlign w:val="superscript"/>
        </w:rPr>
        <w:t>st</w:t>
      </w:r>
      <w:r w:rsidR="00BC31FF">
        <w:rPr>
          <w:rFonts w:ascii="Times New Roman" w:hAnsi="Times New Roman" w:cs="Times New Roman"/>
          <w:sz w:val="24"/>
          <w:szCs w:val="24"/>
        </w:rPr>
        <w:t xml:space="preserve"> century. </w:t>
      </w:r>
    </w:p>
    <w:p w14:paraId="49DDB387" w14:textId="77777777" w:rsidR="008017A7" w:rsidRDefault="008017A7" w:rsidP="00B54A48">
      <w:pPr>
        <w:spacing w:after="240" w:line="276" w:lineRule="auto"/>
        <w:jc w:val="both"/>
        <w:rPr>
          <w:rFonts w:ascii="Times New Roman" w:hAnsi="Times New Roman" w:cs="Times New Roman"/>
          <w:sz w:val="24"/>
          <w:szCs w:val="24"/>
        </w:rPr>
      </w:pPr>
      <w:r w:rsidRPr="00C632AC">
        <w:rPr>
          <w:rFonts w:ascii="Times New Roman" w:hAnsi="Times New Roman" w:cs="Times New Roman"/>
          <w:sz w:val="24"/>
          <w:szCs w:val="24"/>
        </w:rPr>
        <w:t>Seizing on this global trend and b</w:t>
      </w:r>
      <w:r w:rsidR="00C93E1F" w:rsidRPr="00C632AC">
        <w:rPr>
          <w:rFonts w:ascii="Times New Roman" w:hAnsi="Times New Roman" w:cs="Times New Roman"/>
          <w:sz w:val="24"/>
          <w:szCs w:val="24"/>
        </w:rPr>
        <w:t>anking on the current state of Bangladesh’s developm</w:t>
      </w:r>
      <w:r w:rsidR="009414D3" w:rsidRPr="00C632AC">
        <w:rPr>
          <w:rFonts w:ascii="Times New Roman" w:hAnsi="Times New Roman" w:cs="Times New Roman"/>
          <w:sz w:val="24"/>
          <w:szCs w:val="24"/>
        </w:rPr>
        <w:t>ent</w:t>
      </w:r>
      <w:r>
        <w:rPr>
          <w:rFonts w:ascii="Times New Roman" w:hAnsi="Times New Roman" w:cs="Times New Roman"/>
          <w:sz w:val="24"/>
          <w:szCs w:val="24"/>
        </w:rPr>
        <w:t>,</w:t>
      </w:r>
      <w:r w:rsidR="009414D3">
        <w:rPr>
          <w:rFonts w:ascii="Times New Roman" w:hAnsi="Times New Roman" w:cs="Times New Roman"/>
          <w:sz w:val="24"/>
          <w:szCs w:val="24"/>
        </w:rPr>
        <w:t xml:space="preserve"> the Perspective Plan 2021-41</w:t>
      </w:r>
      <w:r w:rsidR="00C93E1F">
        <w:rPr>
          <w:rFonts w:ascii="Times New Roman" w:hAnsi="Times New Roman" w:cs="Times New Roman"/>
          <w:sz w:val="24"/>
          <w:szCs w:val="24"/>
        </w:rPr>
        <w:t xml:space="preserve"> </w:t>
      </w:r>
      <w:r w:rsidR="00E15342">
        <w:rPr>
          <w:rFonts w:ascii="Times New Roman" w:hAnsi="Times New Roman" w:cs="Times New Roman"/>
          <w:sz w:val="24"/>
          <w:szCs w:val="24"/>
        </w:rPr>
        <w:t>provide</w:t>
      </w:r>
      <w:r w:rsidR="00E13863">
        <w:rPr>
          <w:rFonts w:ascii="Times New Roman" w:hAnsi="Times New Roman" w:cs="Times New Roman"/>
          <w:sz w:val="24"/>
          <w:szCs w:val="24"/>
        </w:rPr>
        <w:t>s</w:t>
      </w:r>
      <w:r w:rsidR="00E15342">
        <w:rPr>
          <w:rFonts w:ascii="Times New Roman" w:hAnsi="Times New Roman" w:cs="Times New Roman"/>
          <w:sz w:val="24"/>
          <w:szCs w:val="24"/>
        </w:rPr>
        <w:t xml:space="preserve"> a road map for transforming Bangladesh from a Lower </w:t>
      </w:r>
      <w:r w:rsidR="006062C6">
        <w:rPr>
          <w:rFonts w:ascii="Times New Roman" w:hAnsi="Times New Roman" w:cs="Times New Roman"/>
          <w:sz w:val="24"/>
          <w:szCs w:val="24"/>
        </w:rPr>
        <w:t>Middle-Income</w:t>
      </w:r>
      <w:r w:rsidR="00E15342">
        <w:rPr>
          <w:rFonts w:ascii="Times New Roman" w:hAnsi="Times New Roman" w:cs="Times New Roman"/>
          <w:sz w:val="24"/>
          <w:szCs w:val="24"/>
        </w:rPr>
        <w:t xml:space="preserve"> Country (LMIC) to Upper </w:t>
      </w:r>
      <w:r w:rsidR="006062C6">
        <w:rPr>
          <w:rFonts w:ascii="Times New Roman" w:hAnsi="Times New Roman" w:cs="Times New Roman"/>
          <w:sz w:val="24"/>
          <w:szCs w:val="24"/>
        </w:rPr>
        <w:t>Middle-Income</w:t>
      </w:r>
      <w:r w:rsidR="00E15342">
        <w:rPr>
          <w:rFonts w:ascii="Times New Roman" w:hAnsi="Times New Roman" w:cs="Times New Roman"/>
          <w:sz w:val="24"/>
          <w:szCs w:val="24"/>
        </w:rPr>
        <w:t xml:space="preserve"> Country (UMIC) by 2030 and then becoming a </w:t>
      </w:r>
      <w:r w:rsidR="006062C6">
        <w:rPr>
          <w:rFonts w:ascii="Times New Roman" w:hAnsi="Times New Roman" w:cs="Times New Roman"/>
          <w:sz w:val="24"/>
          <w:szCs w:val="24"/>
        </w:rPr>
        <w:t>High-Income</w:t>
      </w:r>
      <w:r w:rsidR="00E15342">
        <w:rPr>
          <w:rFonts w:ascii="Times New Roman" w:hAnsi="Times New Roman" w:cs="Times New Roman"/>
          <w:sz w:val="24"/>
          <w:szCs w:val="24"/>
        </w:rPr>
        <w:t xml:space="preserve"> Country (HIC) in the 2040s. </w:t>
      </w:r>
      <w:r>
        <w:rPr>
          <w:rFonts w:ascii="Times New Roman" w:hAnsi="Times New Roman" w:cs="Times New Roman"/>
          <w:sz w:val="24"/>
          <w:szCs w:val="24"/>
        </w:rPr>
        <w:t xml:space="preserve">It is a Plan for one of the speediest transformation of a developing economy in history. </w:t>
      </w:r>
      <w:r w:rsidR="00336689">
        <w:rPr>
          <w:rFonts w:ascii="Times New Roman" w:hAnsi="Times New Roman" w:cs="Times New Roman"/>
          <w:sz w:val="24"/>
          <w:szCs w:val="24"/>
        </w:rPr>
        <w:t xml:space="preserve">The challenge is daunting but the potential exists if the nation could embark on a dynamic path of sound political and economic governance for </w:t>
      </w:r>
      <w:r w:rsidR="00261C72">
        <w:rPr>
          <w:rFonts w:ascii="Times New Roman" w:hAnsi="Times New Roman" w:cs="Times New Roman"/>
          <w:sz w:val="24"/>
          <w:szCs w:val="24"/>
        </w:rPr>
        <w:t xml:space="preserve">effectively </w:t>
      </w:r>
      <w:r w:rsidR="00336689">
        <w:rPr>
          <w:rFonts w:ascii="Times New Roman" w:hAnsi="Times New Roman" w:cs="Times New Roman"/>
          <w:sz w:val="24"/>
          <w:szCs w:val="24"/>
        </w:rPr>
        <w:t xml:space="preserve">harnessing its human energies and natural resources. </w:t>
      </w:r>
    </w:p>
    <w:p w14:paraId="16D9B07E" w14:textId="77777777" w:rsidR="00052929" w:rsidRDefault="00F62D3F" w:rsidP="00B54A48">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This </w:t>
      </w:r>
      <w:r w:rsidR="00E13863">
        <w:rPr>
          <w:rFonts w:ascii="Times New Roman" w:hAnsi="Times New Roman" w:cs="Times New Roman"/>
          <w:sz w:val="24"/>
          <w:szCs w:val="24"/>
        </w:rPr>
        <w:t>chapter</w:t>
      </w:r>
      <w:r>
        <w:rPr>
          <w:rFonts w:ascii="Times New Roman" w:hAnsi="Times New Roman" w:cs="Times New Roman"/>
          <w:sz w:val="24"/>
          <w:szCs w:val="24"/>
        </w:rPr>
        <w:t xml:space="preserve"> lay</w:t>
      </w:r>
      <w:r w:rsidR="00E13863">
        <w:rPr>
          <w:rFonts w:ascii="Times New Roman" w:hAnsi="Times New Roman" w:cs="Times New Roman"/>
          <w:sz w:val="24"/>
          <w:szCs w:val="24"/>
        </w:rPr>
        <w:t>s</w:t>
      </w:r>
      <w:r>
        <w:rPr>
          <w:rFonts w:ascii="Times New Roman" w:hAnsi="Times New Roman" w:cs="Times New Roman"/>
          <w:sz w:val="24"/>
          <w:szCs w:val="24"/>
        </w:rPr>
        <w:t xml:space="preserve"> out the vision for the next 25 years of trade and industrial development in Bangladesh in the context of evolution of global trade and industry over the same period. </w:t>
      </w:r>
      <w:r w:rsidR="00C93E1F">
        <w:rPr>
          <w:rFonts w:ascii="Times New Roman" w:hAnsi="Times New Roman" w:cs="Times New Roman"/>
          <w:sz w:val="24"/>
          <w:szCs w:val="24"/>
        </w:rPr>
        <w:t>The fact is that trade and industry across the globe will undergo significant transformation</w:t>
      </w:r>
      <w:r w:rsidR="00D86E0D">
        <w:rPr>
          <w:rFonts w:ascii="Times New Roman" w:hAnsi="Times New Roman" w:cs="Times New Roman"/>
          <w:sz w:val="24"/>
          <w:szCs w:val="24"/>
        </w:rPr>
        <w:t xml:space="preserve"> by the 2040s</w:t>
      </w:r>
      <w:r w:rsidR="00C93E1F">
        <w:rPr>
          <w:rFonts w:ascii="Times New Roman" w:hAnsi="Times New Roman" w:cs="Times New Roman"/>
          <w:sz w:val="24"/>
          <w:szCs w:val="24"/>
        </w:rPr>
        <w:t xml:space="preserve">, some </w:t>
      </w:r>
      <w:r w:rsidR="00E15342">
        <w:rPr>
          <w:rFonts w:ascii="Times New Roman" w:hAnsi="Times New Roman" w:cs="Times New Roman"/>
          <w:sz w:val="24"/>
          <w:szCs w:val="24"/>
        </w:rPr>
        <w:t xml:space="preserve">of </w:t>
      </w:r>
      <w:r w:rsidR="00C93E1F">
        <w:rPr>
          <w:rFonts w:ascii="Times New Roman" w:hAnsi="Times New Roman" w:cs="Times New Roman"/>
          <w:sz w:val="24"/>
          <w:szCs w:val="24"/>
        </w:rPr>
        <w:t xml:space="preserve">which are modestly predictable while others can only be surmised. Drawing from </w:t>
      </w:r>
      <w:r w:rsidR="00315E06">
        <w:rPr>
          <w:rFonts w:ascii="Times New Roman" w:hAnsi="Times New Roman" w:cs="Times New Roman"/>
          <w:sz w:val="24"/>
          <w:szCs w:val="24"/>
        </w:rPr>
        <w:t xml:space="preserve">Bangladesh’s own experience and from </w:t>
      </w:r>
      <w:r w:rsidR="00C93E1F">
        <w:rPr>
          <w:rFonts w:ascii="Times New Roman" w:hAnsi="Times New Roman" w:cs="Times New Roman"/>
          <w:sz w:val="24"/>
          <w:szCs w:val="24"/>
        </w:rPr>
        <w:t>ideas</w:t>
      </w:r>
      <w:r w:rsidR="00E13863">
        <w:rPr>
          <w:rFonts w:ascii="Times New Roman" w:hAnsi="Times New Roman" w:cs="Times New Roman"/>
          <w:sz w:val="24"/>
          <w:szCs w:val="24"/>
        </w:rPr>
        <w:t xml:space="preserve"> articulated</w:t>
      </w:r>
      <w:r w:rsidR="00C93E1F">
        <w:rPr>
          <w:rFonts w:ascii="Times New Roman" w:hAnsi="Times New Roman" w:cs="Times New Roman"/>
          <w:sz w:val="24"/>
          <w:szCs w:val="24"/>
        </w:rPr>
        <w:t xml:space="preserve"> by global experts about </w:t>
      </w:r>
      <w:r w:rsidR="00E15342">
        <w:rPr>
          <w:rFonts w:ascii="Times New Roman" w:hAnsi="Times New Roman" w:cs="Times New Roman"/>
          <w:sz w:val="24"/>
          <w:szCs w:val="24"/>
        </w:rPr>
        <w:t xml:space="preserve">the shape of things to come, this </w:t>
      </w:r>
      <w:r w:rsidR="00E13863">
        <w:rPr>
          <w:rFonts w:ascii="Times New Roman" w:hAnsi="Times New Roman" w:cs="Times New Roman"/>
          <w:sz w:val="24"/>
          <w:szCs w:val="24"/>
        </w:rPr>
        <w:t>chapte</w:t>
      </w:r>
      <w:r w:rsidR="00052929">
        <w:rPr>
          <w:rFonts w:ascii="Times New Roman" w:hAnsi="Times New Roman" w:cs="Times New Roman"/>
          <w:sz w:val="24"/>
          <w:szCs w:val="24"/>
        </w:rPr>
        <w:t>r</w:t>
      </w:r>
      <w:r w:rsidR="00C93E1F">
        <w:rPr>
          <w:rFonts w:ascii="Times New Roman" w:hAnsi="Times New Roman" w:cs="Times New Roman"/>
          <w:sz w:val="24"/>
          <w:szCs w:val="24"/>
        </w:rPr>
        <w:t xml:space="preserve"> will </w:t>
      </w:r>
      <w:r w:rsidR="00E15342">
        <w:rPr>
          <w:rFonts w:ascii="Times New Roman" w:hAnsi="Times New Roman" w:cs="Times New Roman"/>
          <w:sz w:val="24"/>
          <w:szCs w:val="24"/>
        </w:rPr>
        <w:t xml:space="preserve">first </w:t>
      </w:r>
      <w:r w:rsidR="00C93E1F">
        <w:rPr>
          <w:rFonts w:ascii="Times New Roman" w:hAnsi="Times New Roman" w:cs="Times New Roman"/>
          <w:sz w:val="24"/>
          <w:szCs w:val="24"/>
        </w:rPr>
        <w:t xml:space="preserve">describe </w:t>
      </w:r>
      <w:r w:rsidR="00315E06">
        <w:rPr>
          <w:rFonts w:ascii="Times New Roman" w:hAnsi="Times New Roman" w:cs="Times New Roman"/>
          <w:sz w:val="24"/>
          <w:szCs w:val="24"/>
        </w:rPr>
        <w:t>a vision of industrial evolution and transformation over the course of the first half of the 21</w:t>
      </w:r>
      <w:r w:rsidR="00315E06" w:rsidRPr="00315E06">
        <w:rPr>
          <w:rFonts w:ascii="Times New Roman" w:hAnsi="Times New Roman" w:cs="Times New Roman"/>
          <w:sz w:val="24"/>
          <w:szCs w:val="24"/>
          <w:vertAlign w:val="superscript"/>
        </w:rPr>
        <w:t>st</w:t>
      </w:r>
      <w:r w:rsidR="00315E06">
        <w:rPr>
          <w:rFonts w:ascii="Times New Roman" w:hAnsi="Times New Roman" w:cs="Times New Roman"/>
          <w:sz w:val="24"/>
          <w:szCs w:val="24"/>
        </w:rPr>
        <w:t xml:space="preserve"> century</w:t>
      </w:r>
      <w:r w:rsidR="00804A91">
        <w:rPr>
          <w:rFonts w:ascii="Times New Roman" w:hAnsi="Times New Roman" w:cs="Times New Roman"/>
          <w:sz w:val="24"/>
          <w:szCs w:val="24"/>
        </w:rPr>
        <w:t>, followed by a similar assessment of the evolving global trade scenario</w:t>
      </w:r>
      <w:r w:rsidR="00315E06">
        <w:rPr>
          <w:rFonts w:ascii="Times New Roman" w:hAnsi="Times New Roman" w:cs="Times New Roman"/>
          <w:sz w:val="24"/>
          <w:szCs w:val="24"/>
        </w:rPr>
        <w:t xml:space="preserve">. </w:t>
      </w:r>
    </w:p>
    <w:p w14:paraId="21966B3D" w14:textId="77777777" w:rsidR="00F62D3F" w:rsidRDefault="00052929" w:rsidP="00B54A48">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For much of the next quarter century, </w:t>
      </w:r>
      <w:r w:rsidR="00D86E0D">
        <w:rPr>
          <w:rFonts w:ascii="Times New Roman" w:hAnsi="Times New Roman" w:cs="Times New Roman"/>
          <w:sz w:val="24"/>
          <w:szCs w:val="24"/>
        </w:rPr>
        <w:t xml:space="preserve">the </w:t>
      </w:r>
      <w:r>
        <w:rPr>
          <w:rFonts w:ascii="Times New Roman" w:hAnsi="Times New Roman" w:cs="Times New Roman"/>
          <w:sz w:val="24"/>
          <w:szCs w:val="24"/>
        </w:rPr>
        <w:t>bulk of job creation in Bangladesh will be taking place in a diversified manufacturing sector that is globally competitive, export-oriented, and focused on breaking into emerging markets while expanding its market share in developed economies</w:t>
      </w:r>
      <w:r w:rsidR="00261C72">
        <w:rPr>
          <w:rFonts w:ascii="Times New Roman" w:hAnsi="Times New Roman" w:cs="Times New Roman"/>
          <w:sz w:val="24"/>
          <w:szCs w:val="24"/>
        </w:rPr>
        <w:t xml:space="preserve"> of the world</w:t>
      </w:r>
      <w:r>
        <w:rPr>
          <w:rFonts w:ascii="Times New Roman" w:hAnsi="Times New Roman" w:cs="Times New Roman"/>
          <w:sz w:val="24"/>
          <w:szCs w:val="24"/>
        </w:rPr>
        <w:t xml:space="preserve">. </w:t>
      </w:r>
      <w:r w:rsidR="00085EEA">
        <w:rPr>
          <w:rFonts w:ascii="Times New Roman" w:hAnsi="Times New Roman" w:cs="Times New Roman"/>
          <w:sz w:val="24"/>
          <w:szCs w:val="24"/>
        </w:rPr>
        <w:t>Recognizing that</w:t>
      </w:r>
      <w:r w:rsidR="00315E06">
        <w:rPr>
          <w:rFonts w:ascii="Times New Roman" w:hAnsi="Times New Roman" w:cs="Times New Roman"/>
          <w:sz w:val="24"/>
          <w:szCs w:val="24"/>
        </w:rPr>
        <w:t xml:space="preserve"> Bangladesh’s </w:t>
      </w:r>
      <w:r w:rsidR="00085EEA">
        <w:rPr>
          <w:rFonts w:ascii="Times New Roman" w:hAnsi="Times New Roman" w:cs="Times New Roman"/>
          <w:sz w:val="24"/>
          <w:szCs w:val="24"/>
        </w:rPr>
        <w:t xml:space="preserve">future </w:t>
      </w:r>
      <w:r w:rsidR="00315E06">
        <w:rPr>
          <w:rFonts w:ascii="Times New Roman" w:hAnsi="Times New Roman" w:cs="Times New Roman"/>
          <w:sz w:val="24"/>
          <w:szCs w:val="24"/>
        </w:rPr>
        <w:t xml:space="preserve">industrial prospects will be intricately linked to the </w:t>
      </w:r>
      <w:r w:rsidR="00C93E1F">
        <w:rPr>
          <w:rFonts w:ascii="Times New Roman" w:hAnsi="Times New Roman" w:cs="Times New Roman"/>
          <w:sz w:val="24"/>
          <w:szCs w:val="24"/>
        </w:rPr>
        <w:t xml:space="preserve">projected trends in </w:t>
      </w:r>
      <w:r w:rsidR="00261C72">
        <w:rPr>
          <w:rFonts w:ascii="Times New Roman" w:hAnsi="Times New Roman" w:cs="Times New Roman"/>
          <w:sz w:val="24"/>
          <w:szCs w:val="24"/>
        </w:rPr>
        <w:t xml:space="preserve">(a) </w:t>
      </w:r>
      <w:r w:rsidR="00315E06">
        <w:rPr>
          <w:rFonts w:ascii="Times New Roman" w:hAnsi="Times New Roman" w:cs="Times New Roman"/>
          <w:sz w:val="24"/>
          <w:szCs w:val="24"/>
        </w:rPr>
        <w:t>global and regional trade</w:t>
      </w:r>
      <w:r w:rsidR="00085EEA">
        <w:rPr>
          <w:rFonts w:ascii="Times New Roman" w:hAnsi="Times New Roman" w:cs="Times New Roman"/>
          <w:sz w:val="24"/>
          <w:szCs w:val="24"/>
        </w:rPr>
        <w:t xml:space="preserve">, </w:t>
      </w:r>
      <w:r w:rsidR="00261C72">
        <w:rPr>
          <w:rFonts w:ascii="Times New Roman" w:hAnsi="Times New Roman" w:cs="Times New Roman"/>
          <w:sz w:val="24"/>
          <w:szCs w:val="24"/>
        </w:rPr>
        <w:t xml:space="preserve">(b) </w:t>
      </w:r>
      <w:r w:rsidR="00315E06">
        <w:rPr>
          <w:rFonts w:ascii="Times New Roman" w:hAnsi="Times New Roman" w:cs="Times New Roman"/>
          <w:sz w:val="24"/>
          <w:szCs w:val="24"/>
        </w:rPr>
        <w:t xml:space="preserve">the future of globalization, </w:t>
      </w:r>
      <w:r w:rsidR="00085EEA">
        <w:rPr>
          <w:rFonts w:ascii="Times New Roman" w:hAnsi="Times New Roman" w:cs="Times New Roman"/>
          <w:sz w:val="24"/>
          <w:szCs w:val="24"/>
        </w:rPr>
        <w:t xml:space="preserve">and </w:t>
      </w:r>
      <w:r w:rsidR="00261C72">
        <w:rPr>
          <w:rFonts w:ascii="Times New Roman" w:hAnsi="Times New Roman" w:cs="Times New Roman"/>
          <w:sz w:val="24"/>
          <w:szCs w:val="24"/>
        </w:rPr>
        <w:t xml:space="preserve">(c) </w:t>
      </w:r>
      <w:r w:rsidR="00085EEA">
        <w:rPr>
          <w:rFonts w:ascii="Times New Roman" w:hAnsi="Times New Roman" w:cs="Times New Roman"/>
          <w:sz w:val="24"/>
          <w:szCs w:val="24"/>
        </w:rPr>
        <w:t>the evolution of trade policies determined by the transformation of manufacturing and services of the future,</w:t>
      </w:r>
      <w:r w:rsidR="00804A91">
        <w:rPr>
          <w:rFonts w:ascii="Times New Roman" w:hAnsi="Times New Roman" w:cs="Times New Roman"/>
          <w:sz w:val="24"/>
          <w:szCs w:val="24"/>
        </w:rPr>
        <w:t xml:space="preserve"> t</w:t>
      </w:r>
      <w:r w:rsidR="00C93E1F">
        <w:rPr>
          <w:rFonts w:ascii="Times New Roman" w:hAnsi="Times New Roman" w:cs="Times New Roman"/>
          <w:sz w:val="24"/>
          <w:szCs w:val="24"/>
        </w:rPr>
        <w:t>his chapter develop</w:t>
      </w:r>
      <w:r w:rsidR="006062C6">
        <w:rPr>
          <w:rFonts w:ascii="Times New Roman" w:hAnsi="Times New Roman" w:cs="Times New Roman"/>
          <w:sz w:val="24"/>
          <w:szCs w:val="24"/>
        </w:rPr>
        <w:t>s</w:t>
      </w:r>
      <w:r w:rsidR="00C93E1F">
        <w:rPr>
          <w:rFonts w:ascii="Times New Roman" w:hAnsi="Times New Roman" w:cs="Times New Roman"/>
          <w:sz w:val="24"/>
          <w:szCs w:val="24"/>
        </w:rPr>
        <w:t xml:space="preserve"> an integrated strategy for future growth and job creation </w:t>
      </w:r>
      <w:r w:rsidR="00E15342">
        <w:rPr>
          <w:rFonts w:ascii="Times New Roman" w:hAnsi="Times New Roman" w:cs="Times New Roman"/>
          <w:sz w:val="24"/>
          <w:szCs w:val="24"/>
        </w:rPr>
        <w:t xml:space="preserve">for Bangladesh </w:t>
      </w:r>
      <w:r w:rsidR="00C93E1F">
        <w:rPr>
          <w:rFonts w:ascii="Times New Roman" w:hAnsi="Times New Roman" w:cs="Times New Roman"/>
          <w:sz w:val="24"/>
          <w:szCs w:val="24"/>
        </w:rPr>
        <w:t>building on the</w:t>
      </w:r>
      <w:r w:rsidR="00E15342">
        <w:rPr>
          <w:rFonts w:ascii="Times New Roman" w:hAnsi="Times New Roman" w:cs="Times New Roman"/>
          <w:sz w:val="24"/>
          <w:szCs w:val="24"/>
        </w:rPr>
        <w:t xml:space="preserve"> interplay</w:t>
      </w:r>
      <w:r w:rsidR="00261C72">
        <w:rPr>
          <w:rFonts w:ascii="Times New Roman" w:hAnsi="Times New Roman" w:cs="Times New Roman"/>
          <w:sz w:val="24"/>
          <w:szCs w:val="24"/>
        </w:rPr>
        <w:t xml:space="preserve"> of these three</w:t>
      </w:r>
      <w:r w:rsidR="00C93E1F">
        <w:rPr>
          <w:rFonts w:ascii="Times New Roman" w:hAnsi="Times New Roman" w:cs="Times New Roman"/>
          <w:sz w:val="24"/>
          <w:szCs w:val="24"/>
        </w:rPr>
        <w:t xml:space="preserve"> interlinked </w:t>
      </w:r>
      <w:r w:rsidR="00E15342">
        <w:rPr>
          <w:rFonts w:ascii="Times New Roman" w:hAnsi="Times New Roman" w:cs="Times New Roman"/>
          <w:sz w:val="24"/>
          <w:szCs w:val="24"/>
        </w:rPr>
        <w:t>and strategic</w:t>
      </w:r>
      <w:r w:rsidR="00D86E0D">
        <w:rPr>
          <w:rFonts w:ascii="Times New Roman" w:hAnsi="Times New Roman" w:cs="Times New Roman"/>
          <w:sz w:val="24"/>
          <w:szCs w:val="24"/>
        </w:rPr>
        <w:t xml:space="preserve"> forces</w:t>
      </w:r>
      <w:r w:rsidR="00E15342">
        <w:rPr>
          <w:rFonts w:ascii="Times New Roman" w:hAnsi="Times New Roman" w:cs="Times New Roman"/>
          <w:sz w:val="24"/>
          <w:szCs w:val="24"/>
        </w:rPr>
        <w:t xml:space="preserve"> that can fuel economic growth and propel Bangladesh across the high income threshold in the 2040s</w:t>
      </w:r>
      <w:r w:rsidR="00C93E1F">
        <w:rPr>
          <w:rFonts w:ascii="Times New Roman" w:hAnsi="Times New Roman" w:cs="Times New Roman"/>
          <w:sz w:val="24"/>
          <w:szCs w:val="24"/>
        </w:rPr>
        <w:t xml:space="preserve">. </w:t>
      </w:r>
    </w:p>
    <w:p w14:paraId="229CBEA8" w14:textId="77777777" w:rsidR="009A18AE" w:rsidRPr="00886715" w:rsidRDefault="009A18AE" w:rsidP="00B54A48">
      <w:pPr>
        <w:pStyle w:val="Heading1"/>
      </w:pPr>
      <w:bookmarkStart w:id="7" w:name="_Toc496536514"/>
      <w:r w:rsidRPr="00886715">
        <w:t>THE FOURTH INDUSTRIAL REVOLUTION AND BEYOND</w:t>
      </w:r>
      <w:bookmarkEnd w:id="7"/>
    </w:p>
    <w:p w14:paraId="425EB1FF" w14:textId="26B0FF7F" w:rsidR="00832A92" w:rsidRDefault="001F0582" w:rsidP="00B54A48">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Growth acceleration of the Bangladesh economy thus far has been driven by rapid pace of industrialization, primarily based</w:t>
      </w:r>
      <w:r w:rsidR="007B1675">
        <w:rPr>
          <w:rFonts w:ascii="Times New Roman" w:hAnsi="Times New Roman" w:cs="Times New Roman"/>
          <w:sz w:val="24"/>
          <w:szCs w:val="24"/>
        </w:rPr>
        <w:t xml:space="preserve"> on</w:t>
      </w:r>
      <w:r>
        <w:rPr>
          <w:rFonts w:ascii="Times New Roman" w:hAnsi="Times New Roman" w:cs="Times New Roman"/>
          <w:sz w:val="24"/>
          <w:szCs w:val="24"/>
        </w:rPr>
        <w:t xml:space="preserve"> export-oriented manufacturing. </w:t>
      </w:r>
      <w:r w:rsidR="007B1675">
        <w:rPr>
          <w:rFonts w:ascii="Times New Roman" w:hAnsi="Times New Roman" w:cs="Times New Roman"/>
          <w:sz w:val="24"/>
          <w:szCs w:val="24"/>
        </w:rPr>
        <w:t xml:space="preserve">As manufacturing grew faster than agriculture, structural change that has been taking place since independence basically shows industrial GDP replacing agriculture with the result that industry in FY2016 made up </w:t>
      </w:r>
      <w:r w:rsidR="001D66FA">
        <w:rPr>
          <w:rFonts w:ascii="Times New Roman" w:hAnsi="Times New Roman" w:cs="Times New Roman"/>
          <w:sz w:val="24"/>
          <w:szCs w:val="24"/>
        </w:rPr>
        <w:t>31.5% with manufacturing at 20</w:t>
      </w:r>
      <w:r w:rsidR="007B33EB">
        <w:rPr>
          <w:rFonts w:ascii="Times New Roman" w:hAnsi="Times New Roman" w:cs="Times New Roman"/>
          <w:sz w:val="24"/>
          <w:szCs w:val="24"/>
        </w:rPr>
        <w:t xml:space="preserve">% of GDP. </w:t>
      </w:r>
      <w:r>
        <w:rPr>
          <w:rFonts w:ascii="Times New Roman" w:hAnsi="Times New Roman" w:cs="Times New Roman"/>
          <w:sz w:val="24"/>
          <w:szCs w:val="24"/>
        </w:rPr>
        <w:t xml:space="preserve">Looking into the future, it is a foregone conclusion that industry will remain the key driver of growth at least until Bangladesh becomes an Upper Middle-Income Country (UMIC) by 2030. Thereafter, (or even earlier), the economy will be driven by a combination of </w:t>
      </w:r>
      <w:r w:rsidR="007B1675">
        <w:rPr>
          <w:rFonts w:ascii="Times New Roman" w:hAnsi="Times New Roman" w:cs="Times New Roman"/>
          <w:sz w:val="24"/>
          <w:szCs w:val="24"/>
        </w:rPr>
        <w:t xml:space="preserve">futuristic </w:t>
      </w:r>
      <w:r>
        <w:rPr>
          <w:rFonts w:ascii="Times New Roman" w:hAnsi="Times New Roman" w:cs="Times New Roman"/>
          <w:sz w:val="24"/>
          <w:szCs w:val="24"/>
        </w:rPr>
        <w:t xml:space="preserve">digital and industrial revolution, </w:t>
      </w:r>
      <w:r w:rsidR="007B33EB">
        <w:rPr>
          <w:rFonts w:ascii="Times New Roman" w:hAnsi="Times New Roman" w:cs="Times New Roman"/>
          <w:sz w:val="24"/>
          <w:szCs w:val="24"/>
        </w:rPr>
        <w:t>in which services will be transformed into a modern digit</w:t>
      </w:r>
      <w:r w:rsidR="006E3AA7">
        <w:rPr>
          <w:rFonts w:ascii="Times New Roman" w:hAnsi="Times New Roman" w:cs="Times New Roman"/>
          <w:sz w:val="24"/>
          <w:szCs w:val="24"/>
        </w:rPr>
        <w:t xml:space="preserve">ized sector (from its current informal state) </w:t>
      </w:r>
      <w:r>
        <w:rPr>
          <w:rFonts w:ascii="Times New Roman" w:hAnsi="Times New Roman" w:cs="Times New Roman"/>
          <w:sz w:val="24"/>
          <w:szCs w:val="24"/>
        </w:rPr>
        <w:t xml:space="preserve">some of it can only be surmised at the present time. </w:t>
      </w:r>
      <w:r w:rsidR="006E3AA7">
        <w:rPr>
          <w:rFonts w:ascii="Times New Roman" w:hAnsi="Times New Roman" w:cs="Times New Roman"/>
          <w:sz w:val="24"/>
          <w:szCs w:val="24"/>
        </w:rPr>
        <w:t>By 2041, like other</w:t>
      </w:r>
      <w:r w:rsidR="00642F65">
        <w:rPr>
          <w:rFonts w:ascii="Times New Roman" w:hAnsi="Times New Roman" w:cs="Times New Roman"/>
          <w:sz w:val="24"/>
          <w:szCs w:val="24"/>
        </w:rPr>
        <w:t xml:space="preserve"> developed</w:t>
      </w:r>
      <w:r w:rsidR="006E3AA7">
        <w:rPr>
          <w:rFonts w:ascii="Times New Roman" w:hAnsi="Times New Roman" w:cs="Times New Roman"/>
          <w:sz w:val="24"/>
          <w:szCs w:val="24"/>
        </w:rPr>
        <w:t xml:space="preserve"> economies, services will become the predominant sector </w:t>
      </w:r>
      <w:r w:rsidR="00642F65">
        <w:rPr>
          <w:rFonts w:ascii="Times New Roman" w:hAnsi="Times New Roman" w:cs="Times New Roman"/>
          <w:sz w:val="24"/>
          <w:szCs w:val="24"/>
        </w:rPr>
        <w:t xml:space="preserve">in the economy in terms of output and employment. </w:t>
      </w:r>
      <w:r w:rsidR="00CD1ED5">
        <w:rPr>
          <w:rFonts w:ascii="Times New Roman" w:hAnsi="Times New Roman" w:cs="Times New Roman"/>
          <w:sz w:val="24"/>
          <w:szCs w:val="24"/>
        </w:rPr>
        <w:t xml:space="preserve">Projections </w:t>
      </w:r>
      <w:r w:rsidR="00F2186B">
        <w:rPr>
          <w:rFonts w:ascii="Times New Roman" w:hAnsi="Times New Roman" w:cs="Times New Roman"/>
          <w:sz w:val="24"/>
          <w:szCs w:val="24"/>
        </w:rPr>
        <w:t>made by General Economics Division of the Planning Commission with respect to sectoral contribution to GDP and employment for the period 2020-2041 are shown in (</w:t>
      </w:r>
      <w:r w:rsidR="00F2186B" w:rsidRPr="00742F24">
        <w:rPr>
          <w:rFonts w:ascii="Times New Roman" w:hAnsi="Times New Roman" w:cs="Times New Roman"/>
          <w:sz w:val="24"/>
          <w:szCs w:val="24"/>
        </w:rPr>
        <w:t>Fig</w:t>
      </w:r>
      <w:r w:rsidR="00BB436D" w:rsidRPr="00742F24">
        <w:rPr>
          <w:rFonts w:ascii="Times New Roman" w:hAnsi="Times New Roman" w:cs="Times New Roman"/>
          <w:sz w:val="24"/>
          <w:szCs w:val="24"/>
        </w:rPr>
        <w:t>ure</w:t>
      </w:r>
      <w:r w:rsidR="00F2186B" w:rsidRPr="00742F24">
        <w:rPr>
          <w:rFonts w:ascii="Times New Roman" w:hAnsi="Times New Roman" w:cs="Times New Roman"/>
          <w:sz w:val="24"/>
          <w:szCs w:val="24"/>
        </w:rPr>
        <w:t>.1</w:t>
      </w:r>
      <w:r w:rsidR="00F2186B">
        <w:rPr>
          <w:rFonts w:ascii="Times New Roman" w:hAnsi="Times New Roman" w:cs="Times New Roman"/>
          <w:sz w:val="24"/>
          <w:szCs w:val="24"/>
        </w:rPr>
        <w:t>).</w:t>
      </w:r>
    </w:p>
    <w:p w14:paraId="38EA4657" w14:textId="0E9957F7" w:rsidR="00B54A48" w:rsidRDefault="00B54A48">
      <w:pPr>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4A0" w:firstRow="1" w:lastRow="0" w:firstColumn="1" w:lastColumn="0" w:noHBand="0" w:noVBand="1"/>
      </w:tblPr>
      <w:tblGrid>
        <w:gridCol w:w="4680"/>
        <w:gridCol w:w="4680"/>
      </w:tblGrid>
      <w:tr w:rsidR="007B1675" w:rsidRPr="007B1675" w14:paraId="0B40F1E7" w14:textId="77777777" w:rsidTr="00642F65">
        <w:tc>
          <w:tcPr>
            <w:tcW w:w="9360" w:type="dxa"/>
            <w:gridSpan w:val="2"/>
          </w:tcPr>
          <w:p w14:paraId="2DCE08E6" w14:textId="1CF6F160" w:rsidR="007B1675" w:rsidRPr="00141AA1" w:rsidRDefault="00642F65" w:rsidP="00562120">
            <w:pPr>
              <w:pStyle w:val="Heading5"/>
            </w:pPr>
            <w:bookmarkStart w:id="8" w:name="_Toc496536535"/>
            <w:r w:rsidRPr="00141AA1">
              <w:lastRenderedPageBreak/>
              <w:t>Fig</w:t>
            </w:r>
            <w:r w:rsidR="00A81958" w:rsidRPr="00141AA1">
              <w:t xml:space="preserve">ure </w:t>
            </w:r>
            <w:r w:rsidRPr="00141AA1">
              <w:t>1</w:t>
            </w:r>
            <w:r w:rsidR="00A81958" w:rsidRPr="00141AA1">
              <w:t>:</w:t>
            </w:r>
            <w:r w:rsidR="00F2186B" w:rsidRPr="00141AA1">
              <w:t xml:space="preserve"> </w:t>
            </w:r>
            <w:r w:rsidR="007B1675" w:rsidRPr="00141AA1">
              <w:t>Projected economic structure and employment share (%)</w:t>
            </w:r>
            <w:bookmarkEnd w:id="8"/>
          </w:p>
          <w:p w14:paraId="54383473" w14:textId="77777777" w:rsidR="007B1675" w:rsidRPr="007B1675" w:rsidRDefault="007B1675" w:rsidP="00642F65">
            <w:pPr>
              <w:spacing w:after="0"/>
              <w:jc w:val="center"/>
              <w:rPr>
                <w:rFonts w:ascii="Calibri" w:eastAsia="Calibri" w:hAnsi="Calibri" w:cs="Times New Roman"/>
                <w:b/>
                <w:sz w:val="2"/>
                <w:lang w:val="en-GB"/>
              </w:rPr>
            </w:pPr>
          </w:p>
        </w:tc>
      </w:tr>
      <w:tr w:rsidR="007B1675" w:rsidRPr="007B1675" w14:paraId="22FB46CE" w14:textId="77777777" w:rsidTr="00642F65">
        <w:tc>
          <w:tcPr>
            <w:tcW w:w="4680" w:type="dxa"/>
          </w:tcPr>
          <w:p w14:paraId="558CE164" w14:textId="77777777" w:rsidR="007B1675" w:rsidRPr="007B1675" w:rsidRDefault="007B1675" w:rsidP="007B1675">
            <w:pPr>
              <w:spacing w:after="0"/>
              <w:jc w:val="both"/>
              <w:rPr>
                <w:rFonts w:ascii="Calibri" w:eastAsia="Calibri" w:hAnsi="Calibri" w:cs="Times New Roman"/>
                <w:b/>
                <w:lang w:val="en-GB"/>
              </w:rPr>
            </w:pPr>
            <w:r w:rsidRPr="007B1675">
              <w:rPr>
                <w:rFonts w:ascii="Calibri" w:eastAsia="Calibri" w:hAnsi="Calibri" w:cs="Times New Roman"/>
                <w:b/>
                <w:noProof/>
              </w:rPr>
              <w:drawing>
                <wp:inline distT="0" distB="0" distL="0" distR="0" wp14:anchorId="3CFDD64A" wp14:editId="248796B3">
                  <wp:extent cx="2844000" cy="2520000"/>
                  <wp:effectExtent l="0" t="0" r="13970" b="1397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680" w:type="dxa"/>
          </w:tcPr>
          <w:p w14:paraId="18AF9531" w14:textId="77777777" w:rsidR="007B1675" w:rsidRPr="007B1675" w:rsidRDefault="007B1675" w:rsidP="007B1675">
            <w:pPr>
              <w:spacing w:after="0"/>
              <w:jc w:val="both"/>
              <w:rPr>
                <w:rFonts w:ascii="Calibri" w:eastAsia="Calibri" w:hAnsi="Calibri" w:cs="Times New Roman"/>
                <w:b/>
                <w:lang w:val="en-GB"/>
              </w:rPr>
            </w:pPr>
            <w:r w:rsidRPr="007B1675">
              <w:rPr>
                <w:rFonts w:ascii="Calibri" w:eastAsia="Calibri" w:hAnsi="Calibri" w:cs="Times New Roman"/>
                <w:b/>
                <w:noProof/>
              </w:rPr>
              <w:drawing>
                <wp:inline distT="0" distB="0" distL="0" distR="0" wp14:anchorId="71E8C1DB" wp14:editId="79D8150E">
                  <wp:extent cx="2844000" cy="2520000"/>
                  <wp:effectExtent l="0" t="0" r="13970" b="139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642F65" w:rsidRPr="007B1675" w14:paraId="21B878C5" w14:textId="77777777" w:rsidTr="00502CAF">
        <w:tc>
          <w:tcPr>
            <w:tcW w:w="9360" w:type="dxa"/>
            <w:gridSpan w:val="2"/>
          </w:tcPr>
          <w:p w14:paraId="261228EB" w14:textId="0EA3B680" w:rsidR="00642F65" w:rsidRPr="007B1675" w:rsidRDefault="00642F65" w:rsidP="00B54A48">
            <w:pPr>
              <w:spacing w:after="240"/>
              <w:rPr>
                <w:rFonts w:ascii="Calibri" w:eastAsia="Calibri" w:hAnsi="Calibri" w:cs="Times New Roman"/>
                <w:b/>
                <w:i/>
                <w:lang w:val="en-GB"/>
              </w:rPr>
            </w:pPr>
            <w:r w:rsidRPr="007B1675">
              <w:rPr>
                <w:rFonts w:ascii="Calibri" w:eastAsia="Calibri" w:hAnsi="Calibri" w:cs="Times New Roman"/>
                <w:b/>
                <w:i/>
                <w:lang w:val="en-GB"/>
              </w:rPr>
              <w:t>Source: GED projections</w:t>
            </w:r>
          </w:p>
        </w:tc>
      </w:tr>
    </w:tbl>
    <w:p w14:paraId="724AEF0C" w14:textId="0B6DA329" w:rsidR="009A18AE" w:rsidRDefault="00642F65" w:rsidP="00B54A48">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The world economy is </w:t>
      </w:r>
      <w:r w:rsidR="00F2186B">
        <w:rPr>
          <w:rFonts w:ascii="Times New Roman" w:hAnsi="Times New Roman" w:cs="Times New Roman"/>
          <w:sz w:val="24"/>
          <w:szCs w:val="24"/>
        </w:rPr>
        <w:t xml:space="preserve">now </w:t>
      </w:r>
      <w:r>
        <w:rPr>
          <w:rFonts w:ascii="Times New Roman" w:hAnsi="Times New Roman" w:cs="Times New Roman"/>
          <w:sz w:val="24"/>
          <w:szCs w:val="24"/>
        </w:rPr>
        <w:t xml:space="preserve">in the grip of the Fourth Industrial Revolution. </w:t>
      </w:r>
      <w:r w:rsidR="009A18AE">
        <w:rPr>
          <w:rFonts w:ascii="Times New Roman" w:hAnsi="Times New Roman" w:cs="Times New Roman"/>
          <w:sz w:val="24"/>
          <w:szCs w:val="24"/>
        </w:rPr>
        <w:t xml:space="preserve">In order to strategize on the approach to trade and industrial growth over the next 25 years, it would be necessary to </w:t>
      </w:r>
      <w:r>
        <w:rPr>
          <w:rFonts w:ascii="Times New Roman" w:hAnsi="Times New Roman" w:cs="Times New Roman"/>
          <w:sz w:val="24"/>
          <w:szCs w:val="24"/>
        </w:rPr>
        <w:t>get a good understanding of</w:t>
      </w:r>
      <w:r w:rsidR="009A18AE">
        <w:rPr>
          <w:rFonts w:ascii="Times New Roman" w:hAnsi="Times New Roman" w:cs="Times New Roman"/>
          <w:sz w:val="24"/>
          <w:szCs w:val="24"/>
        </w:rPr>
        <w:t xml:space="preserve"> what the </w:t>
      </w:r>
      <w:r w:rsidR="00F007F7">
        <w:rPr>
          <w:rFonts w:ascii="Times New Roman" w:hAnsi="Times New Roman" w:cs="Times New Roman"/>
          <w:sz w:val="24"/>
          <w:szCs w:val="24"/>
        </w:rPr>
        <w:t xml:space="preserve">on-going </w:t>
      </w:r>
      <w:r w:rsidR="009A18AE">
        <w:rPr>
          <w:rFonts w:ascii="Times New Roman" w:hAnsi="Times New Roman" w:cs="Times New Roman"/>
          <w:sz w:val="24"/>
          <w:szCs w:val="24"/>
        </w:rPr>
        <w:t xml:space="preserve">Fourth Industrial Revolution </w:t>
      </w:r>
      <w:r w:rsidR="002B77B1">
        <w:rPr>
          <w:rFonts w:ascii="Times New Roman" w:hAnsi="Times New Roman" w:cs="Times New Roman"/>
          <w:sz w:val="24"/>
          <w:szCs w:val="24"/>
        </w:rPr>
        <w:t>(</w:t>
      </w:r>
      <w:r w:rsidR="002B77B1" w:rsidRPr="00742F24">
        <w:rPr>
          <w:rFonts w:ascii="Times New Roman" w:hAnsi="Times New Roman" w:cs="Times New Roman"/>
          <w:sz w:val="24"/>
          <w:szCs w:val="24"/>
        </w:rPr>
        <w:t>Fig</w:t>
      </w:r>
      <w:r w:rsidR="00055051" w:rsidRPr="00742F24">
        <w:rPr>
          <w:rFonts w:ascii="Times New Roman" w:hAnsi="Times New Roman" w:cs="Times New Roman"/>
          <w:sz w:val="24"/>
          <w:szCs w:val="24"/>
        </w:rPr>
        <w:t>ure</w:t>
      </w:r>
      <w:r w:rsidR="002B77B1" w:rsidRPr="00742F24">
        <w:rPr>
          <w:rFonts w:ascii="Times New Roman" w:hAnsi="Times New Roman" w:cs="Times New Roman"/>
          <w:sz w:val="24"/>
          <w:szCs w:val="24"/>
        </w:rPr>
        <w:t>.2</w:t>
      </w:r>
      <w:r w:rsidR="002B77B1">
        <w:rPr>
          <w:rFonts w:ascii="Times New Roman" w:hAnsi="Times New Roman" w:cs="Times New Roman"/>
          <w:sz w:val="24"/>
          <w:szCs w:val="24"/>
        </w:rPr>
        <w:t xml:space="preserve">) </w:t>
      </w:r>
      <w:r w:rsidR="009A18AE">
        <w:rPr>
          <w:rFonts w:ascii="Times New Roman" w:hAnsi="Times New Roman" w:cs="Times New Roman"/>
          <w:sz w:val="24"/>
          <w:szCs w:val="24"/>
        </w:rPr>
        <w:t xml:space="preserve">is, what it means for Bangladesh, and the kind of opportunities and challenges it presents for Bangladesh’s race to become a UMIC and HIC. </w:t>
      </w:r>
      <w:r w:rsidR="00FF233D">
        <w:rPr>
          <w:rFonts w:ascii="Times New Roman" w:hAnsi="Times New Roman" w:cs="Times New Roman"/>
          <w:sz w:val="24"/>
          <w:szCs w:val="24"/>
        </w:rPr>
        <w:t>The first and second industrial revolution of the 19</w:t>
      </w:r>
      <w:r w:rsidR="00FF233D" w:rsidRPr="00B54A48">
        <w:rPr>
          <w:rFonts w:ascii="Times New Roman" w:hAnsi="Times New Roman" w:cs="Times New Roman"/>
          <w:sz w:val="24"/>
          <w:szCs w:val="24"/>
        </w:rPr>
        <w:t>th</w:t>
      </w:r>
      <w:r w:rsidR="00FF233D">
        <w:rPr>
          <w:rFonts w:ascii="Times New Roman" w:hAnsi="Times New Roman" w:cs="Times New Roman"/>
          <w:sz w:val="24"/>
          <w:szCs w:val="24"/>
        </w:rPr>
        <w:t xml:space="preserve"> and 20</w:t>
      </w:r>
      <w:r w:rsidR="00FF233D" w:rsidRPr="00B54A48">
        <w:rPr>
          <w:rFonts w:ascii="Times New Roman" w:hAnsi="Times New Roman" w:cs="Times New Roman"/>
          <w:sz w:val="24"/>
          <w:szCs w:val="24"/>
        </w:rPr>
        <w:t>th</w:t>
      </w:r>
      <w:r w:rsidR="00126CA1">
        <w:rPr>
          <w:rFonts w:ascii="Times New Roman" w:hAnsi="Times New Roman" w:cs="Times New Roman"/>
          <w:sz w:val="24"/>
          <w:szCs w:val="24"/>
        </w:rPr>
        <w:t xml:space="preserve"> centuries are</w:t>
      </w:r>
      <w:r w:rsidR="00FF233D">
        <w:rPr>
          <w:rFonts w:ascii="Times New Roman" w:hAnsi="Times New Roman" w:cs="Times New Roman"/>
          <w:sz w:val="24"/>
          <w:szCs w:val="24"/>
        </w:rPr>
        <w:t xml:space="preserve"> long over. </w:t>
      </w:r>
      <w:r w:rsidR="00BB67E0">
        <w:rPr>
          <w:rFonts w:ascii="Times New Roman" w:hAnsi="Times New Roman" w:cs="Times New Roman"/>
          <w:sz w:val="24"/>
          <w:szCs w:val="24"/>
        </w:rPr>
        <w:t xml:space="preserve">The Third Industrial Revolution brought computers and the internet. The Fourth is expected to be much broader as machines are becoming smart and connected, contributing to dynamic fusion of technologies in the digital age. </w:t>
      </w:r>
      <w:r w:rsidR="009A18AE">
        <w:rPr>
          <w:rFonts w:ascii="Times New Roman" w:hAnsi="Times New Roman" w:cs="Times New Roman"/>
          <w:sz w:val="24"/>
          <w:szCs w:val="24"/>
        </w:rPr>
        <w:t xml:space="preserve">The prospect of another industrial revolution </w:t>
      </w:r>
      <w:r w:rsidR="00F007F7">
        <w:rPr>
          <w:rFonts w:ascii="Times New Roman" w:hAnsi="Times New Roman" w:cs="Times New Roman"/>
          <w:sz w:val="24"/>
          <w:szCs w:val="24"/>
        </w:rPr>
        <w:t xml:space="preserve">– the Fifth -- </w:t>
      </w:r>
      <w:r w:rsidR="009A18AE">
        <w:rPr>
          <w:rFonts w:ascii="Times New Roman" w:hAnsi="Times New Roman" w:cs="Times New Roman"/>
          <w:sz w:val="24"/>
          <w:szCs w:val="24"/>
        </w:rPr>
        <w:t>in the course of the next 25 years cannot be ruled out and must be taken into account in formulating national policies that are flexible and compatible with the changing landscape of trade and industry in the 21</w:t>
      </w:r>
      <w:r w:rsidR="009A18AE" w:rsidRPr="00B54A48">
        <w:rPr>
          <w:rFonts w:ascii="Times New Roman" w:hAnsi="Times New Roman" w:cs="Times New Roman"/>
          <w:sz w:val="24"/>
          <w:szCs w:val="24"/>
        </w:rPr>
        <w:t>st</w:t>
      </w:r>
      <w:r w:rsidR="009A18AE">
        <w:rPr>
          <w:rFonts w:ascii="Times New Roman" w:hAnsi="Times New Roman" w:cs="Times New Roman"/>
          <w:sz w:val="24"/>
          <w:szCs w:val="24"/>
        </w:rPr>
        <w:t xml:space="preserve"> century. </w:t>
      </w:r>
    </w:p>
    <w:p w14:paraId="7F2AAA7A" w14:textId="6722DE05" w:rsidR="008C5487" w:rsidRPr="00785BB5" w:rsidRDefault="008C5487" w:rsidP="00562120">
      <w:pPr>
        <w:pStyle w:val="Heading5"/>
      </w:pPr>
      <w:bookmarkStart w:id="9" w:name="_Toc496536536"/>
      <w:r w:rsidRPr="00785BB5">
        <w:rPr>
          <w:rStyle w:val="Heading5Char"/>
          <w:b/>
        </w:rPr>
        <w:t>Fig</w:t>
      </w:r>
      <w:r w:rsidR="00055051" w:rsidRPr="00785BB5">
        <w:rPr>
          <w:rStyle w:val="Heading5Char"/>
          <w:b/>
        </w:rPr>
        <w:t>ure</w:t>
      </w:r>
      <w:r w:rsidR="00141AA1" w:rsidRPr="00785BB5">
        <w:rPr>
          <w:rStyle w:val="Heading5Char"/>
          <w:b/>
        </w:rPr>
        <w:t xml:space="preserve"> 2:</w:t>
      </w:r>
      <w:r w:rsidRPr="00785BB5">
        <w:rPr>
          <w:rStyle w:val="Heading5Char"/>
          <w:b/>
        </w:rPr>
        <w:t xml:space="preserve"> Charting the Course of Industrial Revolutions</w:t>
      </w:r>
      <w:bookmarkEnd w:id="9"/>
    </w:p>
    <w:p w14:paraId="3FAC487F" w14:textId="02EAB1D0" w:rsidR="00141AA1" w:rsidRPr="00141AA1" w:rsidRDefault="00141AA1" w:rsidP="00141AA1">
      <w:pPr>
        <w:jc w:val="center"/>
      </w:pPr>
      <w:r w:rsidRPr="00467219">
        <w:rPr>
          <w:rFonts w:ascii="Times New Roman" w:hAnsi="Times New Roman" w:cs="Times New Roman"/>
          <w:noProof/>
          <w:sz w:val="24"/>
          <w:szCs w:val="24"/>
        </w:rPr>
        <w:drawing>
          <wp:inline distT="0" distB="0" distL="0" distR="0" wp14:anchorId="00B42466" wp14:editId="3548B2FE">
            <wp:extent cx="4721839" cy="2340000"/>
            <wp:effectExtent l="0" t="0" r="3175" b="0"/>
            <wp:docPr id="2" name="Picture 2" descr="C:\Users\USER\Downloads\mjolner_industrial_revolution_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mjolner_industrial_revolution_timeline.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7885" b="5382"/>
                    <a:stretch/>
                  </pic:blipFill>
                  <pic:spPr bwMode="auto">
                    <a:xfrm>
                      <a:off x="0" y="0"/>
                      <a:ext cx="4721839"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22DB0342" w14:textId="179AF0DB" w:rsidR="008C5487" w:rsidRPr="00785BB5" w:rsidRDefault="008C5487" w:rsidP="008C5487">
      <w:pPr>
        <w:ind w:left="360"/>
        <w:jc w:val="center"/>
        <w:rPr>
          <w:rFonts w:ascii="Times New Roman" w:hAnsi="Times New Roman" w:cs="Times New Roman"/>
          <w:b/>
          <w:i/>
          <w:sz w:val="24"/>
          <w:szCs w:val="24"/>
        </w:rPr>
      </w:pPr>
      <w:r w:rsidRPr="00785BB5">
        <w:rPr>
          <w:rFonts w:ascii="Times New Roman" w:hAnsi="Times New Roman" w:cs="Times New Roman"/>
          <w:b/>
          <w:i/>
        </w:rPr>
        <w:t xml:space="preserve">Source: Extracted from </w:t>
      </w:r>
      <w:r w:rsidRPr="00785BB5">
        <w:rPr>
          <w:rFonts w:ascii="Times New Roman" w:hAnsi="Times New Roman" w:cs="Times New Roman"/>
          <w:b/>
          <w:i/>
          <w:color w:val="222222"/>
          <w:shd w:val="clear" w:color="auto" w:fill="FFFFFF"/>
        </w:rPr>
        <w:t xml:space="preserve">Mjolner Infomatics, </w:t>
      </w:r>
      <w:r w:rsidRPr="00785BB5">
        <w:rPr>
          <w:rFonts w:ascii="Times New Roman" w:eastAsia="Times New Roman" w:hAnsi="Times New Roman" w:cs="Times New Roman"/>
          <w:b/>
          <w:i/>
          <w:color w:val="2F7194"/>
          <w:kern w:val="36"/>
        </w:rPr>
        <w:t>Realizing the Fourth Industrial Revolution</w:t>
      </w:r>
      <w:r w:rsidR="00785BB5">
        <w:rPr>
          <w:rFonts w:ascii="Times New Roman" w:eastAsia="Times New Roman" w:hAnsi="Times New Roman" w:cs="Times New Roman"/>
          <w:b/>
          <w:i/>
          <w:color w:val="2F7194"/>
          <w:kern w:val="36"/>
        </w:rPr>
        <w:t>.</w:t>
      </w:r>
    </w:p>
    <w:p w14:paraId="4718B50C" w14:textId="77777777" w:rsidR="00FD0772" w:rsidRDefault="008C277E" w:rsidP="00B54A48">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What will a Perspective Plan be looking for in carving out a strategy for sustainable industrialization consis</w:t>
      </w:r>
      <w:r w:rsidR="00C34C2A">
        <w:rPr>
          <w:rFonts w:ascii="Times New Roman" w:hAnsi="Times New Roman" w:cs="Times New Roman"/>
          <w:sz w:val="24"/>
          <w:szCs w:val="24"/>
        </w:rPr>
        <w:t>tent with global developments of</w:t>
      </w:r>
      <w:r>
        <w:rPr>
          <w:rFonts w:ascii="Times New Roman" w:hAnsi="Times New Roman" w:cs="Times New Roman"/>
          <w:sz w:val="24"/>
          <w:szCs w:val="24"/>
        </w:rPr>
        <w:t xml:space="preserve"> the</w:t>
      </w:r>
      <w:r w:rsidR="00C34C2A">
        <w:rPr>
          <w:rFonts w:ascii="Times New Roman" w:hAnsi="Times New Roman" w:cs="Times New Roman"/>
          <w:sz w:val="24"/>
          <w:szCs w:val="24"/>
        </w:rPr>
        <w:t xml:space="preserve"> next 25 years</w:t>
      </w:r>
      <w:r>
        <w:rPr>
          <w:rFonts w:ascii="Times New Roman" w:hAnsi="Times New Roman" w:cs="Times New Roman"/>
          <w:sz w:val="24"/>
          <w:szCs w:val="24"/>
        </w:rPr>
        <w:t xml:space="preserve">? </w:t>
      </w:r>
    </w:p>
    <w:p w14:paraId="19E65E6F" w14:textId="77777777" w:rsidR="00C34C2A" w:rsidRDefault="00FD65FD" w:rsidP="00B54A48">
      <w:pPr>
        <w:tabs>
          <w:tab w:val="left" w:pos="960"/>
          <w:tab w:val="left" w:pos="961"/>
        </w:tabs>
        <w:spacing w:after="240" w:line="276" w:lineRule="auto"/>
        <w:jc w:val="both"/>
        <w:rPr>
          <w:rFonts w:ascii="Times New Roman" w:hAnsi="Times New Roman" w:cs="Times New Roman"/>
          <w:sz w:val="24"/>
          <w:szCs w:val="24"/>
        </w:rPr>
      </w:pPr>
      <w:r>
        <w:rPr>
          <w:rFonts w:ascii="Times New Roman" w:hAnsi="Times New Roman" w:cs="Times New Roman"/>
          <w:sz w:val="24"/>
          <w:szCs w:val="24"/>
        </w:rPr>
        <w:t>According to an OECD report (OECD, 2016), t</w:t>
      </w:r>
      <w:r w:rsidR="00C34C2A" w:rsidRPr="00C34C2A">
        <w:rPr>
          <w:rFonts w:ascii="Times New Roman" w:hAnsi="Times New Roman" w:cs="Times New Roman"/>
          <w:sz w:val="24"/>
          <w:szCs w:val="24"/>
        </w:rPr>
        <w:t xml:space="preserve">he Fourth Industrial Revolution (FIR) entails a confluence of technologies ranging from a variety of </w:t>
      </w:r>
      <w:r w:rsidR="00C34C2A" w:rsidRPr="00C34C2A">
        <w:rPr>
          <w:rFonts w:ascii="Times New Roman" w:hAnsi="Times New Roman" w:cs="Times New Roman"/>
          <w:b/>
          <w:sz w:val="24"/>
          <w:szCs w:val="24"/>
        </w:rPr>
        <w:t>digital technologies</w:t>
      </w:r>
      <w:r w:rsidR="00C34C2A" w:rsidRPr="00C34C2A">
        <w:rPr>
          <w:rFonts w:ascii="Times New Roman" w:hAnsi="Times New Roman" w:cs="Times New Roman"/>
          <w:sz w:val="24"/>
          <w:szCs w:val="24"/>
        </w:rPr>
        <w:t xml:space="preserve"> (e.g. 3D printing, Internet of Things, advanced robotics) to </w:t>
      </w:r>
      <w:r w:rsidR="00C34C2A" w:rsidRPr="00C34C2A">
        <w:rPr>
          <w:rFonts w:ascii="Times New Roman" w:hAnsi="Times New Roman" w:cs="Times New Roman"/>
          <w:b/>
          <w:sz w:val="24"/>
          <w:szCs w:val="24"/>
        </w:rPr>
        <w:t>new materials</w:t>
      </w:r>
      <w:r w:rsidR="00C34C2A" w:rsidRPr="00C34C2A">
        <w:rPr>
          <w:rFonts w:ascii="Times New Roman" w:hAnsi="Times New Roman" w:cs="Times New Roman"/>
          <w:sz w:val="24"/>
          <w:szCs w:val="24"/>
        </w:rPr>
        <w:t xml:space="preserve"> (e.g. bio- or nano-based) to </w:t>
      </w:r>
      <w:r w:rsidR="00C34C2A" w:rsidRPr="00C34C2A">
        <w:rPr>
          <w:rFonts w:ascii="Times New Roman" w:hAnsi="Times New Roman" w:cs="Times New Roman"/>
          <w:b/>
          <w:sz w:val="24"/>
          <w:szCs w:val="24"/>
        </w:rPr>
        <w:t>new processes</w:t>
      </w:r>
      <w:r w:rsidR="00C34C2A" w:rsidRPr="00C34C2A">
        <w:rPr>
          <w:rFonts w:ascii="Times New Roman" w:hAnsi="Times New Roman" w:cs="Times New Roman"/>
          <w:sz w:val="24"/>
          <w:szCs w:val="24"/>
        </w:rPr>
        <w:t xml:space="preserve"> (e.g. data driven production, artificial intelligence, synthetic biology). These technologies will be available in the near future</w:t>
      </w:r>
      <w:r w:rsidR="00C34C2A">
        <w:rPr>
          <w:rFonts w:ascii="Times New Roman" w:hAnsi="Times New Roman" w:cs="Times New Roman"/>
          <w:sz w:val="24"/>
          <w:szCs w:val="24"/>
        </w:rPr>
        <w:t xml:space="preserve"> (10-15 years, according to OECD, 2016)</w:t>
      </w:r>
      <w:r w:rsidR="00C34C2A" w:rsidRPr="00C34C2A">
        <w:rPr>
          <w:rFonts w:ascii="Times New Roman" w:hAnsi="Times New Roman" w:cs="Times New Roman"/>
          <w:sz w:val="24"/>
          <w:szCs w:val="24"/>
        </w:rPr>
        <w:t>. As these technologies have an impact on the production and the distribution of goods and services, they will have far-reaching consequences for productivity, skills, income distribution, well-being and the</w:t>
      </w:r>
      <w:r w:rsidR="00C34C2A" w:rsidRPr="00C34C2A">
        <w:rPr>
          <w:rFonts w:ascii="Times New Roman" w:hAnsi="Times New Roman" w:cs="Times New Roman"/>
          <w:spacing w:val="-23"/>
          <w:sz w:val="24"/>
          <w:szCs w:val="24"/>
        </w:rPr>
        <w:t xml:space="preserve"> </w:t>
      </w:r>
      <w:r w:rsidR="00C34C2A" w:rsidRPr="00C34C2A">
        <w:rPr>
          <w:rFonts w:ascii="Times New Roman" w:hAnsi="Times New Roman" w:cs="Times New Roman"/>
          <w:sz w:val="24"/>
          <w:szCs w:val="24"/>
        </w:rPr>
        <w:t>environment.</w:t>
      </w:r>
    </w:p>
    <w:p w14:paraId="35C19055" w14:textId="77777777" w:rsidR="00181EAB" w:rsidRPr="00BB058B" w:rsidRDefault="00936CE4" w:rsidP="00B54A48">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According to </w:t>
      </w:r>
      <w:r w:rsidR="009B2BB4">
        <w:rPr>
          <w:rFonts w:ascii="Times New Roman" w:hAnsi="Times New Roman" w:cs="Times New Roman"/>
          <w:sz w:val="24"/>
          <w:szCs w:val="24"/>
        </w:rPr>
        <w:t xml:space="preserve">global </w:t>
      </w:r>
      <w:r>
        <w:rPr>
          <w:rFonts w:ascii="Times New Roman" w:hAnsi="Times New Roman" w:cs="Times New Roman"/>
          <w:sz w:val="24"/>
          <w:szCs w:val="24"/>
        </w:rPr>
        <w:t>industry experts t</w:t>
      </w:r>
      <w:r w:rsidRPr="00936CE4">
        <w:rPr>
          <w:rFonts w:ascii="Times New Roman" w:hAnsi="Times New Roman" w:cs="Times New Roman"/>
          <w:sz w:val="24"/>
          <w:szCs w:val="24"/>
        </w:rPr>
        <w:t>he future of manufacturing will be defined by</w:t>
      </w:r>
      <w:r>
        <w:rPr>
          <w:rFonts w:ascii="Times New Roman" w:hAnsi="Times New Roman" w:cs="Times New Roman"/>
          <w:b/>
          <w:sz w:val="24"/>
          <w:szCs w:val="24"/>
        </w:rPr>
        <w:t xml:space="preserve"> s</w:t>
      </w:r>
      <w:r w:rsidR="00181EAB" w:rsidRPr="00BB058B">
        <w:rPr>
          <w:rFonts w:ascii="Times New Roman" w:hAnsi="Times New Roman" w:cs="Times New Roman"/>
          <w:b/>
          <w:sz w:val="24"/>
          <w:szCs w:val="24"/>
        </w:rPr>
        <w:t>mart manufacturing</w:t>
      </w:r>
      <w:r w:rsidR="00181EAB" w:rsidRPr="00BB058B">
        <w:rPr>
          <w:rFonts w:ascii="Times New Roman" w:hAnsi="Times New Roman" w:cs="Times New Roman"/>
          <w:sz w:val="24"/>
          <w:szCs w:val="24"/>
        </w:rPr>
        <w:t>—the application of information and communication technologies (ICTs) to every facet of modern manufacturing processes—</w:t>
      </w:r>
      <w:r w:rsidR="009B2BB4">
        <w:rPr>
          <w:rFonts w:ascii="Times New Roman" w:hAnsi="Times New Roman" w:cs="Times New Roman"/>
          <w:sz w:val="24"/>
          <w:szCs w:val="24"/>
        </w:rPr>
        <w:t xml:space="preserve"> that is already</w:t>
      </w:r>
      <w:r w:rsidR="00181EAB" w:rsidRPr="00BB058B">
        <w:rPr>
          <w:rFonts w:ascii="Times New Roman" w:hAnsi="Times New Roman" w:cs="Times New Roman"/>
          <w:sz w:val="24"/>
          <w:szCs w:val="24"/>
        </w:rPr>
        <w:t xml:space="preserve"> transforming the global manufacturing economy. </w:t>
      </w:r>
      <w:r w:rsidR="00126CA1">
        <w:rPr>
          <w:rFonts w:ascii="Times New Roman" w:hAnsi="Times New Roman" w:cs="Times New Roman"/>
          <w:sz w:val="24"/>
          <w:szCs w:val="24"/>
        </w:rPr>
        <w:t>According to these experts, t</w:t>
      </w:r>
      <w:r w:rsidR="005C36CA">
        <w:rPr>
          <w:rFonts w:ascii="Times New Roman" w:hAnsi="Times New Roman" w:cs="Times New Roman"/>
          <w:sz w:val="24"/>
          <w:szCs w:val="24"/>
        </w:rPr>
        <w:t>he Internet of Things (IoT)</w:t>
      </w:r>
      <w:r w:rsidR="0078521C">
        <w:rPr>
          <w:rFonts w:ascii="Times New Roman" w:hAnsi="Times New Roman" w:cs="Times New Roman"/>
          <w:sz w:val="24"/>
          <w:szCs w:val="24"/>
        </w:rPr>
        <w:t xml:space="preserve"> has arrived</w:t>
      </w:r>
      <w:r w:rsidR="005C36CA">
        <w:rPr>
          <w:rFonts w:ascii="Times New Roman" w:hAnsi="Times New Roman" w:cs="Times New Roman"/>
          <w:sz w:val="24"/>
          <w:szCs w:val="24"/>
        </w:rPr>
        <w:t xml:space="preserve">, </w:t>
      </w:r>
      <w:r w:rsidR="0087358C">
        <w:rPr>
          <w:rFonts w:ascii="Times New Roman" w:hAnsi="Times New Roman" w:cs="Times New Roman"/>
          <w:sz w:val="24"/>
          <w:szCs w:val="24"/>
        </w:rPr>
        <w:t xml:space="preserve">named </w:t>
      </w:r>
      <w:r w:rsidR="0087358C" w:rsidRPr="0087358C">
        <w:rPr>
          <w:rFonts w:ascii="Times New Roman" w:hAnsi="Times New Roman" w:cs="Times New Roman"/>
          <w:b/>
          <w:sz w:val="24"/>
          <w:szCs w:val="24"/>
        </w:rPr>
        <w:t>Industry 4.0</w:t>
      </w:r>
      <w:r w:rsidR="0087358C">
        <w:rPr>
          <w:rFonts w:ascii="Times New Roman" w:hAnsi="Times New Roman" w:cs="Times New Roman"/>
          <w:sz w:val="24"/>
          <w:szCs w:val="24"/>
        </w:rPr>
        <w:t xml:space="preserve">, </w:t>
      </w:r>
      <w:r w:rsidR="0078521C">
        <w:rPr>
          <w:rFonts w:ascii="Times New Roman" w:hAnsi="Times New Roman" w:cs="Times New Roman"/>
          <w:sz w:val="24"/>
          <w:szCs w:val="24"/>
        </w:rPr>
        <w:t xml:space="preserve">with </w:t>
      </w:r>
      <w:r w:rsidR="005C36CA">
        <w:rPr>
          <w:rFonts w:ascii="Times New Roman" w:hAnsi="Times New Roman" w:cs="Times New Roman"/>
          <w:sz w:val="24"/>
          <w:szCs w:val="24"/>
        </w:rPr>
        <w:t>intelligent manufacturing</w:t>
      </w:r>
      <w:r w:rsidR="0078521C">
        <w:rPr>
          <w:rFonts w:ascii="Times New Roman" w:hAnsi="Times New Roman" w:cs="Times New Roman"/>
          <w:sz w:val="24"/>
          <w:szCs w:val="24"/>
        </w:rPr>
        <w:t xml:space="preserve"> increasingly becoming the norm in advanced industrial economies</w:t>
      </w:r>
      <w:r w:rsidR="005C36CA">
        <w:rPr>
          <w:rFonts w:ascii="Times New Roman" w:hAnsi="Times New Roman" w:cs="Times New Roman"/>
          <w:sz w:val="24"/>
          <w:szCs w:val="24"/>
        </w:rPr>
        <w:t xml:space="preserve">. </w:t>
      </w:r>
      <w:r w:rsidR="00181EAB" w:rsidRPr="00BB058B">
        <w:rPr>
          <w:rFonts w:ascii="Times New Roman" w:hAnsi="Times New Roman" w:cs="Times New Roman"/>
          <w:sz w:val="24"/>
          <w:szCs w:val="24"/>
        </w:rPr>
        <w:t xml:space="preserve">The digitalization of manufacturing will transform how products are designed, fabricated, used, operated, and serviced post-sale, as much as it will transform the operations, processes, and energy footprint of factories and the management of manufacturing supply chains. </w:t>
      </w:r>
      <w:r w:rsidR="009B2BB4">
        <w:rPr>
          <w:rFonts w:ascii="Times New Roman" w:hAnsi="Times New Roman" w:cs="Times New Roman"/>
          <w:sz w:val="24"/>
          <w:szCs w:val="24"/>
        </w:rPr>
        <w:t xml:space="preserve">What is </w:t>
      </w:r>
      <w:r w:rsidR="009E5BFF">
        <w:rPr>
          <w:rFonts w:ascii="Times New Roman" w:hAnsi="Times New Roman" w:cs="Times New Roman"/>
          <w:sz w:val="24"/>
          <w:szCs w:val="24"/>
        </w:rPr>
        <w:t>disconcert</w:t>
      </w:r>
      <w:r w:rsidR="009B2BB4">
        <w:rPr>
          <w:rFonts w:ascii="Times New Roman" w:hAnsi="Times New Roman" w:cs="Times New Roman"/>
          <w:sz w:val="24"/>
          <w:szCs w:val="24"/>
        </w:rPr>
        <w:t>ing is that i</w:t>
      </w:r>
      <w:r w:rsidR="00181EAB" w:rsidRPr="00BB058B">
        <w:rPr>
          <w:rFonts w:ascii="Times New Roman" w:hAnsi="Times New Roman" w:cs="Times New Roman"/>
          <w:sz w:val="24"/>
          <w:szCs w:val="24"/>
        </w:rPr>
        <w:t>t will also change the global landscape of manufacturing competition, potentially reducing th</w:t>
      </w:r>
      <w:r w:rsidR="00BB058B">
        <w:rPr>
          <w:rFonts w:ascii="Times New Roman" w:hAnsi="Times New Roman" w:cs="Times New Roman"/>
          <w:sz w:val="24"/>
          <w:szCs w:val="24"/>
        </w:rPr>
        <w:t>e relative advantage of low labor-cost exporters like Bangladesh</w:t>
      </w:r>
      <w:r w:rsidR="00181EAB" w:rsidRPr="00BB058B">
        <w:rPr>
          <w:rFonts w:ascii="Times New Roman" w:hAnsi="Times New Roman" w:cs="Times New Roman"/>
          <w:sz w:val="24"/>
          <w:szCs w:val="24"/>
        </w:rPr>
        <w:t xml:space="preserve">. The countries—and enterprises and industries therein—that lead in embracing smart-manufacturing techniques will gain first-mover advantage over global competitors. </w:t>
      </w:r>
      <w:r w:rsidR="00BB058B">
        <w:rPr>
          <w:rFonts w:ascii="Times New Roman" w:hAnsi="Times New Roman" w:cs="Times New Roman"/>
          <w:sz w:val="24"/>
          <w:szCs w:val="24"/>
        </w:rPr>
        <w:t>Therefore, p</w:t>
      </w:r>
      <w:r w:rsidR="00181EAB" w:rsidRPr="00BB058B">
        <w:rPr>
          <w:rFonts w:ascii="Times New Roman" w:hAnsi="Times New Roman" w:cs="Times New Roman"/>
          <w:sz w:val="24"/>
          <w:szCs w:val="24"/>
        </w:rPr>
        <w:t>ublic policy will play a pivotal role in setting the competitive landscape affecting smart manufacturing leadership, impacting everything from how quickly countries’ enterprises will be able to research, develop, adopt, and diffuse these technologies to how ready their workforces and supply chains will be to leverage them.</w:t>
      </w:r>
      <w:r w:rsidR="0087358C">
        <w:rPr>
          <w:rFonts w:ascii="Times New Roman" w:hAnsi="Times New Roman" w:cs="Times New Roman"/>
          <w:sz w:val="24"/>
          <w:szCs w:val="24"/>
        </w:rPr>
        <w:t xml:space="preserve"> Bangladesh policymakers cannot ignore these developments. </w:t>
      </w:r>
    </w:p>
    <w:p w14:paraId="5DCAD5B5" w14:textId="77777777" w:rsidR="00FD65FD" w:rsidRPr="0084024E" w:rsidRDefault="00A62201" w:rsidP="00B54A48">
      <w:pPr>
        <w:widowControl w:val="0"/>
        <w:autoSpaceDE w:val="0"/>
        <w:autoSpaceDN w:val="0"/>
        <w:spacing w:before="100" w:beforeAutospacing="1" w:after="240" w:line="276" w:lineRule="auto"/>
        <w:rPr>
          <w:rFonts w:ascii="Times New Roman" w:eastAsia="Times New Roman" w:hAnsi="Times New Roman" w:cs="Times New Roman"/>
          <w:sz w:val="24"/>
          <w:szCs w:val="24"/>
        </w:rPr>
      </w:pPr>
      <w:r w:rsidRPr="0084024E">
        <w:rPr>
          <w:rFonts w:ascii="Times New Roman" w:hAnsi="Times New Roman" w:cs="Times New Roman"/>
          <w:sz w:val="24"/>
          <w:szCs w:val="24"/>
        </w:rPr>
        <w:t>A sample of the key technological transformations in industry includes:</w:t>
      </w:r>
    </w:p>
    <w:p w14:paraId="49756FDF" w14:textId="77777777" w:rsidR="00B71D49" w:rsidRPr="004B6C71" w:rsidRDefault="00B71D49" w:rsidP="00A42036">
      <w:pPr>
        <w:pStyle w:val="ListParagraph"/>
        <w:numPr>
          <w:ilvl w:val="0"/>
          <w:numId w:val="6"/>
        </w:numPr>
        <w:spacing w:line="276" w:lineRule="auto"/>
        <w:ind w:left="1080" w:right="224"/>
        <w:jc w:val="both"/>
        <w:rPr>
          <w:rFonts w:ascii="Times New Roman" w:hAnsi="Times New Roman" w:cs="Times New Roman"/>
          <w:sz w:val="24"/>
          <w:szCs w:val="24"/>
        </w:rPr>
      </w:pPr>
      <w:r w:rsidRPr="004255D7">
        <w:rPr>
          <w:rFonts w:ascii="Times New Roman" w:hAnsi="Times New Roman" w:cs="Times New Roman"/>
          <w:b/>
          <w:sz w:val="24"/>
          <w:szCs w:val="24"/>
        </w:rPr>
        <w:t>The Internet of Things (IoT)</w:t>
      </w:r>
      <w:r w:rsidR="004B6C71" w:rsidRPr="004B6C71">
        <w:rPr>
          <w:rFonts w:ascii="Times New Roman" w:hAnsi="Times New Roman" w:cs="Times New Roman"/>
          <w:sz w:val="24"/>
          <w:szCs w:val="24"/>
        </w:rPr>
        <w:t>. This</w:t>
      </w:r>
      <w:r w:rsidRPr="004B6C71">
        <w:rPr>
          <w:rFonts w:ascii="Times New Roman" w:hAnsi="Times New Roman" w:cs="Times New Roman"/>
          <w:sz w:val="24"/>
          <w:szCs w:val="24"/>
        </w:rPr>
        <w:t xml:space="preserve"> will bring radical change</w:t>
      </w:r>
      <w:r w:rsidR="004B6C71" w:rsidRPr="004B6C71">
        <w:rPr>
          <w:rFonts w:ascii="Times New Roman" w:hAnsi="Times New Roman" w:cs="Times New Roman"/>
          <w:sz w:val="24"/>
          <w:szCs w:val="24"/>
        </w:rPr>
        <w:t xml:space="preserve">. </w:t>
      </w:r>
      <w:r w:rsidRPr="004B6C71">
        <w:rPr>
          <w:rFonts w:ascii="Times New Roman" w:hAnsi="Times New Roman" w:cs="Times New Roman"/>
          <w:sz w:val="24"/>
          <w:szCs w:val="24"/>
        </w:rPr>
        <w:t xml:space="preserve">The term ‘Internet of Things’ (IoT) refers to the connection of devices and objects to the Internet. Thanks to new sensors and actuators, and in combination with big data analysis and cloud computing, the IoT enables autonomous machines and intelligent systems. The IoT can bring improved process efficiencies, customer service, speed of decision-making, consistency of delivery and transparency/predictability of costs (Vodafone, 2015). </w:t>
      </w:r>
      <w:r w:rsidR="00126CA1">
        <w:rPr>
          <w:rFonts w:ascii="Times New Roman" w:hAnsi="Times New Roman" w:cs="Times New Roman"/>
          <w:sz w:val="24"/>
          <w:szCs w:val="24"/>
        </w:rPr>
        <w:t xml:space="preserve">Beyond production, health services and vehicle efficiency are expected to undergo radical improvements through </w:t>
      </w:r>
      <w:r w:rsidRPr="004B6C71">
        <w:rPr>
          <w:rFonts w:ascii="Times New Roman" w:hAnsi="Times New Roman" w:cs="Times New Roman"/>
          <w:sz w:val="24"/>
          <w:szCs w:val="24"/>
        </w:rPr>
        <w:t>IoT</w:t>
      </w:r>
      <w:r w:rsidR="00126CA1">
        <w:rPr>
          <w:rFonts w:ascii="Times New Roman" w:hAnsi="Times New Roman" w:cs="Times New Roman"/>
          <w:sz w:val="24"/>
          <w:szCs w:val="24"/>
        </w:rPr>
        <w:t>,</w:t>
      </w:r>
      <w:r w:rsidRPr="004B6C71">
        <w:rPr>
          <w:rFonts w:ascii="Times New Roman" w:hAnsi="Times New Roman" w:cs="Times New Roman"/>
          <w:sz w:val="24"/>
          <w:szCs w:val="24"/>
        </w:rPr>
        <w:t xml:space="preserve"> bring</w:t>
      </w:r>
      <w:r w:rsidR="00126CA1">
        <w:rPr>
          <w:rFonts w:ascii="Times New Roman" w:hAnsi="Times New Roman" w:cs="Times New Roman"/>
          <w:sz w:val="24"/>
          <w:szCs w:val="24"/>
        </w:rPr>
        <w:t>ing</w:t>
      </w:r>
      <w:r w:rsidRPr="004B6C71">
        <w:rPr>
          <w:rFonts w:ascii="Times New Roman" w:hAnsi="Times New Roman" w:cs="Times New Roman"/>
          <w:sz w:val="24"/>
          <w:szCs w:val="24"/>
        </w:rPr>
        <w:t xml:space="preserve"> major economic and soc</w:t>
      </w:r>
      <w:r w:rsidR="00126CA1">
        <w:rPr>
          <w:rFonts w:ascii="Times New Roman" w:hAnsi="Times New Roman" w:cs="Times New Roman"/>
          <w:sz w:val="24"/>
          <w:szCs w:val="24"/>
        </w:rPr>
        <w:t>ial benefits</w:t>
      </w:r>
      <w:r w:rsidRPr="004B6C71">
        <w:rPr>
          <w:rFonts w:ascii="Times New Roman" w:hAnsi="Times New Roman" w:cs="Times New Roman"/>
          <w:sz w:val="24"/>
          <w:szCs w:val="24"/>
        </w:rPr>
        <w:t>.</w:t>
      </w:r>
    </w:p>
    <w:p w14:paraId="0C605F2B" w14:textId="457CFCB7" w:rsidR="009E5BFF" w:rsidRDefault="009E5BFF" w:rsidP="00A42036">
      <w:pPr>
        <w:widowControl w:val="0"/>
        <w:numPr>
          <w:ilvl w:val="2"/>
          <w:numId w:val="2"/>
        </w:numPr>
        <w:tabs>
          <w:tab w:val="left" w:pos="672"/>
        </w:tabs>
        <w:autoSpaceDE w:val="0"/>
        <w:autoSpaceDN w:val="0"/>
        <w:spacing w:line="276" w:lineRule="auto"/>
        <w:ind w:left="1080" w:right="108"/>
        <w:jc w:val="both"/>
        <w:rPr>
          <w:rFonts w:ascii="Times New Roman" w:hAnsi="Times New Roman" w:cs="Times New Roman"/>
          <w:sz w:val="24"/>
          <w:szCs w:val="24"/>
        </w:rPr>
      </w:pPr>
      <w:r w:rsidRPr="00600391">
        <w:rPr>
          <w:rFonts w:ascii="Times New Roman" w:hAnsi="Times New Roman" w:cs="Times New Roman"/>
          <w:b/>
          <w:sz w:val="24"/>
          <w:szCs w:val="24"/>
        </w:rPr>
        <w:t>Robots</w:t>
      </w:r>
      <w:r w:rsidRPr="00BB058B">
        <w:rPr>
          <w:rFonts w:ascii="Times New Roman" w:hAnsi="Times New Roman" w:cs="Times New Roman"/>
          <w:sz w:val="24"/>
          <w:szCs w:val="24"/>
        </w:rPr>
        <w:t>, which are set to become more intelligent, autonomous and</w:t>
      </w:r>
      <w:r w:rsidRPr="009E5BFF">
        <w:rPr>
          <w:rFonts w:ascii="Times New Roman" w:hAnsi="Times New Roman" w:cs="Times New Roman"/>
          <w:sz w:val="24"/>
          <w:szCs w:val="24"/>
        </w:rPr>
        <w:t xml:space="preserve"> </w:t>
      </w:r>
      <w:r w:rsidRPr="00BB058B">
        <w:rPr>
          <w:rFonts w:ascii="Times New Roman" w:hAnsi="Times New Roman" w:cs="Times New Roman"/>
          <w:sz w:val="24"/>
          <w:szCs w:val="24"/>
        </w:rPr>
        <w:t xml:space="preserve">agile. </w:t>
      </w:r>
      <w:r w:rsidRPr="009E5BFF">
        <w:rPr>
          <w:rFonts w:ascii="Times New Roman" w:hAnsi="Times New Roman" w:cs="Times New Roman"/>
          <w:sz w:val="24"/>
          <w:szCs w:val="24"/>
        </w:rPr>
        <w:t xml:space="preserve">By being </w:t>
      </w:r>
      <w:r w:rsidRPr="009E5BFF">
        <w:rPr>
          <w:rFonts w:ascii="Times New Roman" w:hAnsi="Times New Roman" w:cs="Times New Roman"/>
          <w:sz w:val="24"/>
          <w:szCs w:val="24"/>
        </w:rPr>
        <w:lastRenderedPageBreak/>
        <w:t xml:space="preserve">faster, stronger, more precise and consistent than workers, robots have vastly raised productivity on assembly lines in the automotive industry. They are likely to do so again in an expanding range of sectors and processes. Companies like Ford, GM, GE, and Wal-Mart, are taking advantage of automation with robotics to deliver better products at lower prices, bringing jobs back from low labor-cost countries to USA, which has a higher quotient of skilled labor to work in collaboration with robots. BCG Research (2015) predicts that by 2025, adoption of advanced Robots will boost productivity by up to 30 percent in many industries and lower total labor costs by 18 percent or more in countries such as South Korea, China, the U.S., Japan, and Germany. </w:t>
      </w:r>
    </w:p>
    <w:p w14:paraId="0A055997" w14:textId="66F7DED5" w:rsidR="00931CB6" w:rsidRPr="009E5BFF" w:rsidRDefault="00B57502" w:rsidP="006674A1">
      <w:pPr>
        <w:spacing w:after="0"/>
        <w:rPr>
          <w:rFonts w:ascii="Times New Roman" w:hAnsi="Times New Roman" w:cs="Times New Roman"/>
          <w:sz w:val="24"/>
          <w:szCs w:val="24"/>
        </w:rPr>
      </w:pPr>
      <w:r>
        <w:rPr>
          <w:noProof/>
        </w:rPr>
        <mc:AlternateContent>
          <mc:Choice Requires="wps">
            <w:drawing>
              <wp:anchor distT="45720" distB="45720" distL="114300" distR="114300" simplePos="0" relativeHeight="251664384" behindDoc="0" locked="0" layoutInCell="1" allowOverlap="1" wp14:anchorId="13BAAF13" wp14:editId="5715AC31">
                <wp:simplePos x="0" y="0"/>
                <wp:positionH relativeFrom="margin">
                  <wp:align>right</wp:align>
                </wp:positionH>
                <wp:positionV relativeFrom="paragraph">
                  <wp:posOffset>173990</wp:posOffset>
                </wp:positionV>
                <wp:extent cx="5506720" cy="5883910"/>
                <wp:effectExtent l="0" t="0" r="1778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883965"/>
                        </a:xfrm>
                        <a:prstGeom prst="rect">
                          <a:avLst/>
                        </a:prstGeom>
                        <a:solidFill>
                          <a:srgbClr val="F1E2D3"/>
                        </a:solidFill>
                        <a:ln w="9525">
                          <a:solidFill>
                            <a:srgbClr val="000000"/>
                          </a:solidFill>
                          <a:miter lim="800000"/>
                          <a:headEnd/>
                          <a:tailEnd/>
                        </a:ln>
                      </wps:spPr>
                      <wps:txbx>
                        <w:txbxContent>
                          <w:p w14:paraId="41F54DB4" w14:textId="33185C1B" w:rsidR="00BF4C93" w:rsidRPr="00383E4C" w:rsidRDefault="00BF4C93" w:rsidP="00383E4C">
                            <w:pPr>
                              <w:pStyle w:val="Heading6"/>
                            </w:pPr>
                            <w:bookmarkStart w:id="10" w:name="_Toc496536553"/>
                            <w:r w:rsidRPr="00383E4C">
                              <w:t>Box 1: Robots Replacing Humans in Garments Manufacturing!</w:t>
                            </w:r>
                            <w:bookmarkEnd w:id="10"/>
                          </w:p>
                          <w:p w14:paraId="7AB2C5DC" w14:textId="27F5B89E" w:rsidR="00BF4C93" w:rsidRPr="00055051" w:rsidRDefault="00BF4C93" w:rsidP="00B54A48">
                            <w:pPr>
                              <w:jc w:val="both"/>
                              <w:rPr>
                                <w:rFonts w:ascii="Times New Roman" w:hAnsi="Times New Roman" w:cs="Times New Roman"/>
                              </w:rPr>
                            </w:pPr>
                            <w:r w:rsidRPr="00055051">
                              <w:rPr>
                                <w:rFonts w:ascii="Times New Roman" w:hAnsi="Times New Roman" w:cs="Times New Roman"/>
                              </w:rPr>
                              <w:t xml:space="preserve">The transformative impact of the Fourth Industrial Revolution is all around. Society is already being redesigned by new technologies that combine the physical, digital and biological worlds. Disruptive technologies such as robotics and artificial intelligence (AI) are already altering workplaces. Bangladeshi companies have started using robotic machines in their factories, replacing hundreds of repetitive tasks and compelling workers to skill up. Emerging technologies will continue to serve consumers with better precision and efficiency. Such disruption calls for a reboot in thinking vis-à-vis future of manufacturing and employment. </w:t>
                            </w:r>
                          </w:p>
                          <w:p w14:paraId="375D7019" w14:textId="77777777" w:rsidR="00BF4C93" w:rsidRPr="00055051" w:rsidRDefault="00BF4C93" w:rsidP="00B54A48">
                            <w:pPr>
                              <w:jc w:val="both"/>
                              <w:rPr>
                                <w:rFonts w:ascii="Times New Roman" w:hAnsi="Times New Roman" w:cs="Times New Roman"/>
                              </w:rPr>
                            </w:pPr>
                            <w:r w:rsidRPr="00055051">
                              <w:rPr>
                                <w:rFonts w:ascii="Times New Roman" w:hAnsi="Times New Roman" w:cs="Times New Roman"/>
                              </w:rPr>
                              <w:t xml:space="preserve">Sewbot, robot that can sew together a complete item of clothing, could replace labor in the manufacture of low-cost garments. Sewbot–SoftWear Automation’s clothes-making robot–was developed at Georgia Tech’s Advanced Technology Development Center. In 2012, there was push to develop the concept and form a company to commercialize the technology. By 2015, the company was selling a more basic version of the robot that could make bath mats and towels. The newest version can make T-shirts and partially sew jeans. Other, yet similar, technologies to further develop Sewbot-type machines are in the pipeline across different research centers. </w:t>
                            </w:r>
                          </w:p>
                          <w:p w14:paraId="16A24D92" w14:textId="77777777" w:rsidR="00BF4C93" w:rsidRPr="00055051" w:rsidRDefault="00BF4C93" w:rsidP="00B54A48">
                            <w:pPr>
                              <w:jc w:val="both"/>
                              <w:rPr>
                                <w:rFonts w:ascii="Times New Roman" w:hAnsi="Times New Roman" w:cs="Times New Roman"/>
                              </w:rPr>
                            </w:pPr>
                            <w:r w:rsidRPr="00055051">
                              <w:rPr>
                                <w:rFonts w:ascii="Times New Roman" w:hAnsi="Times New Roman" w:cs="Times New Roman"/>
                              </w:rPr>
                              <w:t>When the Chinese clothing manufacturer Tianyuan Garments Company opens its newest factory, it will be in Arkansas, not China, and instead of workers hunched over sewing machines, the factory will be filled with fully autonomous robots and their human supervisors. Once the system is fully operational, each of the 21 production lines in the factory will be capable of making 1.2 million T-shirts a year, at a total cost of production that can compete in terms of cost with apparel companies that manufacture and ship clothing from the lowest-wage countries in the developing world, such as Bangladesh. The factory will be one of the first to use a technology that could herald immense changes in how the apparel industry works.</w:t>
                            </w:r>
                          </w:p>
                          <w:p w14:paraId="6B868F63" w14:textId="77777777" w:rsidR="00BF4C93" w:rsidRPr="00055051" w:rsidRDefault="00BF4C93" w:rsidP="00B54A48">
                            <w:pPr>
                              <w:jc w:val="both"/>
                              <w:rPr>
                                <w:rFonts w:ascii="Times New Roman" w:hAnsi="Times New Roman" w:cs="Times New Roman"/>
                              </w:rPr>
                            </w:pPr>
                            <w:r w:rsidRPr="00055051">
                              <w:rPr>
                                <w:rFonts w:ascii="Times New Roman" w:hAnsi="Times New Roman" w:cs="Times New Roman"/>
                              </w:rPr>
                              <w:t xml:space="preserve">Sewing robots will lead to a transition from garment-worker intensive apparel sector to automation of clothes-making. The transition may be messy but as the robots become cheaper and more sophisticated it will most likely replace clothes-making jobs in high volumes. This revolutionary change will threaten jobs in developing countries. In Bangladesh, where there are cheap garment workers, the majority of the country’s exports are clothing. If companies like H&amp;M and Walmart choose to relocate production of some apparel to North America and Europe, workers in Bangladesh and other low-wage countries will most likely lose jobs – an alarming prospect indeed. </w:t>
                            </w:r>
                          </w:p>
                          <w:p w14:paraId="48A990AA" w14:textId="595A3F88" w:rsidR="00BF4C93" w:rsidRPr="00055051" w:rsidRDefault="00BF4C93" w:rsidP="00B54A48">
                            <w:pPr>
                              <w:jc w:val="both"/>
                              <w:rPr>
                                <w:rFonts w:ascii="Times New Roman" w:hAnsi="Times New Roman" w:cs="Times New Roman"/>
                                <w:i/>
                              </w:rPr>
                            </w:pPr>
                            <w:r w:rsidRPr="00055051">
                              <w:rPr>
                                <w:rFonts w:ascii="Times New Roman" w:hAnsi="Times New Roman" w:cs="Times New Roman"/>
                                <w:b/>
                                <w:i/>
                              </w:rPr>
                              <w:t xml:space="preserve">Source: </w:t>
                            </w:r>
                            <w:r w:rsidRPr="00055051">
                              <w:rPr>
                                <w:rFonts w:ascii="Times New Roman" w:hAnsi="Times New Roman" w:cs="Times New Roman"/>
                                <w:i/>
                              </w:rPr>
                              <w:t>Adapted from Sewbot website (2016), Softwear Automation website (2017), World Economic Forum (2017), Mjølner Informatics (2017), and articles from The Telegraph, Fast Company and Dhaka Tribune.</w:t>
                            </w:r>
                          </w:p>
                          <w:p w14:paraId="2437AF65" w14:textId="77777777" w:rsidR="00BF4C93" w:rsidRPr="00EA6EF8" w:rsidRDefault="00BF4C93" w:rsidP="00AE7100">
                            <w:pPr>
                              <w:rPr>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AAF13" id="_x0000_s1028" type="#_x0000_t202" style="position:absolute;margin-left:382.4pt;margin-top:13.7pt;width:433.6pt;height:463.3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" fillcolor="#f1e2d3">
                <v:textbox>
                  <w:txbxContent>
                    <w:p w14:paraId="41F54DB4" w14:textId="33185C1B" w:rsidR="00BF4C93" w:rsidRPr="00383E4C" w:rsidRDefault="00BF4C93" w:rsidP="00383E4C">
                      <w:pPr>
                        <w:pStyle w:val="Heading6"/>
                      </w:pPr>
                      <w:bookmarkStart w:id="11" w:name="_Toc496536553"/>
                      <w:r w:rsidRPr="00383E4C">
                        <w:t>Box 1: Robots Replacing Humans in Garments Manufacturing!</w:t>
                      </w:r>
                      <w:bookmarkEnd w:id="11"/>
                    </w:p>
                    <w:p w14:paraId="7AB2C5DC" w14:textId="27F5B89E" w:rsidR="00BF4C93" w:rsidRPr="00055051" w:rsidRDefault="00BF4C93" w:rsidP="00B54A48">
                      <w:pPr>
                        <w:jc w:val="both"/>
                        <w:rPr>
                          <w:rFonts w:ascii="Times New Roman" w:hAnsi="Times New Roman" w:cs="Times New Roman"/>
                        </w:rPr>
                      </w:pPr>
                      <w:r w:rsidRPr="00055051">
                        <w:rPr>
                          <w:rFonts w:ascii="Times New Roman" w:hAnsi="Times New Roman" w:cs="Times New Roman"/>
                        </w:rPr>
                        <w:t xml:space="preserve">The transformative impact of the Fourth Industrial Revolution is all around. Society is already being redesigned by new technologies that combine the physical, digital and biological worlds. Disruptive technologies such as robotics and artificial intelligence (AI) are already altering workplaces. Bangladeshi companies have started using robotic machines in their factories, replacing hundreds of repetitive tasks and compelling workers to skill up. Emerging technologies will continue to serve consumers with better precision and efficiency. Such disruption calls for a reboot in thinking vis-à-vis future of manufacturing and employment. </w:t>
                      </w:r>
                    </w:p>
                    <w:p w14:paraId="375D7019" w14:textId="77777777" w:rsidR="00BF4C93" w:rsidRPr="00055051" w:rsidRDefault="00BF4C93" w:rsidP="00B54A48">
                      <w:pPr>
                        <w:jc w:val="both"/>
                        <w:rPr>
                          <w:rFonts w:ascii="Times New Roman" w:hAnsi="Times New Roman" w:cs="Times New Roman"/>
                        </w:rPr>
                      </w:pPr>
                      <w:r w:rsidRPr="00055051">
                        <w:rPr>
                          <w:rFonts w:ascii="Times New Roman" w:hAnsi="Times New Roman" w:cs="Times New Roman"/>
                        </w:rPr>
                        <w:t xml:space="preserve">Sewbot, robot that can sew together a complete item of clothing, could replace labor in the manufacture of low-cost garments. Sewbot–SoftWear Automation’s clothes-making robot–was developed at Georgia Tech’s Advanced Technology Development Center. In 2012, there was push to develop the concept and form a company to commercialize the technology. By 2015, the company was selling a more basic version of the robot that could make bath mats and towels. The newest version can make T-shirts and partially sew jeans. Other, yet similar, technologies to further develop Sewbot-type machines are in the pipeline across different research centers. </w:t>
                      </w:r>
                    </w:p>
                    <w:p w14:paraId="16A24D92" w14:textId="77777777" w:rsidR="00BF4C93" w:rsidRPr="00055051" w:rsidRDefault="00BF4C93" w:rsidP="00B54A48">
                      <w:pPr>
                        <w:jc w:val="both"/>
                        <w:rPr>
                          <w:rFonts w:ascii="Times New Roman" w:hAnsi="Times New Roman" w:cs="Times New Roman"/>
                        </w:rPr>
                      </w:pPr>
                      <w:r w:rsidRPr="00055051">
                        <w:rPr>
                          <w:rFonts w:ascii="Times New Roman" w:hAnsi="Times New Roman" w:cs="Times New Roman"/>
                        </w:rPr>
                        <w:t>When the Chinese clothing manufacturer Tianyuan Garments Company opens its newest factory, it will be in Arkansas, not China, and instead of workers hunched over sewing machines, the factory will be filled with fully autonomous robots and their human supervisors. Once the system is fully operational, each of the 21 production lines in the factory will be capable of making 1.2 million T-shirts a year, at a total cost of production that can compete in terms of cost with apparel companies that manufacture and ship clothing from the lowest-wage countries in the developing world, such as Bangladesh. The factory will be one of the first to use a technology that could herald immense changes in how the apparel industry works.</w:t>
                      </w:r>
                    </w:p>
                    <w:p w14:paraId="6B868F63" w14:textId="77777777" w:rsidR="00BF4C93" w:rsidRPr="00055051" w:rsidRDefault="00BF4C93" w:rsidP="00B54A48">
                      <w:pPr>
                        <w:jc w:val="both"/>
                        <w:rPr>
                          <w:rFonts w:ascii="Times New Roman" w:hAnsi="Times New Roman" w:cs="Times New Roman"/>
                        </w:rPr>
                      </w:pPr>
                      <w:r w:rsidRPr="00055051">
                        <w:rPr>
                          <w:rFonts w:ascii="Times New Roman" w:hAnsi="Times New Roman" w:cs="Times New Roman"/>
                        </w:rPr>
                        <w:t xml:space="preserve">Sewing robots will lead to a transition from garment-worker intensive apparel sector to automation of clothes-making. The transition may be messy but as the robots become cheaper and more sophisticated it will most likely replace clothes-making jobs in high volumes. This revolutionary change will threaten jobs in developing countries. In Bangladesh, where there are cheap garment workers, the majority of the country’s exports are clothing. If companies like H&amp;M and Walmart choose to relocate production of some apparel to North America and Europe, workers in Bangladesh and other low-wage countries will most likely lose jobs – an alarming prospect indeed. </w:t>
                      </w:r>
                    </w:p>
                    <w:p w14:paraId="48A990AA" w14:textId="595A3F88" w:rsidR="00BF4C93" w:rsidRPr="00055051" w:rsidRDefault="00BF4C93" w:rsidP="00B54A48">
                      <w:pPr>
                        <w:jc w:val="both"/>
                        <w:rPr>
                          <w:rFonts w:ascii="Times New Roman" w:hAnsi="Times New Roman" w:cs="Times New Roman"/>
                          <w:i/>
                        </w:rPr>
                      </w:pPr>
                      <w:r w:rsidRPr="00055051">
                        <w:rPr>
                          <w:rFonts w:ascii="Times New Roman" w:hAnsi="Times New Roman" w:cs="Times New Roman"/>
                          <w:b/>
                          <w:i/>
                        </w:rPr>
                        <w:t xml:space="preserve">Source: </w:t>
                      </w:r>
                      <w:r w:rsidRPr="00055051">
                        <w:rPr>
                          <w:rFonts w:ascii="Times New Roman" w:hAnsi="Times New Roman" w:cs="Times New Roman"/>
                          <w:i/>
                        </w:rPr>
                        <w:t>Adapted from Sewbot website (2016), Softwear Automation website (2017), World Economic Forum (2017), Mjølner Informatics (2017), and articles from The Telegraph, Fast Company and Dhaka Tribune.</w:t>
                      </w:r>
                    </w:p>
                    <w:p w14:paraId="2437AF65" w14:textId="77777777" w:rsidR="00BF4C93" w:rsidRPr="00EA6EF8" w:rsidRDefault="00BF4C93" w:rsidP="00AE7100">
                      <w:pPr>
                        <w:rPr>
                          <w:b/>
                          <w:i/>
                        </w:rPr>
                      </w:pPr>
                    </w:p>
                  </w:txbxContent>
                </v:textbox>
                <w10:wrap type="square" anchorx="margin"/>
              </v:shape>
            </w:pict>
          </mc:Fallback>
        </mc:AlternateContent>
      </w:r>
    </w:p>
    <w:p w14:paraId="0A4AAD28" w14:textId="77777777" w:rsidR="00FD65FD" w:rsidRPr="00BB058B" w:rsidRDefault="00FD65FD" w:rsidP="00A42036">
      <w:pPr>
        <w:widowControl w:val="0"/>
        <w:numPr>
          <w:ilvl w:val="2"/>
          <w:numId w:val="2"/>
        </w:numPr>
        <w:tabs>
          <w:tab w:val="left" w:pos="672"/>
        </w:tabs>
        <w:autoSpaceDE w:val="0"/>
        <w:autoSpaceDN w:val="0"/>
        <w:spacing w:line="276" w:lineRule="auto"/>
        <w:ind w:left="1080" w:right="108"/>
        <w:jc w:val="both"/>
        <w:rPr>
          <w:rFonts w:ascii="Times New Roman" w:hAnsi="Times New Roman" w:cs="Times New Roman"/>
          <w:sz w:val="24"/>
          <w:szCs w:val="24"/>
        </w:rPr>
      </w:pPr>
      <w:r w:rsidRPr="00B54A48">
        <w:rPr>
          <w:rFonts w:ascii="Times New Roman" w:hAnsi="Times New Roman" w:cs="Times New Roman"/>
          <w:b/>
          <w:sz w:val="24"/>
          <w:szCs w:val="24"/>
        </w:rPr>
        <w:lastRenderedPageBreak/>
        <w:t>Nanotechnology,</w:t>
      </w:r>
      <w:r w:rsidRPr="00BB058B">
        <w:rPr>
          <w:rFonts w:ascii="Times New Roman" w:hAnsi="Times New Roman" w:cs="Times New Roman"/>
          <w:sz w:val="24"/>
          <w:szCs w:val="24"/>
        </w:rPr>
        <w:t xml:space="preserve"> through which new properties are being imparted to materials, making them stronger, lighter, more electrically conductive, more sieve-like, and so</w:t>
      </w:r>
      <w:r w:rsidRPr="00B54A48">
        <w:rPr>
          <w:rFonts w:ascii="Times New Roman" w:hAnsi="Times New Roman" w:cs="Times New Roman"/>
          <w:sz w:val="24"/>
          <w:szCs w:val="24"/>
        </w:rPr>
        <w:t xml:space="preserve"> </w:t>
      </w:r>
      <w:r w:rsidRPr="00BB058B">
        <w:rPr>
          <w:rFonts w:ascii="Times New Roman" w:hAnsi="Times New Roman" w:cs="Times New Roman"/>
          <w:sz w:val="24"/>
          <w:szCs w:val="24"/>
        </w:rPr>
        <w:t>on.</w:t>
      </w:r>
    </w:p>
    <w:p w14:paraId="6DE18CF4" w14:textId="0E7A2536" w:rsidR="0070692B" w:rsidRPr="00B54A48" w:rsidRDefault="0070692B" w:rsidP="00A42036">
      <w:pPr>
        <w:widowControl w:val="0"/>
        <w:numPr>
          <w:ilvl w:val="2"/>
          <w:numId w:val="2"/>
        </w:numPr>
        <w:tabs>
          <w:tab w:val="left" w:pos="672"/>
        </w:tabs>
        <w:autoSpaceDE w:val="0"/>
        <w:autoSpaceDN w:val="0"/>
        <w:spacing w:line="276" w:lineRule="auto"/>
        <w:ind w:left="1080" w:right="108"/>
        <w:jc w:val="both"/>
        <w:rPr>
          <w:rFonts w:ascii="Times New Roman" w:hAnsi="Times New Roman" w:cs="Times New Roman"/>
          <w:sz w:val="24"/>
          <w:szCs w:val="24"/>
        </w:rPr>
      </w:pPr>
      <w:r w:rsidRPr="00B54A48">
        <w:rPr>
          <w:rFonts w:ascii="Times New Roman" w:hAnsi="Times New Roman" w:cs="Times New Roman"/>
          <w:b/>
          <w:sz w:val="24"/>
          <w:szCs w:val="24"/>
        </w:rPr>
        <w:t>3D printing</w:t>
      </w:r>
      <w:r w:rsidRPr="00B54A48">
        <w:rPr>
          <w:rFonts w:ascii="Times New Roman" w:hAnsi="Times New Roman" w:cs="Times New Roman"/>
          <w:sz w:val="24"/>
          <w:szCs w:val="24"/>
        </w:rPr>
        <w:t xml:space="preserve"> </w:t>
      </w:r>
      <w:r w:rsidRPr="0070692B">
        <w:rPr>
          <w:rFonts w:ascii="Times New Roman" w:hAnsi="Times New Roman" w:cs="Times New Roman"/>
          <w:sz w:val="24"/>
          <w:szCs w:val="24"/>
        </w:rPr>
        <w:t xml:space="preserve">includes a group of technologies and processes that use a digital file to build a physical three-dimensional object using additive manufacturing. </w:t>
      </w:r>
      <w:r w:rsidRPr="00B54A48">
        <w:rPr>
          <w:rFonts w:ascii="Times New Roman" w:hAnsi="Times New Roman" w:cs="Times New Roman"/>
          <w:sz w:val="24"/>
          <w:szCs w:val="24"/>
        </w:rPr>
        <w:t xml:space="preserve">3D printing makes it as cheap to create single items as it is to produce thousands and thus undermines </w:t>
      </w:r>
      <w:hyperlink r:id="rId18" w:tooltip="Economies of scale" w:history="1">
        <w:r w:rsidRPr="00B54A48">
          <w:rPr>
            <w:rFonts w:ascii="Times New Roman" w:hAnsi="Times New Roman" w:cs="Times New Roman"/>
            <w:sz w:val="24"/>
            <w:szCs w:val="24"/>
          </w:rPr>
          <w:t>economies of scale</w:t>
        </w:r>
      </w:hyperlink>
      <w:r w:rsidR="005678ED" w:rsidRPr="00B54A48">
        <w:rPr>
          <w:rFonts w:ascii="Times New Roman" w:hAnsi="Times New Roman" w:cs="Times New Roman"/>
          <w:sz w:val="24"/>
          <w:szCs w:val="24"/>
        </w:rPr>
        <w:t xml:space="preserve"> (Wikipedia)</w:t>
      </w:r>
      <w:r w:rsidRPr="00B54A48">
        <w:rPr>
          <w:rFonts w:ascii="Times New Roman" w:hAnsi="Times New Roman" w:cs="Times New Roman"/>
          <w:sz w:val="24"/>
          <w:szCs w:val="24"/>
        </w:rPr>
        <w:t xml:space="preserve">. </w:t>
      </w:r>
      <w:r w:rsidRPr="0070692B">
        <w:rPr>
          <w:rFonts w:ascii="Times New Roman" w:hAnsi="Times New Roman" w:cs="Times New Roman"/>
          <w:sz w:val="24"/>
          <w:szCs w:val="24"/>
        </w:rPr>
        <w:t>3D printing already permits printing of complex objects (such as an electric battery) that embody multiple structures made from different</w:t>
      </w:r>
      <w:r w:rsidRPr="00B54A48">
        <w:rPr>
          <w:rFonts w:ascii="Times New Roman" w:hAnsi="Times New Roman" w:cs="Times New Roman"/>
          <w:sz w:val="24"/>
          <w:szCs w:val="24"/>
        </w:rPr>
        <w:t xml:space="preserve"> </w:t>
      </w:r>
      <w:r w:rsidRPr="0070692B">
        <w:rPr>
          <w:rFonts w:ascii="Times New Roman" w:hAnsi="Times New Roman" w:cs="Times New Roman"/>
          <w:sz w:val="24"/>
          <w:szCs w:val="24"/>
        </w:rPr>
        <w:t xml:space="preserve">materials. 3D printing could augment manufacturing productivity, although today the technology is most economical for small quantities of complex customized products. </w:t>
      </w:r>
      <w:r>
        <w:rPr>
          <w:rFonts w:ascii="Times New Roman" w:hAnsi="Times New Roman" w:cs="Times New Roman"/>
          <w:sz w:val="24"/>
          <w:szCs w:val="24"/>
        </w:rPr>
        <w:t xml:space="preserve">According to </w:t>
      </w:r>
      <w:r w:rsidRPr="00B54A48">
        <w:rPr>
          <w:rFonts w:ascii="Times New Roman" w:hAnsi="Times New Roman" w:cs="Times New Roman"/>
          <w:sz w:val="24"/>
          <w:szCs w:val="24"/>
        </w:rPr>
        <w:t>The Economist</w:t>
      </w:r>
      <w:r>
        <w:rPr>
          <w:rFonts w:ascii="Times New Roman" w:hAnsi="Times New Roman" w:cs="Times New Roman"/>
          <w:sz w:val="24"/>
          <w:szCs w:val="24"/>
        </w:rPr>
        <w:t xml:space="preserve"> (</w:t>
      </w:r>
      <w:r w:rsidRPr="00B54A48">
        <w:rPr>
          <w:rFonts w:ascii="Times New Roman" w:hAnsi="Times New Roman" w:cs="Times New Roman"/>
          <w:sz w:val="24"/>
          <w:szCs w:val="24"/>
        </w:rPr>
        <w:t xml:space="preserve">February 10, 2011 leader) it may have as profound an impact on the world as the coming of the </w:t>
      </w:r>
      <w:hyperlink r:id="rId19" w:tooltip="History of the steam engine" w:history="1">
        <w:r w:rsidRPr="00B54A48">
          <w:rPr>
            <w:rFonts w:ascii="Times New Roman" w:hAnsi="Times New Roman" w:cs="Times New Roman"/>
            <w:sz w:val="24"/>
            <w:szCs w:val="24"/>
          </w:rPr>
          <w:t>steam engine in 1750</w:t>
        </w:r>
      </w:hyperlink>
      <w:r w:rsidRPr="00B54A48">
        <w:rPr>
          <w:rFonts w:ascii="Times New Roman" w:hAnsi="Times New Roman" w:cs="Times New Roman"/>
          <w:sz w:val="24"/>
          <w:szCs w:val="24"/>
        </w:rPr>
        <w:t xml:space="preserve">—or the </w:t>
      </w:r>
      <w:hyperlink r:id="rId20" w:tooltip="Global spread of the printing press" w:history="1">
        <w:r w:rsidRPr="00B54A48">
          <w:rPr>
            <w:rFonts w:ascii="Times New Roman" w:hAnsi="Times New Roman" w:cs="Times New Roman"/>
            <w:sz w:val="24"/>
            <w:szCs w:val="24"/>
          </w:rPr>
          <w:t>printing press in 1450</w:t>
        </w:r>
      </w:hyperlink>
      <w:r w:rsidRPr="00B54A48">
        <w:rPr>
          <w:rFonts w:ascii="Times New Roman" w:hAnsi="Times New Roman" w:cs="Times New Roman"/>
          <w:sz w:val="24"/>
          <w:szCs w:val="24"/>
        </w:rPr>
        <w:t xml:space="preserve">, or the </w:t>
      </w:r>
      <w:hyperlink r:id="rId21" w:tooltip="History of the transistor" w:history="1">
        <w:r w:rsidRPr="00B54A48">
          <w:rPr>
            <w:rFonts w:ascii="Times New Roman" w:hAnsi="Times New Roman" w:cs="Times New Roman"/>
            <w:sz w:val="24"/>
            <w:szCs w:val="24"/>
          </w:rPr>
          <w:t>transistor in 1950</w:t>
        </w:r>
      </w:hyperlink>
      <w:r w:rsidRPr="00B54A48">
        <w:rPr>
          <w:rFonts w:ascii="Times New Roman" w:hAnsi="Times New Roman" w:cs="Times New Roman"/>
          <w:sz w:val="24"/>
          <w:szCs w:val="24"/>
        </w:rPr>
        <w:t>. It is impossible to foresee the long-term impact of 3D printing. But the technology is coming, and it is likely to disrupt every field it touches.</w:t>
      </w:r>
    </w:p>
    <w:p w14:paraId="49D458D8" w14:textId="15AA10FE" w:rsidR="0023335D" w:rsidRPr="009E5BFF" w:rsidRDefault="0023335D" w:rsidP="00A42036">
      <w:pPr>
        <w:widowControl w:val="0"/>
        <w:numPr>
          <w:ilvl w:val="2"/>
          <w:numId w:val="2"/>
        </w:numPr>
        <w:tabs>
          <w:tab w:val="left" w:pos="672"/>
        </w:tabs>
        <w:autoSpaceDE w:val="0"/>
        <w:autoSpaceDN w:val="0"/>
        <w:spacing w:line="276" w:lineRule="auto"/>
        <w:ind w:left="1080" w:right="108"/>
        <w:jc w:val="both"/>
        <w:rPr>
          <w:rFonts w:ascii="Times New Roman" w:hAnsi="Times New Roman" w:cs="Times New Roman"/>
          <w:sz w:val="24"/>
          <w:szCs w:val="24"/>
        </w:rPr>
      </w:pPr>
      <w:r w:rsidRPr="00B54A48">
        <w:rPr>
          <w:rFonts w:ascii="Times New Roman" w:hAnsi="Times New Roman" w:cs="Times New Roman"/>
          <w:b/>
          <w:sz w:val="24"/>
          <w:szCs w:val="24"/>
        </w:rPr>
        <w:t>Cloud computing</w:t>
      </w:r>
      <w:r w:rsidRPr="009E5BFF">
        <w:rPr>
          <w:rFonts w:ascii="Times New Roman" w:hAnsi="Times New Roman" w:cs="Times New Roman"/>
          <w:sz w:val="24"/>
          <w:szCs w:val="24"/>
        </w:rPr>
        <w:t xml:space="preserve"> has been credited with increasing competitiveness through cost reduction, greater flexibility, elasticity and optimal resource utilization. It is raising manufacturing productivity through interlinked supply chain, distribution and services. Cloud computing is accelerating new product development and introduction (NPDI) strategies to attain time-to-</w:t>
      </w:r>
      <w:r w:rsidR="003E2BED">
        <w:rPr>
          <w:rFonts w:ascii="Times New Roman" w:hAnsi="Times New Roman" w:cs="Times New Roman"/>
          <w:sz w:val="24"/>
          <w:szCs w:val="24"/>
        </w:rPr>
        <w:t>market objectives, and enabling,</w:t>
      </w:r>
      <w:r w:rsidRPr="009E5BFF">
        <w:rPr>
          <w:rFonts w:ascii="Times New Roman" w:hAnsi="Times New Roman" w:cs="Times New Roman"/>
          <w:sz w:val="24"/>
          <w:szCs w:val="24"/>
        </w:rPr>
        <w:t xml:space="preserve"> marketing and customer s</w:t>
      </w:r>
      <w:r>
        <w:rPr>
          <w:rFonts w:ascii="Times New Roman" w:hAnsi="Times New Roman" w:cs="Times New Roman"/>
          <w:sz w:val="24"/>
          <w:szCs w:val="24"/>
        </w:rPr>
        <w:t>ervice automation applications.</w:t>
      </w:r>
    </w:p>
    <w:p w14:paraId="00E95A0A" w14:textId="77777777" w:rsidR="00637AD3" w:rsidRDefault="004D3BF1" w:rsidP="00637AD3">
      <w:pPr>
        <w:tabs>
          <w:tab w:val="left" w:pos="831"/>
        </w:tabs>
        <w:ind w:left="360" w:right="108" w:firstLine="81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inline distT="0" distB="0" distL="0" distR="0" wp14:anchorId="23A277A2" wp14:editId="1C1BDD7D">
                <wp:extent cx="4972685" cy="3695700"/>
                <wp:effectExtent l="0" t="0" r="18415" b="1905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685" cy="3695700"/>
                        </a:xfrm>
                        <a:prstGeom prst="rect">
                          <a:avLst/>
                        </a:prstGeom>
                        <a:solidFill>
                          <a:srgbClr val="F1E2D3"/>
                        </a:solidFill>
                        <a:ln w="9525">
                          <a:solidFill>
                            <a:srgbClr val="000000"/>
                          </a:solidFill>
                          <a:miter lim="800000"/>
                          <a:headEnd/>
                          <a:tailEnd/>
                        </a:ln>
                      </wps:spPr>
                      <wps:txbx>
                        <w:txbxContent>
                          <w:p w14:paraId="01CDBE9B" w14:textId="7D87EAC8" w:rsidR="00BF4C93" w:rsidRPr="00B54A48" w:rsidRDefault="00BF4C93" w:rsidP="00383E4C">
                            <w:pPr>
                              <w:pStyle w:val="Heading6"/>
                            </w:pPr>
                            <w:bookmarkStart w:id="12" w:name="_Toc496536554"/>
                            <w:r w:rsidRPr="00B54A48">
                              <w:t>Box 2</w:t>
                            </w:r>
                            <w:r>
                              <w:t>:</w:t>
                            </w:r>
                            <w:r w:rsidRPr="00B54A48">
                              <w:t xml:space="preserve"> Applications of 3D Printing in Industrial Production</w:t>
                            </w:r>
                            <w:bookmarkEnd w:id="12"/>
                          </w:p>
                          <w:p w14:paraId="4D15DECE" w14:textId="77777777" w:rsidR="00BF4C93" w:rsidRPr="00970527" w:rsidRDefault="00BF4C93" w:rsidP="00284A69">
                            <w:pPr>
                              <w:spacing w:line="240" w:lineRule="auto"/>
                              <w:jc w:val="both"/>
                              <w:rPr>
                                <w:rFonts w:ascii="Times New Roman" w:hAnsi="Times New Roman" w:cs="Times New Roman"/>
                              </w:rPr>
                            </w:pPr>
                            <w:r w:rsidRPr="00970527">
                              <w:rPr>
                                <w:rFonts w:ascii="Times New Roman" w:hAnsi="Times New Roman" w:cs="Times New Roman"/>
                                <w:b/>
                              </w:rPr>
                              <w:t>Apparel and footwear.</w:t>
                            </w:r>
                            <w:r w:rsidRPr="00970527">
                              <w:rPr>
                                <w:rFonts w:ascii="Times New Roman" w:hAnsi="Times New Roman" w:cs="Times New Roman"/>
                              </w:rPr>
                              <w:t xml:space="preserve"> 3D printing has entered the world of clothing with fashion designers experimenting with 3D-printed bikinis, shoes, and dresses. In commercial production Nike is using 3D printing to prototype and manufacture the 2012 Vapor Laser Talon football shoe for players of American football, and New Balance is 3D manufacturing custom-fit shoes for athletes.</w:t>
                            </w:r>
                          </w:p>
                          <w:p w14:paraId="5B115BE7" w14:textId="77777777" w:rsidR="00BF4C93" w:rsidRPr="00970527" w:rsidRDefault="00BF4C93" w:rsidP="00284A69">
                            <w:pPr>
                              <w:spacing w:line="240" w:lineRule="auto"/>
                              <w:jc w:val="both"/>
                              <w:rPr>
                                <w:rFonts w:ascii="Times New Roman" w:hAnsi="Times New Roman" w:cs="Times New Roman"/>
                              </w:rPr>
                            </w:pPr>
                            <w:r w:rsidRPr="00970527">
                              <w:rPr>
                                <w:rFonts w:ascii="Times New Roman" w:hAnsi="Times New Roman" w:cs="Times New Roman"/>
                                <w:b/>
                              </w:rPr>
                              <w:t>High fashion.</w:t>
                            </w:r>
                            <w:r w:rsidRPr="00970527">
                              <w:rPr>
                                <w:rFonts w:ascii="Times New Roman" w:hAnsi="Times New Roman" w:cs="Times New Roman"/>
                              </w:rPr>
                              <w:t xml:space="preserve"> In the world of high fashion courtiers such as </w:t>
                            </w:r>
                            <w:hyperlink r:id="rId22" w:tooltip="Karl Lagerfeld" w:history="1">
                              <w:r w:rsidRPr="00970527">
                                <w:rPr>
                                  <w:rStyle w:val="Hyperlink"/>
                                  <w:rFonts w:ascii="Times New Roman" w:hAnsi="Times New Roman" w:cs="Times New Roman"/>
                                </w:rPr>
                                <w:t>Karl Lagerfeld</w:t>
                              </w:r>
                            </w:hyperlink>
                            <w:r w:rsidRPr="00970527">
                              <w:rPr>
                                <w:rFonts w:ascii="Times New Roman" w:hAnsi="Times New Roman" w:cs="Times New Roman"/>
                              </w:rPr>
                              <w:t xml:space="preserve"> designing for </w:t>
                            </w:r>
                            <w:hyperlink r:id="rId23" w:tooltip="Chanel" w:history="1">
                              <w:r w:rsidRPr="00970527">
                                <w:rPr>
                                  <w:rStyle w:val="Hyperlink"/>
                                  <w:rFonts w:ascii="Times New Roman" w:hAnsi="Times New Roman" w:cs="Times New Roman"/>
                                </w:rPr>
                                <w:t>Chanel</w:t>
                              </w:r>
                            </w:hyperlink>
                            <w:r w:rsidRPr="00970527">
                              <w:rPr>
                                <w:rFonts w:ascii="Times New Roman" w:hAnsi="Times New Roman" w:cs="Times New Roman"/>
                              </w:rPr>
                              <w:t xml:space="preserve">, </w:t>
                            </w:r>
                            <w:hyperlink r:id="rId24" w:tooltip="Iris van Herpen" w:history="1">
                              <w:r w:rsidRPr="00970527">
                                <w:rPr>
                                  <w:rStyle w:val="Hyperlink"/>
                                  <w:rFonts w:ascii="Times New Roman" w:hAnsi="Times New Roman" w:cs="Times New Roman"/>
                                </w:rPr>
                                <w:t>Iris van Herpen</w:t>
                              </w:r>
                            </w:hyperlink>
                            <w:r w:rsidRPr="00970527">
                              <w:rPr>
                                <w:rFonts w:ascii="Times New Roman" w:hAnsi="Times New Roman" w:cs="Times New Roman"/>
                              </w:rPr>
                              <w:t xml:space="preserve"> and </w:t>
                            </w:r>
                            <w:hyperlink r:id="rId25" w:tooltip="Noa Raviv" w:history="1">
                              <w:r w:rsidRPr="00970527">
                                <w:rPr>
                                  <w:rStyle w:val="Hyperlink"/>
                                  <w:rFonts w:ascii="Times New Roman" w:hAnsi="Times New Roman" w:cs="Times New Roman"/>
                                </w:rPr>
                                <w:t>Noa Raviv</w:t>
                              </w:r>
                            </w:hyperlink>
                            <w:r w:rsidRPr="00970527">
                              <w:rPr>
                                <w:rFonts w:ascii="Times New Roman" w:hAnsi="Times New Roman" w:cs="Times New Roman"/>
                              </w:rPr>
                              <w:t xml:space="preserve"> working with technology from </w:t>
                            </w:r>
                            <w:hyperlink r:id="rId26" w:tooltip="Stratasys" w:history="1">
                              <w:r w:rsidRPr="00970527">
                                <w:rPr>
                                  <w:rStyle w:val="Hyperlink"/>
                                  <w:rFonts w:ascii="Times New Roman" w:hAnsi="Times New Roman" w:cs="Times New Roman"/>
                                </w:rPr>
                                <w:t>Stratasys</w:t>
                              </w:r>
                            </w:hyperlink>
                            <w:r w:rsidRPr="00970527">
                              <w:rPr>
                                <w:rFonts w:ascii="Times New Roman" w:hAnsi="Times New Roman" w:cs="Times New Roman"/>
                              </w:rPr>
                              <w:t xml:space="preserve">, have employed and featured 3d printing in their collections. </w:t>
                            </w:r>
                          </w:p>
                          <w:p w14:paraId="43FFA04F" w14:textId="77777777" w:rsidR="00BF4C93" w:rsidRPr="00970527" w:rsidRDefault="00BF4C93" w:rsidP="00284A69">
                            <w:pPr>
                              <w:spacing w:line="240" w:lineRule="auto"/>
                              <w:jc w:val="both"/>
                              <w:rPr>
                                <w:rFonts w:ascii="Times New Roman" w:hAnsi="Times New Roman" w:cs="Times New Roman"/>
                              </w:rPr>
                            </w:pPr>
                            <w:r w:rsidRPr="00970527">
                              <w:rPr>
                                <w:rFonts w:ascii="Times New Roman" w:hAnsi="Times New Roman" w:cs="Times New Roman"/>
                                <w:b/>
                              </w:rPr>
                              <w:t>Eyewear.</w:t>
                            </w:r>
                            <w:r w:rsidRPr="00970527">
                              <w:rPr>
                                <w:rFonts w:ascii="Times New Roman" w:hAnsi="Times New Roman" w:cs="Times New Roman"/>
                              </w:rPr>
                              <w:t xml:space="preserve"> 3D printing has come to the point where companies are printing consumer grade eyewear with on-demand custom fit and styling (although they cannot print the lenses). On-demand customization of glasses is possible with rapid prototyping. </w:t>
                            </w:r>
                          </w:p>
                          <w:p w14:paraId="40B5C60C" w14:textId="77777777" w:rsidR="00BF4C93" w:rsidRPr="00970527" w:rsidRDefault="00BF4C93" w:rsidP="00284A69">
                            <w:pPr>
                              <w:spacing w:line="240" w:lineRule="auto"/>
                              <w:jc w:val="both"/>
                              <w:rPr>
                                <w:rFonts w:ascii="Times New Roman" w:hAnsi="Times New Roman" w:cs="Times New Roman"/>
                              </w:rPr>
                            </w:pPr>
                            <w:r w:rsidRPr="00284A69">
                              <w:rPr>
                                <w:rFonts w:ascii="Times New Roman" w:hAnsi="Times New Roman" w:cs="Times New Roman"/>
                                <w:b/>
                              </w:rPr>
                              <w:t>Industrial Art and Jewelry.</w:t>
                            </w:r>
                            <w:r w:rsidRPr="00970527">
                              <w:rPr>
                                <w:rFonts w:ascii="Times New Roman" w:hAnsi="Times New Roman" w:cs="Times New Roman"/>
                              </w:rPr>
                              <w:t xml:space="preserve"> 3D printing is used to manufacture mouldes for making jewelry, and even the jewelry itself. 3D printing is becoming popular in the customizable gifts industry, with products such as personalized models of art and dolls, in many shapes: in metal or plastic, or as consumable art, such as 3D printed chocolate. </w:t>
                            </w:r>
                          </w:p>
                          <w:p w14:paraId="187BA1EA" w14:textId="5B313AE3" w:rsidR="00BF4C93" w:rsidRPr="00970527" w:rsidRDefault="00BF4C93" w:rsidP="00284A69">
                            <w:pPr>
                              <w:spacing w:line="240" w:lineRule="auto"/>
                              <w:jc w:val="both"/>
                              <w:rPr>
                                <w:rFonts w:ascii="Times New Roman" w:hAnsi="Times New Roman" w:cs="Times New Roman"/>
                              </w:rPr>
                            </w:pPr>
                            <w:r w:rsidRPr="00284A69">
                              <w:rPr>
                                <w:rFonts w:ascii="Times New Roman" w:hAnsi="Times New Roman" w:cs="Times New Roman"/>
                                <w:b/>
                              </w:rPr>
                              <w:t>Automotive industry</w:t>
                            </w:r>
                            <w:r w:rsidRPr="00970527">
                              <w:rPr>
                                <w:rFonts w:ascii="Times New Roman" w:hAnsi="Times New Roman" w:cs="Times New Roman"/>
                              </w:rPr>
                              <w:t xml:space="preserve">. In early 2014, Swedish </w:t>
                            </w:r>
                            <w:hyperlink r:id="rId27" w:tooltip="Supercar" w:history="1">
                              <w:r w:rsidRPr="00970527">
                                <w:rPr>
                                  <w:rStyle w:val="Hyperlink"/>
                                  <w:rFonts w:ascii="Times New Roman" w:hAnsi="Times New Roman" w:cs="Times New Roman"/>
                                </w:rPr>
                                <w:t>supercar</w:t>
                              </w:r>
                            </w:hyperlink>
                            <w:r w:rsidRPr="00970527">
                              <w:rPr>
                                <w:rFonts w:ascii="Times New Roman" w:hAnsi="Times New Roman" w:cs="Times New Roman"/>
                              </w:rPr>
                              <w:t xml:space="preserve"> manufacturer </w:t>
                            </w:r>
                            <w:hyperlink r:id="rId28" w:tooltip="Koenigsegg" w:history="1">
                              <w:r w:rsidRPr="00970527">
                                <w:rPr>
                                  <w:rStyle w:val="Hyperlink"/>
                                  <w:rFonts w:ascii="Times New Roman" w:hAnsi="Times New Roman" w:cs="Times New Roman"/>
                                </w:rPr>
                                <w:t>Koenigsegg</w:t>
                              </w:r>
                            </w:hyperlink>
                            <w:r w:rsidRPr="00970527">
                              <w:rPr>
                                <w:rFonts w:ascii="Times New Roman" w:hAnsi="Times New Roman" w:cs="Times New Roman"/>
                              </w:rPr>
                              <w:t xml:space="preserve"> announced the One:</w:t>
                            </w:r>
                            <w:r>
                              <w:rPr>
                                <w:rFonts w:ascii="Times New Roman" w:hAnsi="Times New Roman" w:cs="Times New Roman"/>
                              </w:rPr>
                              <w:t xml:space="preserve"> </w:t>
                            </w:r>
                            <w:r w:rsidRPr="00970527">
                              <w:rPr>
                                <w:rFonts w:ascii="Times New Roman" w:hAnsi="Times New Roman" w:cs="Times New Roman"/>
                              </w:rPr>
                              <w:t>1, a supercar that utilizes many components that were 3D printed. In the limited run of vehicles Koenigsegg produces, the One:</w:t>
                            </w:r>
                            <w:r>
                              <w:rPr>
                                <w:rFonts w:ascii="Times New Roman" w:hAnsi="Times New Roman" w:cs="Times New Roman"/>
                              </w:rPr>
                              <w:t xml:space="preserve"> </w:t>
                            </w:r>
                            <w:r w:rsidRPr="00970527">
                              <w:rPr>
                                <w:rFonts w:ascii="Times New Roman" w:hAnsi="Times New Roman" w:cs="Times New Roman"/>
                              </w:rPr>
                              <w:t>1 has side-mirror internals, air ducts, titanium exhaust components, and complete turbocharger assemblies that were 3D printed as part of the manufacturing process.</w:t>
                            </w:r>
                          </w:p>
                          <w:p w14:paraId="59FF4288" w14:textId="77777777" w:rsidR="00BF4C93" w:rsidRDefault="00BF4C93" w:rsidP="00284A69">
                            <w:pPr>
                              <w:spacing w:line="240" w:lineRule="auto"/>
                            </w:pPr>
                          </w:p>
                        </w:txbxContent>
                      </wps:txbx>
                      <wps:bodyPr rot="0" vert="horz" wrap="square" lIns="91440" tIns="45720" rIns="91440" bIns="45720" anchor="t" anchorCtr="0">
                        <a:noAutofit/>
                      </wps:bodyPr>
                    </wps:wsp>
                  </a:graphicData>
                </a:graphic>
              </wp:inline>
            </w:drawing>
          </mc:Choice>
          <mc:Fallback>
            <w:pict>
              <v:shape w14:anchorId="23A277A2" id="Text Box 2" o:spid="_x0000_s1029" type="#_x0000_t202" style="width:391.55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" fillcolor="#f1e2d3">
                <v:textbox>
                  <w:txbxContent>
                    <w:p w14:paraId="01CDBE9B" w14:textId="7D87EAC8" w:rsidR="00BF4C93" w:rsidRPr="00B54A48" w:rsidRDefault="00BF4C93" w:rsidP="00383E4C">
                      <w:pPr>
                        <w:pStyle w:val="Heading6"/>
                      </w:pPr>
                      <w:bookmarkStart w:id="13" w:name="_Toc496536554"/>
                      <w:r w:rsidRPr="00B54A48">
                        <w:t>Box 2</w:t>
                      </w:r>
                      <w:r>
                        <w:t>:</w:t>
                      </w:r>
                      <w:r w:rsidRPr="00B54A48">
                        <w:t xml:space="preserve"> Applications of 3D Printing in Industrial Production</w:t>
                      </w:r>
                      <w:bookmarkEnd w:id="13"/>
                    </w:p>
                    <w:p w14:paraId="4D15DECE" w14:textId="77777777" w:rsidR="00BF4C93" w:rsidRPr="00970527" w:rsidRDefault="00BF4C93" w:rsidP="00284A69">
                      <w:pPr>
                        <w:spacing w:line="240" w:lineRule="auto"/>
                        <w:jc w:val="both"/>
                        <w:rPr>
                          <w:rFonts w:ascii="Times New Roman" w:hAnsi="Times New Roman" w:cs="Times New Roman"/>
                        </w:rPr>
                      </w:pPr>
                      <w:r w:rsidRPr="00970527">
                        <w:rPr>
                          <w:rFonts w:ascii="Times New Roman" w:hAnsi="Times New Roman" w:cs="Times New Roman"/>
                          <w:b/>
                        </w:rPr>
                        <w:t>Apparel and footwear.</w:t>
                      </w:r>
                      <w:r w:rsidRPr="00970527">
                        <w:rPr>
                          <w:rFonts w:ascii="Times New Roman" w:hAnsi="Times New Roman" w:cs="Times New Roman"/>
                        </w:rPr>
                        <w:t xml:space="preserve"> 3D printing has entered the world of clothing with fashion designers experimenting with 3D-printed bikinis, shoes, and dresses. In commercial production Nike is using 3D printing to prototype and manufacture the 2012 Vapor Laser Talon football shoe for players of American football, and New Balance is 3D manufacturing custom-fit shoes for athletes.</w:t>
                      </w:r>
                    </w:p>
                    <w:p w14:paraId="5B115BE7" w14:textId="77777777" w:rsidR="00BF4C93" w:rsidRPr="00970527" w:rsidRDefault="00BF4C93" w:rsidP="00284A69">
                      <w:pPr>
                        <w:spacing w:line="240" w:lineRule="auto"/>
                        <w:jc w:val="both"/>
                        <w:rPr>
                          <w:rFonts w:ascii="Times New Roman" w:hAnsi="Times New Roman" w:cs="Times New Roman"/>
                        </w:rPr>
                      </w:pPr>
                      <w:r w:rsidRPr="00970527">
                        <w:rPr>
                          <w:rFonts w:ascii="Times New Roman" w:hAnsi="Times New Roman" w:cs="Times New Roman"/>
                          <w:b/>
                        </w:rPr>
                        <w:t>High fashion.</w:t>
                      </w:r>
                      <w:r w:rsidRPr="00970527">
                        <w:rPr>
                          <w:rFonts w:ascii="Times New Roman" w:hAnsi="Times New Roman" w:cs="Times New Roman"/>
                        </w:rPr>
                        <w:t xml:space="preserve"> In the world of high fashion courtiers such as </w:t>
                      </w:r>
                      <w:hyperlink r:id="rId29" w:tooltip="Karl Lagerfeld" w:history="1">
                        <w:r w:rsidRPr="00970527">
                          <w:rPr>
                            <w:rStyle w:val="Hyperlink"/>
                            <w:rFonts w:ascii="Times New Roman" w:hAnsi="Times New Roman" w:cs="Times New Roman"/>
                          </w:rPr>
                          <w:t>Karl Lagerfeld</w:t>
                        </w:r>
                      </w:hyperlink>
                      <w:r w:rsidRPr="00970527">
                        <w:rPr>
                          <w:rFonts w:ascii="Times New Roman" w:hAnsi="Times New Roman" w:cs="Times New Roman"/>
                        </w:rPr>
                        <w:t xml:space="preserve"> designing for </w:t>
                      </w:r>
                      <w:hyperlink r:id="rId30" w:tooltip="Chanel" w:history="1">
                        <w:r w:rsidRPr="00970527">
                          <w:rPr>
                            <w:rStyle w:val="Hyperlink"/>
                            <w:rFonts w:ascii="Times New Roman" w:hAnsi="Times New Roman" w:cs="Times New Roman"/>
                          </w:rPr>
                          <w:t>Chanel</w:t>
                        </w:r>
                      </w:hyperlink>
                      <w:r w:rsidRPr="00970527">
                        <w:rPr>
                          <w:rFonts w:ascii="Times New Roman" w:hAnsi="Times New Roman" w:cs="Times New Roman"/>
                        </w:rPr>
                        <w:t xml:space="preserve">, </w:t>
                      </w:r>
                      <w:hyperlink r:id="rId31" w:tooltip="Iris van Herpen" w:history="1">
                        <w:r w:rsidRPr="00970527">
                          <w:rPr>
                            <w:rStyle w:val="Hyperlink"/>
                            <w:rFonts w:ascii="Times New Roman" w:hAnsi="Times New Roman" w:cs="Times New Roman"/>
                          </w:rPr>
                          <w:t>Iris van Herpen</w:t>
                        </w:r>
                      </w:hyperlink>
                      <w:r w:rsidRPr="00970527">
                        <w:rPr>
                          <w:rFonts w:ascii="Times New Roman" w:hAnsi="Times New Roman" w:cs="Times New Roman"/>
                        </w:rPr>
                        <w:t xml:space="preserve"> and </w:t>
                      </w:r>
                      <w:hyperlink r:id="rId32" w:tooltip="Noa Raviv" w:history="1">
                        <w:r w:rsidRPr="00970527">
                          <w:rPr>
                            <w:rStyle w:val="Hyperlink"/>
                            <w:rFonts w:ascii="Times New Roman" w:hAnsi="Times New Roman" w:cs="Times New Roman"/>
                          </w:rPr>
                          <w:t>Noa Raviv</w:t>
                        </w:r>
                      </w:hyperlink>
                      <w:r w:rsidRPr="00970527">
                        <w:rPr>
                          <w:rFonts w:ascii="Times New Roman" w:hAnsi="Times New Roman" w:cs="Times New Roman"/>
                        </w:rPr>
                        <w:t xml:space="preserve"> working with technology from </w:t>
                      </w:r>
                      <w:hyperlink r:id="rId33" w:tooltip="Stratasys" w:history="1">
                        <w:r w:rsidRPr="00970527">
                          <w:rPr>
                            <w:rStyle w:val="Hyperlink"/>
                            <w:rFonts w:ascii="Times New Roman" w:hAnsi="Times New Roman" w:cs="Times New Roman"/>
                          </w:rPr>
                          <w:t>Stratasys</w:t>
                        </w:r>
                      </w:hyperlink>
                      <w:r w:rsidRPr="00970527">
                        <w:rPr>
                          <w:rFonts w:ascii="Times New Roman" w:hAnsi="Times New Roman" w:cs="Times New Roman"/>
                        </w:rPr>
                        <w:t xml:space="preserve">, have employed and featured 3d printing in their collections. </w:t>
                      </w:r>
                    </w:p>
                    <w:p w14:paraId="43FFA04F" w14:textId="77777777" w:rsidR="00BF4C93" w:rsidRPr="00970527" w:rsidRDefault="00BF4C93" w:rsidP="00284A69">
                      <w:pPr>
                        <w:spacing w:line="240" w:lineRule="auto"/>
                        <w:jc w:val="both"/>
                        <w:rPr>
                          <w:rFonts w:ascii="Times New Roman" w:hAnsi="Times New Roman" w:cs="Times New Roman"/>
                        </w:rPr>
                      </w:pPr>
                      <w:r w:rsidRPr="00970527">
                        <w:rPr>
                          <w:rFonts w:ascii="Times New Roman" w:hAnsi="Times New Roman" w:cs="Times New Roman"/>
                          <w:b/>
                        </w:rPr>
                        <w:t>Eyewear.</w:t>
                      </w:r>
                      <w:r w:rsidRPr="00970527">
                        <w:rPr>
                          <w:rFonts w:ascii="Times New Roman" w:hAnsi="Times New Roman" w:cs="Times New Roman"/>
                        </w:rPr>
                        <w:t xml:space="preserve"> 3D printing has come to the point where companies are printing consumer grade eyewear with on-demand custom fit and styling (although they cannot print the lenses). On-demand customization of glasses is possible with rapid prototyping. </w:t>
                      </w:r>
                    </w:p>
                    <w:p w14:paraId="40B5C60C" w14:textId="77777777" w:rsidR="00BF4C93" w:rsidRPr="00970527" w:rsidRDefault="00BF4C93" w:rsidP="00284A69">
                      <w:pPr>
                        <w:spacing w:line="240" w:lineRule="auto"/>
                        <w:jc w:val="both"/>
                        <w:rPr>
                          <w:rFonts w:ascii="Times New Roman" w:hAnsi="Times New Roman" w:cs="Times New Roman"/>
                        </w:rPr>
                      </w:pPr>
                      <w:r w:rsidRPr="00284A69">
                        <w:rPr>
                          <w:rFonts w:ascii="Times New Roman" w:hAnsi="Times New Roman" w:cs="Times New Roman"/>
                          <w:b/>
                        </w:rPr>
                        <w:t>Industrial Art and Jewelry.</w:t>
                      </w:r>
                      <w:r w:rsidRPr="00970527">
                        <w:rPr>
                          <w:rFonts w:ascii="Times New Roman" w:hAnsi="Times New Roman" w:cs="Times New Roman"/>
                        </w:rPr>
                        <w:t xml:space="preserve"> 3D printing is used to manufacture mouldes for making jewelry, and even the jewelry itself. 3D printing is becoming popular in the customizable gifts industry, with products such as personalized models of art and dolls, in many shapes: in metal or plastic, or as consumable art, such as 3D printed chocolate. </w:t>
                      </w:r>
                    </w:p>
                    <w:p w14:paraId="187BA1EA" w14:textId="5B313AE3" w:rsidR="00BF4C93" w:rsidRPr="00970527" w:rsidRDefault="00BF4C93" w:rsidP="00284A69">
                      <w:pPr>
                        <w:spacing w:line="240" w:lineRule="auto"/>
                        <w:jc w:val="both"/>
                        <w:rPr>
                          <w:rFonts w:ascii="Times New Roman" w:hAnsi="Times New Roman" w:cs="Times New Roman"/>
                        </w:rPr>
                      </w:pPr>
                      <w:r w:rsidRPr="00284A69">
                        <w:rPr>
                          <w:rFonts w:ascii="Times New Roman" w:hAnsi="Times New Roman" w:cs="Times New Roman"/>
                          <w:b/>
                        </w:rPr>
                        <w:t>Automotive industry</w:t>
                      </w:r>
                      <w:r w:rsidRPr="00970527">
                        <w:rPr>
                          <w:rFonts w:ascii="Times New Roman" w:hAnsi="Times New Roman" w:cs="Times New Roman"/>
                        </w:rPr>
                        <w:t xml:space="preserve">. In early 2014, Swedish </w:t>
                      </w:r>
                      <w:hyperlink r:id="rId34" w:tooltip="Supercar" w:history="1">
                        <w:r w:rsidRPr="00970527">
                          <w:rPr>
                            <w:rStyle w:val="Hyperlink"/>
                            <w:rFonts w:ascii="Times New Roman" w:hAnsi="Times New Roman" w:cs="Times New Roman"/>
                          </w:rPr>
                          <w:t>supercar</w:t>
                        </w:r>
                      </w:hyperlink>
                      <w:r w:rsidRPr="00970527">
                        <w:rPr>
                          <w:rFonts w:ascii="Times New Roman" w:hAnsi="Times New Roman" w:cs="Times New Roman"/>
                        </w:rPr>
                        <w:t xml:space="preserve"> manufacturer </w:t>
                      </w:r>
                      <w:hyperlink r:id="rId35" w:tooltip="Koenigsegg" w:history="1">
                        <w:r w:rsidRPr="00970527">
                          <w:rPr>
                            <w:rStyle w:val="Hyperlink"/>
                            <w:rFonts w:ascii="Times New Roman" w:hAnsi="Times New Roman" w:cs="Times New Roman"/>
                          </w:rPr>
                          <w:t>Koenigsegg</w:t>
                        </w:r>
                      </w:hyperlink>
                      <w:r w:rsidRPr="00970527">
                        <w:rPr>
                          <w:rFonts w:ascii="Times New Roman" w:hAnsi="Times New Roman" w:cs="Times New Roman"/>
                        </w:rPr>
                        <w:t xml:space="preserve"> announced the One:</w:t>
                      </w:r>
                      <w:r>
                        <w:rPr>
                          <w:rFonts w:ascii="Times New Roman" w:hAnsi="Times New Roman" w:cs="Times New Roman"/>
                        </w:rPr>
                        <w:t xml:space="preserve"> </w:t>
                      </w:r>
                      <w:r w:rsidRPr="00970527">
                        <w:rPr>
                          <w:rFonts w:ascii="Times New Roman" w:hAnsi="Times New Roman" w:cs="Times New Roman"/>
                        </w:rPr>
                        <w:t>1, a supercar that utilizes many components that were 3D printed. In the limited run of vehicles Koenigsegg produces, the One:</w:t>
                      </w:r>
                      <w:r>
                        <w:rPr>
                          <w:rFonts w:ascii="Times New Roman" w:hAnsi="Times New Roman" w:cs="Times New Roman"/>
                        </w:rPr>
                        <w:t xml:space="preserve"> </w:t>
                      </w:r>
                      <w:r w:rsidRPr="00970527">
                        <w:rPr>
                          <w:rFonts w:ascii="Times New Roman" w:hAnsi="Times New Roman" w:cs="Times New Roman"/>
                        </w:rPr>
                        <w:t>1 has side-mirror internals, air ducts, titanium exhaust components, and complete turbocharger assemblies that were 3D printed as part of the manufacturing process.</w:t>
                      </w:r>
                    </w:p>
                    <w:p w14:paraId="59FF4288" w14:textId="77777777" w:rsidR="00BF4C93" w:rsidRDefault="00BF4C93" w:rsidP="00284A69">
                      <w:pPr>
                        <w:spacing w:line="240" w:lineRule="auto"/>
                      </w:pPr>
                    </w:p>
                  </w:txbxContent>
                </v:textbox>
                <w10:anchorlock/>
              </v:shape>
            </w:pict>
          </mc:Fallback>
        </mc:AlternateContent>
      </w:r>
    </w:p>
    <w:p w14:paraId="132FEC9B" w14:textId="77777777" w:rsidR="00E2284A" w:rsidRDefault="00FD65FD" w:rsidP="00B54A48">
      <w:pPr>
        <w:tabs>
          <w:tab w:val="left" w:pos="831"/>
        </w:tabs>
        <w:spacing w:after="240" w:line="276" w:lineRule="auto"/>
        <w:ind w:right="108"/>
        <w:jc w:val="both"/>
        <w:rPr>
          <w:rFonts w:ascii="Times New Roman" w:hAnsi="Times New Roman" w:cs="Times New Roman"/>
          <w:sz w:val="24"/>
          <w:szCs w:val="24"/>
        </w:rPr>
      </w:pPr>
      <w:r w:rsidRPr="00FD65FD">
        <w:rPr>
          <w:rFonts w:ascii="Times New Roman" w:hAnsi="Times New Roman" w:cs="Times New Roman"/>
          <w:sz w:val="24"/>
          <w:szCs w:val="24"/>
        </w:rPr>
        <w:lastRenderedPageBreak/>
        <w:t xml:space="preserve">The effect of technological change </w:t>
      </w:r>
      <w:r w:rsidR="0084024E">
        <w:rPr>
          <w:rFonts w:ascii="Times New Roman" w:hAnsi="Times New Roman" w:cs="Times New Roman"/>
          <w:sz w:val="24"/>
          <w:szCs w:val="24"/>
        </w:rPr>
        <w:t xml:space="preserve">in industry and other economic activities </w:t>
      </w:r>
      <w:r w:rsidRPr="00FD65FD">
        <w:rPr>
          <w:rFonts w:ascii="Times New Roman" w:hAnsi="Times New Roman" w:cs="Times New Roman"/>
          <w:sz w:val="24"/>
          <w:szCs w:val="24"/>
        </w:rPr>
        <w:t>on employment and earnings inequality has recently drawn increased attention from academics and</w:t>
      </w:r>
      <w:r w:rsidRPr="00FD65FD">
        <w:rPr>
          <w:rFonts w:ascii="Times New Roman" w:hAnsi="Times New Roman" w:cs="Times New Roman"/>
          <w:spacing w:val="-20"/>
          <w:sz w:val="24"/>
          <w:szCs w:val="24"/>
        </w:rPr>
        <w:t xml:space="preserve"> </w:t>
      </w:r>
      <w:r w:rsidRPr="00FD65FD">
        <w:rPr>
          <w:rFonts w:ascii="Times New Roman" w:hAnsi="Times New Roman" w:cs="Times New Roman"/>
          <w:sz w:val="24"/>
          <w:szCs w:val="24"/>
        </w:rPr>
        <w:t>policymakers.</w:t>
      </w:r>
      <w:r w:rsidR="0084024E">
        <w:rPr>
          <w:rFonts w:ascii="Times New Roman" w:hAnsi="Times New Roman" w:cs="Times New Roman"/>
          <w:sz w:val="24"/>
          <w:szCs w:val="24"/>
        </w:rPr>
        <w:t xml:space="preserve"> </w:t>
      </w:r>
      <w:r w:rsidR="00E2284A">
        <w:rPr>
          <w:rFonts w:ascii="Times New Roman" w:hAnsi="Times New Roman" w:cs="Times New Roman"/>
          <w:sz w:val="24"/>
          <w:szCs w:val="24"/>
        </w:rPr>
        <w:t>Given current state of technology in Bangladesh manufacturing, t</w:t>
      </w:r>
      <w:r w:rsidR="00BD5D40">
        <w:rPr>
          <w:rFonts w:ascii="Times New Roman" w:hAnsi="Times New Roman" w:cs="Times New Roman"/>
          <w:sz w:val="24"/>
          <w:szCs w:val="24"/>
        </w:rPr>
        <w:t xml:space="preserve">he major impact of these technological transformation is likely to be felt in the 2030s decade, with creeping technological evolution in the 2020s. </w:t>
      </w:r>
      <w:r w:rsidR="00E2284A">
        <w:rPr>
          <w:rFonts w:ascii="Times New Roman" w:hAnsi="Times New Roman" w:cs="Times New Roman"/>
          <w:sz w:val="24"/>
          <w:szCs w:val="24"/>
        </w:rPr>
        <w:t xml:space="preserve">Industrial policies </w:t>
      </w:r>
      <w:r w:rsidR="009F1FF7">
        <w:rPr>
          <w:rFonts w:ascii="Times New Roman" w:hAnsi="Times New Roman" w:cs="Times New Roman"/>
          <w:sz w:val="24"/>
          <w:szCs w:val="24"/>
        </w:rPr>
        <w:t>of today</w:t>
      </w:r>
      <w:r w:rsidR="001C7EDC">
        <w:rPr>
          <w:rFonts w:ascii="Times New Roman" w:hAnsi="Times New Roman" w:cs="Times New Roman"/>
          <w:sz w:val="24"/>
          <w:szCs w:val="24"/>
        </w:rPr>
        <w:t xml:space="preserve"> </w:t>
      </w:r>
      <w:r w:rsidR="00E2284A">
        <w:rPr>
          <w:rFonts w:ascii="Times New Roman" w:hAnsi="Times New Roman" w:cs="Times New Roman"/>
          <w:sz w:val="24"/>
          <w:szCs w:val="24"/>
        </w:rPr>
        <w:t>will have to take note of these impending developments</w:t>
      </w:r>
      <w:r w:rsidR="0087358C">
        <w:rPr>
          <w:rFonts w:ascii="Times New Roman" w:hAnsi="Times New Roman" w:cs="Times New Roman"/>
          <w:sz w:val="24"/>
          <w:szCs w:val="24"/>
        </w:rPr>
        <w:t xml:space="preserve"> though one may hope optimistically that Bangladesh’s labor cost advantage will remain unaffected for at least another decade</w:t>
      </w:r>
      <w:r w:rsidR="00E2284A">
        <w:rPr>
          <w:rFonts w:ascii="Times New Roman" w:hAnsi="Times New Roman" w:cs="Times New Roman"/>
          <w:sz w:val="24"/>
          <w:szCs w:val="24"/>
        </w:rPr>
        <w:t xml:space="preserve">. </w:t>
      </w:r>
    </w:p>
    <w:p w14:paraId="3094A7EA" w14:textId="77777777" w:rsidR="00FD65FD" w:rsidRDefault="00C2798A" w:rsidP="00B54A48">
      <w:pPr>
        <w:tabs>
          <w:tab w:val="left" w:pos="831"/>
        </w:tabs>
        <w:spacing w:after="240" w:line="276" w:lineRule="auto"/>
        <w:ind w:right="108"/>
        <w:jc w:val="both"/>
        <w:rPr>
          <w:rFonts w:ascii="Times New Roman" w:hAnsi="Times New Roman" w:cs="Times New Roman"/>
          <w:sz w:val="24"/>
          <w:szCs w:val="24"/>
        </w:rPr>
      </w:pPr>
      <w:r>
        <w:rPr>
          <w:rFonts w:ascii="Times New Roman" w:hAnsi="Times New Roman" w:cs="Times New Roman"/>
          <w:sz w:val="24"/>
          <w:szCs w:val="24"/>
        </w:rPr>
        <w:t>Contrary to popular belief, research o</w:t>
      </w:r>
      <w:r w:rsidR="00054B26" w:rsidRPr="00B54A48">
        <w:rPr>
          <w:rFonts w:ascii="Times New Roman" w:hAnsi="Times New Roman" w:cs="Times New Roman"/>
          <w:sz w:val="24"/>
          <w:szCs w:val="24"/>
        </w:rPr>
        <w:t>n firms and industries</w:t>
      </w:r>
      <w:r w:rsidRPr="00B54A48">
        <w:rPr>
          <w:rFonts w:ascii="Times New Roman" w:hAnsi="Times New Roman" w:cs="Times New Roman"/>
          <w:sz w:val="24"/>
          <w:szCs w:val="24"/>
        </w:rPr>
        <w:t xml:space="preserve"> </w:t>
      </w:r>
      <w:r w:rsidRPr="00C2798A">
        <w:rPr>
          <w:rFonts w:ascii="Times New Roman" w:hAnsi="Times New Roman" w:cs="Times New Roman"/>
          <w:sz w:val="24"/>
          <w:szCs w:val="24"/>
        </w:rPr>
        <w:t xml:space="preserve">(Miller and Atkinson, 2013) </w:t>
      </w:r>
      <w:r w:rsidRPr="00B54A48">
        <w:rPr>
          <w:rFonts w:ascii="Times New Roman" w:hAnsi="Times New Roman" w:cs="Times New Roman"/>
          <w:sz w:val="24"/>
          <w:szCs w:val="24"/>
        </w:rPr>
        <w:t>shows that</w:t>
      </w:r>
      <w:r w:rsidR="00054B26" w:rsidRPr="00B54A48">
        <w:rPr>
          <w:rFonts w:ascii="Times New Roman" w:hAnsi="Times New Roman" w:cs="Times New Roman"/>
          <w:sz w:val="24"/>
          <w:szCs w:val="24"/>
        </w:rPr>
        <w:t xml:space="preserve"> the employment effects of technological change are generally positive</w:t>
      </w:r>
      <w:r w:rsidRPr="00B54A48">
        <w:rPr>
          <w:rFonts w:ascii="Times New Roman" w:hAnsi="Times New Roman" w:cs="Times New Roman"/>
          <w:sz w:val="24"/>
          <w:szCs w:val="24"/>
        </w:rPr>
        <w:t xml:space="preserve"> </w:t>
      </w:r>
      <w:r w:rsidRPr="00C2798A">
        <w:rPr>
          <w:rFonts w:ascii="Times New Roman" w:hAnsi="Times New Roman" w:cs="Times New Roman"/>
          <w:sz w:val="24"/>
          <w:szCs w:val="24"/>
        </w:rPr>
        <w:t>as productivity-enhancing technology causes job losses in some cases and job gains in others. But the number of firms and industries which experience employment growth exceeds the number in which employment contracts</w:t>
      </w:r>
      <w:r w:rsidRPr="00B54A48">
        <w:rPr>
          <w:rFonts w:ascii="Times New Roman" w:hAnsi="Times New Roman" w:cs="Times New Roman"/>
          <w:sz w:val="24"/>
          <w:szCs w:val="24"/>
        </w:rPr>
        <w:t>.</w:t>
      </w:r>
      <w:r w:rsidR="00054B26" w:rsidRPr="00B54A48">
        <w:rPr>
          <w:rFonts w:ascii="Times New Roman" w:hAnsi="Times New Roman" w:cs="Times New Roman"/>
          <w:sz w:val="24"/>
          <w:szCs w:val="24"/>
        </w:rPr>
        <w:t xml:space="preserve"> </w:t>
      </w:r>
      <w:r w:rsidR="0084024E">
        <w:rPr>
          <w:rFonts w:ascii="Times New Roman" w:hAnsi="Times New Roman" w:cs="Times New Roman"/>
          <w:sz w:val="24"/>
          <w:szCs w:val="24"/>
        </w:rPr>
        <w:t xml:space="preserve">Bangladesh industry is gradually embracing the latest technologies though cost imperatives make labor-intensive production still attractive. It will take several more years for technological change to catch up </w:t>
      </w:r>
      <w:r w:rsidR="00555AD3">
        <w:rPr>
          <w:rFonts w:ascii="Times New Roman" w:hAnsi="Times New Roman" w:cs="Times New Roman"/>
          <w:sz w:val="24"/>
          <w:szCs w:val="24"/>
        </w:rPr>
        <w:t>though</w:t>
      </w:r>
      <w:r w:rsidR="0084024E">
        <w:rPr>
          <w:rFonts w:ascii="Times New Roman" w:hAnsi="Times New Roman" w:cs="Times New Roman"/>
          <w:sz w:val="24"/>
          <w:szCs w:val="24"/>
        </w:rPr>
        <w:t xml:space="preserve"> leapfrogging innovations that are technology intensive will also happen in the near future</w:t>
      </w:r>
      <w:r w:rsidR="00E434BB">
        <w:rPr>
          <w:rFonts w:ascii="Times New Roman" w:hAnsi="Times New Roman" w:cs="Times New Roman"/>
          <w:sz w:val="24"/>
          <w:szCs w:val="24"/>
        </w:rPr>
        <w:t xml:space="preserve">, as recent reports </w:t>
      </w:r>
      <w:r w:rsidR="004B324F">
        <w:rPr>
          <w:rFonts w:ascii="Times New Roman" w:hAnsi="Times New Roman" w:cs="Times New Roman"/>
          <w:sz w:val="24"/>
          <w:szCs w:val="24"/>
        </w:rPr>
        <w:t>from the RMG sector seem to suggest (Islam, R. 2017)</w:t>
      </w:r>
      <w:r w:rsidR="0084024E">
        <w:rPr>
          <w:rFonts w:ascii="Times New Roman" w:hAnsi="Times New Roman" w:cs="Times New Roman"/>
          <w:sz w:val="24"/>
          <w:szCs w:val="24"/>
        </w:rPr>
        <w:t xml:space="preserve">. These changes </w:t>
      </w:r>
      <w:r w:rsidR="00555AD3">
        <w:rPr>
          <w:rFonts w:ascii="Times New Roman" w:hAnsi="Times New Roman" w:cs="Times New Roman"/>
          <w:sz w:val="24"/>
          <w:szCs w:val="24"/>
        </w:rPr>
        <w:t>(</w:t>
      </w:r>
      <w:r w:rsidR="00BD5D40">
        <w:rPr>
          <w:rFonts w:ascii="Times New Roman" w:hAnsi="Times New Roman" w:cs="Times New Roman"/>
          <w:sz w:val="24"/>
          <w:szCs w:val="24"/>
        </w:rPr>
        <w:t>described as</w:t>
      </w:r>
      <w:r w:rsidR="00555AD3">
        <w:rPr>
          <w:rFonts w:ascii="Times New Roman" w:hAnsi="Times New Roman" w:cs="Times New Roman"/>
          <w:sz w:val="24"/>
          <w:szCs w:val="24"/>
        </w:rPr>
        <w:t xml:space="preserve"> automation) have to be closely watched due to the risk </w:t>
      </w:r>
      <w:r w:rsidR="00555AD3" w:rsidRPr="00FD65FD">
        <w:rPr>
          <w:rFonts w:ascii="Times New Roman" w:hAnsi="Times New Roman" w:cs="Times New Roman"/>
          <w:sz w:val="24"/>
          <w:szCs w:val="24"/>
        </w:rPr>
        <w:t xml:space="preserve">of machine-driven labour displacement, </w:t>
      </w:r>
      <w:r w:rsidR="00555AD3">
        <w:rPr>
          <w:rFonts w:ascii="Times New Roman" w:hAnsi="Times New Roman" w:cs="Times New Roman"/>
          <w:sz w:val="24"/>
          <w:szCs w:val="24"/>
        </w:rPr>
        <w:t xml:space="preserve">which </w:t>
      </w:r>
      <w:r w:rsidR="00555AD3" w:rsidRPr="00FD65FD">
        <w:rPr>
          <w:rFonts w:ascii="Times New Roman" w:hAnsi="Times New Roman" w:cs="Times New Roman"/>
          <w:sz w:val="24"/>
          <w:szCs w:val="24"/>
        </w:rPr>
        <w:t xml:space="preserve">might undermine labour-cost advantages on which </w:t>
      </w:r>
      <w:r w:rsidR="00555AD3">
        <w:rPr>
          <w:rFonts w:ascii="Times New Roman" w:hAnsi="Times New Roman" w:cs="Times New Roman"/>
          <w:sz w:val="24"/>
          <w:szCs w:val="24"/>
        </w:rPr>
        <w:t>Bangladesh has been relying so heav</w:t>
      </w:r>
      <w:r w:rsidR="001E30B3">
        <w:rPr>
          <w:rFonts w:ascii="Times New Roman" w:hAnsi="Times New Roman" w:cs="Times New Roman"/>
          <w:sz w:val="24"/>
          <w:szCs w:val="24"/>
        </w:rPr>
        <w:t xml:space="preserve">ily. Strategies for industrial development that take a longer perspective must factor in these impending transformations in industry in order to be relevant over the long-term. </w:t>
      </w:r>
    </w:p>
    <w:p w14:paraId="12B72593" w14:textId="77777777" w:rsidR="00C437BA" w:rsidRPr="00886715" w:rsidRDefault="00C437BA" w:rsidP="00B54A48">
      <w:pPr>
        <w:pStyle w:val="Heading1"/>
      </w:pPr>
      <w:bookmarkStart w:id="14" w:name="_Toc496536515"/>
      <w:r w:rsidRPr="00886715">
        <w:t>TRADING IN A NEW WAVE OF GLOBALIZATION</w:t>
      </w:r>
      <w:bookmarkEnd w:id="14"/>
    </w:p>
    <w:p w14:paraId="0E60D353" w14:textId="2AC09B1D" w:rsidR="000C4DC0" w:rsidRPr="00B54A48" w:rsidRDefault="000C4DC0" w:rsidP="00B54A48">
      <w:pPr>
        <w:tabs>
          <w:tab w:val="left" w:pos="831"/>
        </w:tabs>
        <w:spacing w:after="240" w:line="276" w:lineRule="auto"/>
        <w:ind w:right="108"/>
        <w:jc w:val="both"/>
        <w:rPr>
          <w:rFonts w:ascii="Times New Roman" w:hAnsi="Times New Roman" w:cs="Times New Roman"/>
          <w:sz w:val="24"/>
          <w:szCs w:val="24"/>
        </w:rPr>
      </w:pPr>
      <w:r>
        <w:rPr>
          <w:rFonts w:ascii="Times New Roman" w:hAnsi="Times New Roman" w:cs="Times New Roman"/>
          <w:sz w:val="24"/>
          <w:szCs w:val="24"/>
        </w:rPr>
        <w:t xml:space="preserve">According to the </w:t>
      </w:r>
      <w:r w:rsidR="00932688">
        <w:rPr>
          <w:rFonts w:ascii="Times New Roman" w:hAnsi="Times New Roman" w:cs="Times New Roman"/>
          <w:sz w:val="24"/>
          <w:szCs w:val="24"/>
        </w:rPr>
        <w:t xml:space="preserve">World Bank </w:t>
      </w:r>
      <w:r>
        <w:rPr>
          <w:rFonts w:ascii="Times New Roman" w:hAnsi="Times New Roman" w:cs="Times New Roman"/>
          <w:sz w:val="24"/>
          <w:szCs w:val="24"/>
        </w:rPr>
        <w:t>(</w:t>
      </w:r>
      <w:r w:rsidR="00932688">
        <w:rPr>
          <w:rFonts w:ascii="Times New Roman" w:hAnsi="Times New Roman" w:cs="Times New Roman"/>
          <w:sz w:val="24"/>
          <w:szCs w:val="24"/>
        </w:rPr>
        <w:t>2002)</w:t>
      </w:r>
      <w:r>
        <w:rPr>
          <w:rFonts w:ascii="Times New Roman" w:hAnsi="Times New Roman" w:cs="Times New Roman"/>
          <w:sz w:val="24"/>
          <w:szCs w:val="24"/>
        </w:rPr>
        <w:t xml:space="preserve">, </w:t>
      </w:r>
      <w:r w:rsidR="00932688">
        <w:rPr>
          <w:rFonts w:ascii="Times New Roman" w:hAnsi="Times New Roman" w:cs="Times New Roman"/>
          <w:sz w:val="24"/>
          <w:szCs w:val="24"/>
        </w:rPr>
        <w:t>it was globalization that helped poor countries break into the global market for manufactures</w:t>
      </w:r>
      <w:r w:rsidR="00DF610E">
        <w:rPr>
          <w:rFonts w:ascii="Times New Roman" w:hAnsi="Times New Roman" w:cs="Times New Roman"/>
          <w:sz w:val="24"/>
          <w:szCs w:val="24"/>
        </w:rPr>
        <w:t xml:space="preserve"> and services – a successful integration that genera</w:t>
      </w:r>
      <w:r>
        <w:rPr>
          <w:rFonts w:ascii="Times New Roman" w:hAnsi="Times New Roman" w:cs="Times New Roman"/>
          <w:sz w:val="24"/>
          <w:szCs w:val="24"/>
        </w:rPr>
        <w:t>lly supported poverty reduction</w:t>
      </w:r>
      <w:r w:rsidR="00DF610E">
        <w:rPr>
          <w:rFonts w:ascii="Times New Roman" w:hAnsi="Times New Roman" w:cs="Times New Roman"/>
          <w:sz w:val="24"/>
          <w:szCs w:val="24"/>
        </w:rPr>
        <w:t xml:space="preserve"> in countries like Bangladesh and Vietnam. </w:t>
      </w:r>
      <w:r>
        <w:rPr>
          <w:rFonts w:ascii="Times New Roman" w:hAnsi="Times New Roman" w:cs="Times New Roman"/>
          <w:sz w:val="24"/>
          <w:szCs w:val="24"/>
        </w:rPr>
        <w:t xml:space="preserve">Pascal </w:t>
      </w:r>
      <w:r w:rsidR="00C636B2" w:rsidRPr="00196B44">
        <w:rPr>
          <w:rFonts w:ascii="Times New Roman" w:hAnsi="Times New Roman" w:cs="Times New Roman"/>
          <w:sz w:val="24"/>
          <w:szCs w:val="24"/>
        </w:rPr>
        <w:t>Lamy</w:t>
      </w:r>
      <w:r>
        <w:rPr>
          <w:rFonts w:ascii="Times New Roman" w:hAnsi="Times New Roman" w:cs="Times New Roman"/>
          <w:sz w:val="24"/>
          <w:szCs w:val="24"/>
        </w:rPr>
        <w:t xml:space="preserve">, the former chief of WTO, </w:t>
      </w:r>
      <w:r w:rsidR="00C636B2" w:rsidRPr="00196B44">
        <w:rPr>
          <w:rFonts w:ascii="Times New Roman" w:hAnsi="Times New Roman" w:cs="Times New Roman"/>
          <w:sz w:val="24"/>
          <w:szCs w:val="24"/>
        </w:rPr>
        <w:t>affirmed</w:t>
      </w:r>
      <w:r w:rsidR="00F76721" w:rsidRPr="00B54A48">
        <w:rPr>
          <w:rFonts w:ascii="Times New Roman" w:hAnsi="Times New Roman" w:cs="Times New Roman"/>
          <w:sz w:val="24"/>
          <w:szCs w:val="24"/>
        </w:rPr>
        <w:t xml:space="preserve"> that the best thing to come out of globalization was poverty reduction, and the worst thing was inequality</w:t>
      </w:r>
      <w:r w:rsidR="00493A6D" w:rsidRPr="00B54A48">
        <w:rPr>
          <w:rFonts w:ascii="Times New Roman" w:hAnsi="Times New Roman" w:cs="Times New Roman"/>
          <w:sz w:val="24"/>
          <w:szCs w:val="24"/>
        </w:rPr>
        <w:t xml:space="preserve"> (Global Agenda Outlook 2013, WEF)</w:t>
      </w:r>
      <w:r w:rsidR="00F76721" w:rsidRPr="00B54A48">
        <w:rPr>
          <w:rFonts w:ascii="Times New Roman" w:hAnsi="Times New Roman" w:cs="Times New Roman"/>
          <w:sz w:val="24"/>
          <w:szCs w:val="24"/>
        </w:rPr>
        <w:t xml:space="preserve">. </w:t>
      </w:r>
      <w:r w:rsidR="006143D2" w:rsidRPr="00B54A48">
        <w:rPr>
          <w:rFonts w:ascii="Times New Roman" w:hAnsi="Times New Roman" w:cs="Times New Roman"/>
          <w:sz w:val="24"/>
          <w:szCs w:val="24"/>
        </w:rPr>
        <w:t xml:space="preserve">Since global economic integration has supported poverty reduction it should not be reversed. </w:t>
      </w:r>
    </w:p>
    <w:p w14:paraId="17293DA4" w14:textId="3E77BD5F" w:rsidR="00196B44" w:rsidRPr="00196B44" w:rsidRDefault="00C636B2" w:rsidP="00B54A48">
      <w:pPr>
        <w:tabs>
          <w:tab w:val="left" w:pos="831"/>
        </w:tabs>
        <w:spacing w:after="240" w:line="276" w:lineRule="auto"/>
        <w:ind w:right="108"/>
        <w:jc w:val="both"/>
        <w:rPr>
          <w:rFonts w:ascii="Times New Roman" w:hAnsi="Times New Roman" w:cs="Times New Roman"/>
          <w:sz w:val="24"/>
          <w:szCs w:val="24"/>
        </w:rPr>
      </w:pPr>
      <w:r w:rsidRPr="00B54A48">
        <w:rPr>
          <w:rFonts w:ascii="Times New Roman" w:hAnsi="Times New Roman" w:cs="Times New Roman"/>
          <w:sz w:val="24"/>
          <w:szCs w:val="24"/>
        </w:rPr>
        <w:t>No doubt, g</w:t>
      </w:r>
      <w:r w:rsidR="00336A3E" w:rsidRPr="00B54A48">
        <w:rPr>
          <w:rFonts w:ascii="Times New Roman" w:hAnsi="Times New Roman" w:cs="Times New Roman"/>
          <w:sz w:val="24"/>
          <w:szCs w:val="24"/>
        </w:rPr>
        <w:t>lobalization has been a powerful force for economic growth. Research from the McKinsey Global Institute (MGI</w:t>
      </w:r>
      <w:r w:rsidR="006E4004" w:rsidRPr="00B54A48">
        <w:rPr>
          <w:rFonts w:ascii="Times New Roman" w:hAnsi="Times New Roman" w:cs="Times New Roman"/>
          <w:sz w:val="24"/>
          <w:szCs w:val="24"/>
        </w:rPr>
        <w:t>, 2017</w:t>
      </w:r>
      <w:r w:rsidR="00336A3E" w:rsidRPr="00B54A48">
        <w:rPr>
          <w:rFonts w:ascii="Times New Roman" w:hAnsi="Times New Roman" w:cs="Times New Roman"/>
          <w:sz w:val="24"/>
          <w:szCs w:val="24"/>
        </w:rPr>
        <w:t xml:space="preserve">) finds that </w:t>
      </w:r>
      <w:hyperlink r:id="rId36" w:history="1">
        <w:r w:rsidR="00336A3E" w:rsidRPr="00B54A48">
          <w:rPr>
            <w:rFonts w:ascii="Times New Roman" w:hAnsi="Times New Roman" w:cs="Times New Roman"/>
            <w:sz w:val="24"/>
            <w:szCs w:val="24"/>
          </w:rPr>
          <w:t>the movement of goods, services, finance, data, and people across borders adds to GDP and fuels productivity growth</w:t>
        </w:r>
      </w:hyperlink>
      <w:r w:rsidR="00336A3E" w:rsidRPr="00B54A48">
        <w:rPr>
          <w:rFonts w:ascii="Times New Roman" w:hAnsi="Times New Roman" w:cs="Times New Roman"/>
          <w:sz w:val="24"/>
          <w:szCs w:val="24"/>
        </w:rPr>
        <w:t xml:space="preserve">. </w:t>
      </w:r>
      <w:r w:rsidR="007A56C6" w:rsidRPr="00B54A48">
        <w:rPr>
          <w:rFonts w:ascii="Times New Roman" w:hAnsi="Times New Roman" w:cs="Times New Roman"/>
          <w:sz w:val="24"/>
          <w:szCs w:val="24"/>
        </w:rPr>
        <w:t>But while globalization accelerates growth, it also amplifies inequality and disruption giving rise to political backlash and spawning protectionism</w:t>
      </w:r>
      <w:r w:rsidR="00493A6D" w:rsidRPr="00B54A48">
        <w:rPr>
          <w:rFonts w:ascii="Times New Roman" w:hAnsi="Times New Roman" w:cs="Times New Roman"/>
          <w:sz w:val="24"/>
          <w:szCs w:val="24"/>
        </w:rPr>
        <w:t xml:space="preserve"> as seen</w:t>
      </w:r>
      <w:r w:rsidR="007A56C6" w:rsidRPr="00B54A48">
        <w:rPr>
          <w:rFonts w:ascii="Times New Roman" w:hAnsi="Times New Roman" w:cs="Times New Roman"/>
          <w:sz w:val="24"/>
          <w:szCs w:val="24"/>
        </w:rPr>
        <w:t xml:space="preserve"> in major markets</w:t>
      </w:r>
      <w:r w:rsidR="00493A6D" w:rsidRPr="00B54A48">
        <w:rPr>
          <w:rFonts w:ascii="Times New Roman" w:hAnsi="Times New Roman" w:cs="Times New Roman"/>
          <w:sz w:val="24"/>
          <w:szCs w:val="24"/>
        </w:rPr>
        <w:t xml:space="preserve"> today</w:t>
      </w:r>
      <w:r w:rsidR="007A56C6" w:rsidRPr="00B54A48">
        <w:rPr>
          <w:rFonts w:ascii="Times New Roman" w:hAnsi="Times New Roman" w:cs="Times New Roman"/>
          <w:sz w:val="24"/>
          <w:szCs w:val="24"/>
        </w:rPr>
        <w:t xml:space="preserve">. </w:t>
      </w:r>
      <w:r w:rsidR="00753A74" w:rsidRPr="00B54A48">
        <w:rPr>
          <w:rFonts w:ascii="Times New Roman" w:hAnsi="Times New Roman" w:cs="Times New Roman"/>
          <w:sz w:val="24"/>
          <w:szCs w:val="24"/>
        </w:rPr>
        <w:t xml:space="preserve">Policy makers are now being challenged to preserve the benefits of globalization while addressing its negative externalities. </w:t>
      </w:r>
      <w:r w:rsidR="00196B44" w:rsidRPr="00196B44">
        <w:rPr>
          <w:rFonts w:ascii="Times New Roman" w:hAnsi="Times New Roman" w:cs="Times New Roman"/>
          <w:sz w:val="24"/>
          <w:szCs w:val="24"/>
        </w:rPr>
        <w:t xml:space="preserve">Because of the growing critique of trade openness in developed countries in recent times, Martin Wolf (CUTS 2014) of the </w:t>
      </w:r>
      <w:r w:rsidR="00196B44" w:rsidRPr="00B54A48">
        <w:rPr>
          <w:rFonts w:ascii="Times New Roman" w:hAnsi="Times New Roman" w:cs="Times New Roman"/>
          <w:sz w:val="24"/>
          <w:szCs w:val="24"/>
        </w:rPr>
        <w:t>Financial Times</w:t>
      </w:r>
      <w:r w:rsidR="00BF27B7">
        <w:rPr>
          <w:rFonts w:ascii="Times New Roman" w:hAnsi="Times New Roman" w:cs="Times New Roman"/>
          <w:sz w:val="24"/>
          <w:szCs w:val="24"/>
        </w:rPr>
        <w:t xml:space="preserve"> described</w:t>
      </w:r>
      <w:r w:rsidR="00196B44" w:rsidRPr="00196B44">
        <w:rPr>
          <w:rFonts w:ascii="Times New Roman" w:hAnsi="Times New Roman" w:cs="Times New Roman"/>
          <w:sz w:val="24"/>
          <w:szCs w:val="24"/>
        </w:rPr>
        <w:t xml:space="preserve"> the global trade regime as a “troubled triumph”. But the onward march of globalization demonstrates that it is indeed a triumph that is here to last for many decades – something Bangladesh economy has to accept as given.</w:t>
      </w:r>
    </w:p>
    <w:p w14:paraId="242E69C3" w14:textId="5B4B9D56" w:rsidR="009F43DC" w:rsidRDefault="009F43DC" w:rsidP="00B54A48">
      <w:pPr>
        <w:tabs>
          <w:tab w:val="left" w:pos="831"/>
        </w:tabs>
        <w:spacing w:after="240" w:line="276" w:lineRule="auto"/>
        <w:ind w:right="108"/>
        <w:jc w:val="both"/>
        <w:rPr>
          <w:rFonts w:ascii="Times New Roman" w:hAnsi="Times New Roman" w:cs="Times New Roman"/>
          <w:sz w:val="24"/>
          <w:szCs w:val="24"/>
        </w:rPr>
      </w:pPr>
      <w:r>
        <w:rPr>
          <w:rFonts w:ascii="Times New Roman" w:hAnsi="Times New Roman" w:cs="Times New Roman"/>
          <w:sz w:val="24"/>
          <w:szCs w:val="24"/>
        </w:rPr>
        <w:lastRenderedPageBreak/>
        <w:t xml:space="preserve">The state of globalization and contemporary global trends in the world economy has been aptly described by </w:t>
      </w:r>
      <w:r w:rsidRPr="00300FD1">
        <w:rPr>
          <w:rFonts w:ascii="Times New Roman" w:hAnsi="Times New Roman" w:cs="Times New Roman"/>
          <w:sz w:val="24"/>
          <w:szCs w:val="24"/>
        </w:rPr>
        <w:t xml:space="preserve">Arvind Subramaniam and Martin Kessler of the Peterson Institute for International Economics, in Washington DC, </w:t>
      </w:r>
      <w:r>
        <w:rPr>
          <w:rFonts w:ascii="Times New Roman" w:hAnsi="Times New Roman" w:cs="Times New Roman"/>
          <w:sz w:val="24"/>
          <w:szCs w:val="24"/>
        </w:rPr>
        <w:t xml:space="preserve">who </w:t>
      </w:r>
      <w:r w:rsidR="0000489B">
        <w:rPr>
          <w:rFonts w:ascii="Times New Roman" w:hAnsi="Times New Roman" w:cs="Times New Roman"/>
          <w:sz w:val="24"/>
          <w:szCs w:val="24"/>
        </w:rPr>
        <w:t>identified several</w:t>
      </w:r>
      <w:r w:rsidRPr="00300FD1">
        <w:rPr>
          <w:rFonts w:ascii="Times New Roman" w:hAnsi="Times New Roman" w:cs="Times New Roman"/>
          <w:sz w:val="24"/>
          <w:szCs w:val="24"/>
        </w:rPr>
        <w:t xml:space="preserve"> important features</w:t>
      </w:r>
      <w:r>
        <w:rPr>
          <w:rFonts w:ascii="Times New Roman" w:hAnsi="Times New Roman" w:cs="Times New Roman"/>
          <w:sz w:val="24"/>
          <w:szCs w:val="24"/>
        </w:rPr>
        <w:t xml:space="preserve"> (Subramaniam and Kessler, 2013) that </w:t>
      </w:r>
      <w:r w:rsidRPr="00E3646C">
        <w:rPr>
          <w:rFonts w:ascii="Times New Roman" w:hAnsi="Times New Roman" w:cs="Times New Roman"/>
          <w:sz w:val="24"/>
          <w:szCs w:val="24"/>
        </w:rPr>
        <w:t>will have to be taken on board in formulating any long-term national perspective plan with a futuristic outlook</w:t>
      </w:r>
      <w:r w:rsidRPr="00B54A48">
        <w:rPr>
          <w:rFonts w:ascii="Times New Roman" w:hAnsi="Times New Roman" w:cs="Times New Roman"/>
          <w:sz w:val="24"/>
          <w:szCs w:val="24"/>
        </w:rPr>
        <w:t>:</w:t>
      </w:r>
      <w:r w:rsidRPr="00300FD1">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85C1F0D" w14:textId="2D43BDE7" w:rsidR="009F43DC" w:rsidRPr="00012005" w:rsidRDefault="009F43DC" w:rsidP="00A42036">
      <w:pPr>
        <w:pStyle w:val="ListParagraph"/>
        <w:numPr>
          <w:ilvl w:val="0"/>
          <w:numId w:val="5"/>
        </w:numPr>
        <w:autoSpaceDE w:val="0"/>
        <w:autoSpaceDN w:val="0"/>
        <w:adjustRightInd w:val="0"/>
        <w:spacing w:after="0" w:line="240" w:lineRule="auto"/>
        <w:ind w:left="1080"/>
        <w:jc w:val="both"/>
        <w:rPr>
          <w:rFonts w:ascii="Times New Roman" w:hAnsi="Times New Roman" w:cs="Times New Roman"/>
          <w:sz w:val="24"/>
          <w:szCs w:val="24"/>
        </w:rPr>
      </w:pPr>
      <w:r w:rsidRPr="00012005">
        <w:rPr>
          <w:rFonts w:ascii="Times New Roman" w:hAnsi="Times New Roman" w:cs="Times New Roman"/>
          <w:sz w:val="24"/>
          <w:szCs w:val="24"/>
        </w:rPr>
        <w:t>Hyper-globalization</w:t>
      </w:r>
      <w:r w:rsidR="0000489B">
        <w:rPr>
          <w:rFonts w:ascii="Times New Roman" w:hAnsi="Times New Roman" w:cs="Times New Roman"/>
          <w:sz w:val="24"/>
          <w:szCs w:val="24"/>
        </w:rPr>
        <w:t xml:space="preserve"> and Universalization:</w:t>
      </w:r>
      <w:r w:rsidR="0000489B" w:rsidRPr="0000489B">
        <w:rPr>
          <w:rFonts w:ascii="Times New Roman" w:hAnsi="Times New Roman" w:cs="Times New Roman"/>
          <w:sz w:val="24"/>
          <w:szCs w:val="24"/>
        </w:rPr>
        <w:t xml:space="preserve"> </w:t>
      </w:r>
      <w:r w:rsidR="0000489B" w:rsidRPr="00012005">
        <w:rPr>
          <w:rFonts w:ascii="Times New Roman" w:hAnsi="Times New Roman" w:cs="Times New Roman"/>
          <w:sz w:val="24"/>
          <w:szCs w:val="24"/>
        </w:rPr>
        <w:t>widespread embrace of globalization</w:t>
      </w:r>
      <w:r w:rsidR="0000489B">
        <w:rPr>
          <w:rFonts w:ascii="Times New Roman" w:hAnsi="Times New Roman" w:cs="Times New Roman"/>
          <w:sz w:val="24"/>
          <w:szCs w:val="24"/>
        </w:rPr>
        <w:t xml:space="preserve"> and </w:t>
      </w:r>
      <w:r w:rsidRPr="00012005">
        <w:rPr>
          <w:rFonts w:ascii="Times New Roman" w:hAnsi="Times New Roman" w:cs="Times New Roman"/>
          <w:sz w:val="24"/>
          <w:szCs w:val="24"/>
        </w:rPr>
        <w:t>greatest openness to trade and investment in world economic history.</w:t>
      </w:r>
    </w:p>
    <w:p w14:paraId="4A2EF317" w14:textId="109B9003" w:rsidR="009F43DC" w:rsidRDefault="009F43DC" w:rsidP="00A42036">
      <w:pPr>
        <w:pStyle w:val="NormalWeb"/>
        <w:numPr>
          <w:ilvl w:val="0"/>
          <w:numId w:val="5"/>
        </w:numPr>
        <w:spacing w:after="0" w:afterAutospacing="0"/>
        <w:ind w:left="1080"/>
        <w:jc w:val="both"/>
      </w:pPr>
      <w:r w:rsidRPr="00300FD1">
        <w:t>Mega-traders: rise of China</w:t>
      </w:r>
      <w:r w:rsidR="0000489B">
        <w:t>, India, and other emerging market economies</w:t>
      </w:r>
      <w:r w:rsidRPr="00300FD1">
        <w:t xml:space="preserve">. </w:t>
      </w:r>
    </w:p>
    <w:p w14:paraId="3AF0785D" w14:textId="397A5DFC" w:rsidR="008D397E" w:rsidRPr="008D397E" w:rsidRDefault="008D397E" w:rsidP="00A42036">
      <w:pPr>
        <w:pStyle w:val="ListParagraph"/>
        <w:numPr>
          <w:ilvl w:val="0"/>
          <w:numId w:val="5"/>
        </w:numPr>
        <w:autoSpaceDE w:val="0"/>
        <w:autoSpaceDN w:val="0"/>
        <w:adjustRightInd w:val="0"/>
        <w:spacing w:after="0" w:line="240" w:lineRule="auto"/>
        <w:ind w:left="1080"/>
        <w:jc w:val="both"/>
        <w:rPr>
          <w:rFonts w:ascii="Times New Roman" w:hAnsi="Times New Roman" w:cs="Times New Roman"/>
          <w:sz w:val="24"/>
          <w:szCs w:val="24"/>
        </w:rPr>
      </w:pPr>
      <w:r w:rsidRPr="00012005">
        <w:rPr>
          <w:rFonts w:ascii="Times New Roman" w:hAnsi="Times New Roman" w:cs="Times New Roman"/>
          <w:sz w:val="24"/>
          <w:szCs w:val="24"/>
        </w:rPr>
        <w:t>De-materialization of trade</w:t>
      </w:r>
      <w:r>
        <w:rPr>
          <w:rFonts w:ascii="Times New Roman" w:hAnsi="Times New Roman" w:cs="Times New Roman"/>
          <w:sz w:val="24"/>
          <w:szCs w:val="24"/>
        </w:rPr>
        <w:t>: rising importance of services in global trade</w:t>
      </w:r>
    </w:p>
    <w:p w14:paraId="06308629" w14:textId="1AFF177C" w:rsidR="009F43DC" w:rsidRPr="00012005" w:rsidRDefault="0000489B" w:rsidP="00A42036">
      <w:pPr>
        <w:pStyle w:val="ListParagraph"/>
        <w:numPr>
          <w:ilvl w:val="0"/>
          <w:numId w:val="5"/>
        </w:numPr>
        <w:autoSpaceDE w:val="0"/>
        <w:autoSpaceDN w:val="0"/>
        <w:adjustRightInd w:val="0"/>
        <w:spacing w:after="0" w:line="240" w:lineRule="auto"/>
        <w:ind w:left="1080"/>
        <w:jc w:val="both"/>
        <w:rPr>
          <w:rFonts w:ascii="Times New Roman" w:hAnsi="Times New Roman" w:cs="Times New Roman"/>
          <w:color w:val="101010"/>
          <w:sz w:val="24"/>
          <w:szCs w:val="24"/>
        </w:rPr>
      </w:pPr>
      <w:r>
        <w:rPr>
          <w:rFonts w:ascii="Times New Roman" w:hAnsi="Times New Roman" w:cs="Times New Roman"/>
          <w:sz w:val="24"/>
          <w:szCs w:val="24"/>
        </w:rPr>
        <w:t>P</w:t>
      </w:r>
      <w:r w:rsidR="009F43DC" w:rsidRPr="00012005">
        <w:rPr>
          <w:rFonts w:ascii="Times New Roman" w:hAnsi="Times New Roman" w:cs="Times New Roman"/>
          <w:sz w:val="24"/>
          <w:szCs w:val="24"/>
        </w:rPr>
        <w:t>roliferation of regional and preferential trade agreements and the current discussion of megaregional ones.</w:t>
      </w:r>
    </w:p>
    <w:p w14:paraId="4F26A6A2" w14:textId="77777777" w:rsidR="008D397E" w:rsidRPr="008F486B" w:rsidRDefault="001729B8" w:rsidP="008F486B">
      <w:pPr>
        <w:tabs>
          <w:tab w:val="left" w:pos="831"/>
        </w:tabs>
        <w:spacing w:after="240" w:line="276" w:lineRule="auto"/>
        <w:ind w:right="108"/>
        <w:jc w:val="both"/>
        <w:rPr>
          <w:rFonts w:ascii="Times New Roman" w:hAnsi="Times New Roman" w:cs="Times New Roman"/>
          <w:sz w:val="24"/>
          <w:szCs w:val="24"/>
        </w:rPr>
      </w:pPr>
      <w:r w:rsidRPr="008F486B">
        <w:rPr>
          <w:rFonts w:ascii="Times New Roman" w:hAnsi="Times New Roman" w:cs="Times New Roman"/>
          <w:i/>
          <w:sz w:val="24"/>
          <w:szCs w:val="24"/>
        </w:rPr>
        <w:t>Future of globalization.</w:t>
      </w:r>
      <w:r w:rsidRPr="008F486B">
        <w:rPr>
          <w:rFonts w:ascii="Times New Roman" w:hAnsi="Times New Roman" w:cs="Times New Roman"/>
          <w:sz w:val="24"/>
          <w:szCs w:val="24"/>
        </w:rPr>
        <w:t xml:space="preserve"> </w:t>
      </w:r>
      <w:r w:rsidR="00B763B1" w:rsidRPr="008F486B">
        <w:rPr>
          <w:rFonts w:ascii="Times New Roman" w:hAnsi="Times New Roman" w:cs="Times New Roman"/>
          <w:sz w:val="24"/>
          <w:szCs w:val="24"/>
        </w:rPr>
        <w:t>The world has been globalizing for centuries. But the past 25 years has experienced a rapid pace of globalization, at speeds not attained in the past</w:t>
      </w:r>
      <w:r w:rsidR="00E3646C" w:rsidRPr="008F486B">
        <w:rPr>
          <w:rFonts w:ascii="Times New Roman" w:hAnsi="Times New Roman" w:cs="Times New Roman"/>
          <w:sz w:val="24"/>
          <w:szCs w:val="24"/>
        </w:rPr>
        <w:t xml:space="preserve"> – described as hyper-globalization</w:t>
      </w:r>
      <w:r w:rsidR="00B763B1" w:rsidRPr="008F486B">
        <w:rPr>
          <w:rFonts w:ascii="Times New Roman" w:hAnsi="Times New Roman" w:cs="Times New Roman"/>
          <w:sz w:val="24"/>
          <w:szCs w:val="24"/>
        </w:rPr>
        <w:t>. There is near consensus among global analysts that the next 25 years will experience a new wave of accelerated globalization driven by cross-border flow of technology, capital, and knowledge</w:t>
      </w:r>
      <w:r w:rsidR="00E3646C" w:rsidRPr="008F486B">
        <w:rPr>
          <w:rFonts w:ascii="Times New Roman" w:hAnsi="Times New Roman" w:cs="Times New Roman"/>
          <w:sz w:val="24"/>
          <w:szCs w:val="24"/>
        </w:rPr>
        <w:t>, within a global infrastructure characterized by the greatest trade openness to trade and investment</w:t>
      </w:r>
      <w:r w:rsidR="00B763B1" w:rsidRPr="008F486B">
        <w:rPr>
          <w:rFonts w:ascii="Times New Roman" w:hAnsi="Times New Roman" w:cs="Times New Roman"/>
          <w:sz w:val="24"/>
          <w:szCs w:val="24"/>
        </w:rPr>
        <w:t xml:space="preserve">. </w:t>
      </w:r>
    </w:p>
    <w:p w14:paraId="0E978D58" w14:textId="1019EA03" w:rsidR="00B763B1" w:rsidRPr="008F486B" w:rsidRDefault="008D397E" w:rsidP="008F486B">
      <w:pPr>
        <w:tabs>
          <w:tab w:val="left" w:pos="831"/>
        </w:tabs>
        <w:spacing w:after="240" w:line="276" w:lineRule="auto"/>
        <w:ind w:right="108"/>
        <w:jc w:val="both"/>
        <w:rPr>
          <w:rFonts w:ascii="Times New Roman" w:hAnsi="Times New Roman" w:cs="Times New Roman"/>
          <w:sz w:val="24"/>
          <w:szCs w:val="24"/>
        </w:rPr>
      </w:pPr>
      <w:r w:rsidRPr="008F486B">
        <w:rPr>
          <w:rFonts w:ascii="Times New Roman" w:hAnsi="Times New Roman" w:cs="Times New Roman"/>
          <w:i/>
          <w:sz w:val="24"/>
          <w:szCs w:val="24"/>
        </w:rPr>
        <w:t>Rise of China and India.</w:t>
      </w:r>
      <w:r w:rsidRPr="008F486B">
        <w:rPr>
          <w:rFonts w:ascii="Times New Roman" w:hAnsi="Times New Roman" w:cs="Times New Roman"/>
          <w:sz w:val="24"/>
          <w:szCs w:val="24"/>
        </w:rPr>
        <w:t xml:space="preserve"> </w:t>
      </w:r>
      <w:r w:rsidR="00B763B1" w:rsidRPr="008F486B">
        <w:rPr>
          <w:rFonts w:ascii="Times New Roman" w:hAnsi="Times New Roman" w:cs="Times New Roman"/>
          <w:sz w:val="24"/>
          <w:szCs w:val="24"/>
        </w:rPr>
        <w:t xml:space="preserve">The World Bank (Global Economic Prospects, 2007) projects that high-income countries will see their GDP doubled in the next 25 years while GDP in developing countries will more than triple, driven mainly by the impact on the global economy from expansions in China and India. Along the way, there will be many anticipated and unanticipated shocks to the global economic system which global leaders will have to cope with through better and more coordinated global economic governance. </w:t>
      </w:r>
      <w:r w:rsidR="00C20877" w:rsidRPr="008F486B">
        <w:rPr>
          <w:rFonts w:ascii="Times New Roman" w:hAnsi="Times New Roman" w:cs="Times New Roman"/>
          <w:sz w:val="24"/>
          <w:szCs w:val="24"/>
        </w:rPr>
        <w:t xml:space="preserve">China is likely to remain the export powerhouse and mega-trader to contend with. </w:t>
      </w:r>
      <w:r w:rsidR="00B763B1" w:rsidRPr="008F486B">
        <w:rPr>
          <w:rFonts w:ascii="Times New Roman" w:hAnsi="Times New Roman" w:cs="Times New Roman"/>
          <w:sz w:val="24"/>
          <w:szCs w:val="24"/>
        </w:rPr>
        <w:t xml:space="preserve">Bangladesh policymakers will have to be </w:t>
      </w:r>
      <w:r w:rsidR="00C20877" w:rsidRPr="008F486B">
        <w:rPr>
          <w:rFonts w:ascii="Times New Roman" w:hAnsi="Times New Roman" w:cs="Times New Roman"/>
          <w:sz w:val="24"/>
          <w:szCs w:val="24"/>
        </w:rPr>
        <w:t>conscious</w:t>
      </w:r>
      <w:r w:rsidR="00B763B1" w:rsidRPr="008F486B">
        <w:rPr>
          <w:rFonts w:ascii="Times New Roman" w:hAnsi="Times New Roman" w:cs="Times New Roman"/>
          <w:sz w:val="24"/>
          <w:szCs w:val="24"/>
        </w:rPr>
        <w:t xml:space="preserve"> of these international developments as the economy will be far more integrated with the global economy than it is today. </w:t>
      </w:r>
    </w:p>
    <w:p w14:paraId="3F38C3F4" w14:textId="7515D022" w:rsidR="007C4055" w:rsidRDefault="009F43DC" w:rsidP="008F486B">
      <w:pPr>
        <w:tabs>
          <w:tab w:val="left" w:pos="831"/>
        </w:tabs>
        <w:spacing w:after="240" w:line="276" w:lineRule="auto"/>
        <w:ind w:right="108"/>
        <w:jc w:val="both"/>
        <w:rPr>
          <w:rFonts w:ascii="Times New Roman" w:hAnsi="Times New Roman" w:cs="Times New Roman"/>
          <w:sz w:val="24"/>
          <w:szCs w:val="24"/>
        </w:rPr>
      </w:pPr>
      <w:r w:rsidRPr="008F486B">
        <w:rPr>
          <w:rFonts w:ascii="Times New Roman" w:hAnsi="Times New Roman" w:cs="Times New Roman"/>
          <w:i/>
          <w:sz w:val="24"/>
          <w:szCs w:val="24"/>
        </w:rPr>
        <w:t>Future of Trade</w:t>
      </w:r>
      <w:r w:rsidR="008D397E" w:rsidRPr="008F486B">
        <w:rPr>
          <w:rFonts w:ascii="Times New Roman" w:hAnsi="Times New Roman" w:cs="Times New Roman"/>
          <w:i/>
          <w:sz w:val="24"/>
          <w:szCs w:val="24"/>
        </w:rPr>
        <w:t xml:space="preserve"> –rise of services</w:t>
      </w:r>
      <w:r w:rsidRPr="008F486B">
        <w:rPr>
          <w:rFonts w:ascii="Times New Roman" w:hAnsi="Times New Roman" w:cs="Times New Roman"/>
          <w:i/>
          <w:sz w:val="24"/>
          <w:szCs w:val="24"/>
        </w:rPr>
        <w:t>.</w:t>
      </w:r>
      <w:r w:rsidRPr="00446ACD">
        <w:rPr>
          <w:rFonts w:ascii="Times New Roman" w:hAnsi="Times New Roman" w:cs="Times New Roman"/>
          <w:sz w:val="24"/>
          <w:szCs w:val="24"/>
        </w:rPr>
        <w:t xml:space="preserve"> </w:t>
      </w:r>
      <w:r w:rsidR="008D397E" w:rsidRPr="008F486B">
        <w:rPr>
          <w:rFonts w:ascii="Times New Roman" w:hAnsi="Times New Roman" w:cs="Times New Roman"/>
          <w:sz w:val="24"/>
          <w:szCs w:val="24"/>
        </w:rPr>
        <w:t xml:space="preserve">One notable development is </w:t>
      </w:r>
      <w:r w:rsidR="007C4055" w:rsidRPr="008F486B">
        <w:rPr>
          <w:rFonts w:ascii="Times New Roman" w:hAnsi="Times New Roman" w:cs="Times New Roman"/>
          <w:sz w:val="24"/>
          <w:szCs w:val="24"/>
        </w:rPr>
        <w:t xml:space="preserve">what Subramaniam and Kessler (2013) calls </w:t>
      </w:r>
      <w:r w:rsidR="008D397E" w:rsidRPr="008F486B">
        <w:rPr>
          <w:rFonts w:ascii="Times New Roman" w:hAnsi="Times New Roman" w:cs="Times New Roman"/>
          <w:sz w:val="24"/>
          <w:szCs w:val="24"/>
        </w:rPr>
        <w:t xml:space="preserve">the “dematerialization” of global trade, that is, the rise of trade in services. </w:t>
      </w:r>
      <w:r w:rsidR="007C4055" w:rsidRPr="007C4055">
        <w:rPr>
          <w:rFonts w:ascii="Times New Roman" w:hAnsi="Times New Roman" w:cs="Times New Roman"/>
          <w:sz w:val="24"/>
          <w:szCs w:val="24"/>
        </w:rPr>
        <w:t>Only recently have we begun to realize more fully the importance of services to the world</w:t>
      </w:r>
      <w:r w:rsidR="007C4055">
        <w:rPr>
          <w:rFonts w:ascii="Times New Roman" w:hAnsi="Times New Roman" w:cs="Times New Roman"/>
          <w:sz w:val="24"/>
          <w:szCs w:val="24"/>
        </w:rPr>
        <w:t xml:space="preserve"> </w:t>
      </w:r>
      <w:r w:rsidR="007C4055" w:rsidRPr="007C4055">
        <w:rPr>
          <w:rFonts w:ascii="Times New Roman" w:hAnsi="Times New Roman" w:cs="Times New Roman"/>
          <w:sz w:val="24"/>
          <w:szCs w:val="24"/>
        </w:rPr>
        <w:t>economy. The contribution of services to production and trade has been steadily growing.</w:t>
      </w:r>
      <w:r w:rsidR="007C4055">
        <w:rPr>
          <w:rFonts w:ascii="Times New Roman" w:hAnsi="Times New Roman" w:cs="Times New Roman"/>
          <w:sz w:val="24"/>
          <w:szCs w:val="24"/>
        </w:rPr>
        <w:t xml:space="preserve"> </w:t>
      </w:r>
      <w:r w:rsidR="007C4055" w:rsidRPr="007C4055">
        <w:rPr>
          <w:rFonts w:ascii="Times New Roman" w:hAnsi="Times New Roman" w:cs="Times New Roman"/>
          <w:sz w:val="24"/>
          <w:szCs w:val="24"/>
        </w:rPr>
        <w:t>New statistical work by the OECD and WTO shows that when we measure services in</w:t>
      </w:r>
      <w:r w:rsidR="007C4055">
        <w:rPr>
          <w:rFonts w:ascii="Times New Roman" w:hAnsi="Times New Roman" w:cs="Times New Roman"/>
          <w:sz w:val="24"/>
          <w:szCs w:val="24"/>
        </w:rPr>
        <w:t xml:space="preserve"> </w:t>
      </w:r>
      <w:r w:rsidR="007C4055" w:rsidRPr="007C4055">
        <w:rPr>
          <w:rFonts w:ascii="Times New Roman" w:hAnsi="Times New Roman" w:cs="Times New Roman"/>
          <w:sz w:val="24"/>
          <w:szCs w:val="24"/>
        </w:rPr>
        <w:t>terms of their real contribution to trade – that is in terms of value-added rather than gross</w:t>
      </w:r>
      <w:r w:rsidR="007C4055">
        <w:rPr>
          <w:rFonts w:ascii="Times New Roman" w:hAnsi="Times New Roman" w:cs="Times New Roman"/>
          <w:sz w:val="24"/>
          <w:szCs w:val="24"/>
        </w:rPr>
        <w:t xml:space="preserve"> </w:t>
      </w:r>
      <w:r w:rsidR="007C4055" w:rsidRPr="007C4055">
        <w:rPr>
          <w:rFonts w:ascii="Times New Roman" w:hAnsi="Times New Roman" w:cs="Times New Roman"/>
          <w:sz w:val="24"/>
          <w:szCs w:val="24"/>
        </w:rPr>
        <w:t>flows – the share of services in global trade was almost half in 2009, as opposed to less</w:t>
      </w:r>
      <w:r w:rsidR="007C4055">
        <w:rPr>
          <w:rFonts w:ascii="Times New Roman" w:hAnsi="Times New Roman" w:cs="Times New Roman"/>
          <w:sz w:val="24"/>
          <w:szCs w:val="24"/>
        </w:rPr>
        <w:t xml:space="preserve"> </w:t>
      </w:r>
      <w:r w:rsidR="007C4055" w:rsidRPr="007C4055">
        <w:rPr>
          <w:rFonts w:ascii="Times New Roman" w:hAnsi="Times New Roman" w:cs="Times New Roman"/>
          <w:sz w:val="24"/>
          <w:szCs w:val="24"/>
        </w:rPr>
        <w:t>than one</w:t>
      </w:r>
      <w:r w:rsidR="007C4055">
        <w:rPr>
          <w:rFonts w:ascii="Times New Roman" w:hAnsi="Times New Roman" w:cs="Times New Roman"/>
          <w:sz w:val="24"/>
          <w:szCs w:val="24"/>
        </w:rPr>
        <w:t>-quarter using the old measure</w:t>
      </w:r>
      <w:r w:rsidR="007C4055" w:rsidRPr="007C4055">
        <w:rPr>
          <w:rFonts w:ascii="Times New Roman" w:hAnsi="Times New Roman" w:cs="Times New Roman"/>
          <w:sz w:val="24"/>
          <w:szCs w:val="24"/>
        </w:rPr>
        <w:t>.</w:t>
      </w:r>
      <w:r w:rsidR="00BF4C93">
        <w:rPr>
          <w:rFonts w:ascii="Times New Roman" w:hAnsi="Times New Roman" w:cs="Times New Roman"/>
          <w:sz w:val="24"/>
          <w:szCs w:val="24"/>
        </w:rPr>
        <w:t xml:space="preserve"> </w:t>
      </w:r>
      <w:r w:rsidR="008D397E" w:rsidRPr="008F486B">
        <w:rPr>
          <w:rFonts w:ascii="Times New Roman" w:hAnsi="Times New Roman" w:cs="Times New Roman"/>
          <w:sz w:val="24"/>
          <w:szCs w:val="24"/>
        </w:rPr>
        <w:t xml:space="preserve">This is due to the rising importance of global value chains where services are actually embodied in manufactured goods showing that </w:t>
      </w:r>
      <w:r w:rsidR="008D397E" w:rsidRPr="00446ACD">
        <w:rPr>
          <w:rFonts w:ascii="Times New Roman" w:hAnsi="Times New Roman" w:cs="Times New Roman"/>
          <w:sz w:val="24"/>
          <w:szCs w:val="24"/>
        </w:rPr>
        <w:t xml:space="preserve">trade in services is larger and growing faster in value-added terms than traditional statistics show. </w:t>
      </w:r>
      <w:bookmarkStart w:id="15" w:name="_GoBack"/>
      <w:bookmarkEnd w:id="15"/>
    </w:p>
    <w:p w14:paraId="50D57735" w14:textId="0E9B65A6" w:rsidR="00895045" w:rsidRDefault="00895045" w:rsidP="008F486B">
      <w:pPr>
        <w:tabs>
          <w:tab w:val="left" w:pos="831"/>
        </w:tabs>
        <w:spacing w:after="240" w:line="276" w:lineRule="auto"/>
        <w:ind w:right="108"/>
        <w:jc w:val="both"/>
        <w:rPr>
          <w:rFonts w:ascii="Times New Roman" w:hAnsi="Times New Roman" w:cs="Times New Roman"/>
          <w:sz w:val="24"/>
          <w:szCs w:val="24"/>
        </w:rPr>
      </w:pPr>
      <w:r>
        <w:rPr>
          <w:rFonts w:ascii="Times New Roman" w:hAnsi="Times New Roman" w:cs="Times New Roman"/>
          <w:sz w:val="24"/>
          <w:szCs w:val="24"/>
        </w:rPr>
        <w:t xml:space="preserve">Bangladesh is behind in developing cross-border value chains and trading in intermediate goods. </w:t>
      </w:r>
      <w:r w:rsidRPr="00174C68">
        <w:rPr>
          <w:rFonts w:ascii="Times New Roman" w:hAnsi="Times New Roman" w:cs="Times New Roman"/>
          <w:sz w:val="24"/>
          <w:szCs w:val="24"/>
        </w:rPr>
        <w:t xml:space="preserve">GVCs can be an important avenue for </w:t>
      </w:r>
      <w:r>
        <w:rPr>
          <w:rFonts w:ascii="Times New Roman" w:hAnsi="Times New Roman" w:cs="Times New Roman"/>
          <w:sz w:val="24"/>
          <w:szCs w:val="24"/>
        </w:rPr>
        <w:t>Bangladesh</w:t>
      </w:r>
      <w:r w:rsidRPr="00174C68">
        <w:rPr>
          <w:rFonts w:ascii="Times New Roman" w:hAnsi="Times New Roman" w:cs="Times New Roman"/>
          <w:sz w:val="24"/>
          <w:szCs w:val="24"/>
        </w:rPr>
        <w:t xml:space="preserve"> to build productive capacity where local</w:t>
      </w:r>
      <w:r>
        <w:rPr>
          <w:rFonts w:ascii="Times New Roman" w:hAnsi="Times New Roman" w:cs="Times New Roman"/>
          <w:sz w:val="24"/>
          <w:szCs w:val="24"/>
        </w:rPr>
        <w:t xml:space="preserve"> firms </w:t>
      </w:r>
      <w:r>
        <w:rPr>
          <w:rFonts w:ascii="Times New Roman" w:hAnsi="Times New Roman" w:cs="Times New Roman"/>
          <w:sz w:val="24"/>
          <w:szCs w:val="24"/>
        </w:rPr>
        <w:lastRenderedPageBreak/>
        <w:t xml:space="preserve">could </w:t>
      </w:r>
      <w:r w:rsidRPr="00174C68">
        <w:rPr>
          <w:rFonts w:ascii="Times New Roman" w:hAnsi="Times New Roman" w:cs="Times New Roman"/>
          <w:sz w:val="24"/>
          <w:szCs w:val="24"/>
        </w:rPr>
        <w:t xml:space="preserve">capture a significant share of the </w:t>
      </w:r>
      <w:r>
        <w:rPr>
          <w:rFonts w:ascii="Times New Roman" w:hAnsi="Times New Roman" w:cs="Times New Roman"/>
          <w:sz w:val="24"/>
          <w:szCs w:val="24"/>
        </w:rPr>
        <w:t xml:space="preserve">trade in </w:t>
      </w:r>
      <w:r w:rsidRPr="00174C68">
        <w:rPr>
          <w:rFonts w:ascii="Times New Roman" w:hAnsi="Times New Roman" w:cs="Times New Roman"/>
          <w:sz w:val="24"/>
          <w:szCs w:val="24"/>
        </w:rPr>
        <w:t>value added</w:t>
      </w:r>
      <w:r>
        <w:rPr>
          <w:rFonts w:ascii="Times New Roman" w:hAnsi="Times New Roman" w:cs="Times New Roman"/>
          <w:sz w:val="24"/>
          <w:szCs w:val="24"/>
        </w:rPr>
        <w:t xml:space="preserve">. But East Asian economies have powered ahead seizing early opportunities, particularly in their trade with China, the leading global assembler. There is still scope for gaining a foothold in regional value chains provided we make </w:t>
      </w:r>
      <w:r w:rsidRPr="00174C68">
        <w:rPr>
          <w:rFonts w:ascii="Times New Roman" w:hAnsi="Times New Roman" w:cs="Times New Roman"/>
          <w:sz w:val="24"/>
          <w:szCs w:val="24"/>
        </w:rPr>
        <w:t xml:space="preserve">significant investment </w:t>
      </w:r>
      <w:r>
        <w:rPr>
          <w:rFonts w:ascii="Times New Roman" w:hAnsi="Times New Roman" w:cs="Times New Roman"/>
          <w:sz w:val="24"/>
          <w:szCs w:val="24"/>
        </w:rPr>
        <w:t xml:space="preserve">in </w:t>
      </w:r>
      <w:r w:rsidRPr="00174C68">
        <w:rPr>
          <w:rFonts w:ascii="Times New Roman" w:hAnsi="Times New Roman" w:cs="Times New Roman"/>
          <w:sz w:val="24"/>
          <w:szCs w:val="24"/>
        </w:rPr>
        <w:t>technology dissemination, skill building</w:t>
      </w:r>
      <w:r>
        <w:rPr>
          <w:rFonts w:ascii="Times New Roman" w:hAnsi="Times New Roman" w:cs="Times New Roman"/>
          <w:sz w:val="24"/>
          <w:szCs w:val="24"/>
        </w:rPr>
        <w:t xml:space="preserve"> </w:t>
      </w:r>
      <w:r w:rsidRPr="00174C68">
        <w:rPr>
          <w:rFonts w:ascii="Times New Roman" w:hAnsi="Times New Roman" w:cs="Times New Roman"/>
          <w:sz w:val="24"/>
          <w:szCs w:val="24"/>
        </w:rPr>
        <w:t>and upgrading</w:t>
      </w:r>
      <w:r>
        <w:rPr>
          <w:rFonts w:ascii="Times New Roman" w:hAnsi="Times New Roman" w:cs="Times New Roman"/>
          <w:sz w:val="24"/>
          <w:szCs w:val="24"/>
        </w:rPr>
        <w:t>, and making deep trade facilitation reforms</w:t>
      </w:r>
      <w:r w:rsidRPr="00174C68">
        <w:rPr>
          <w:rFonts w:ascii="Times New Roman" w:hAnsi="Times New Roman" w:cs="Times New Roman"/>
          <w:sz w:val="24"/>
          <w:szCs w:val="24"/>
        </w:rPr>
        <w:t>.</w:t>
      </w:r>
      <w:r>
        <w:rPr>
          <w:rFonts w:ascii="Times New Roman" w:hAnsi="Times New Roman" w:cs="Times New Roman"/>
          <w:sz w:val="24"/>
          <w:szCs w:val="24"/>
        </w:rPr>
        <w:t xml:space="preserve"> </w:t>
      </w:r>
      <w:r w:rsidRPr="00174C68">
        <w:rPr>
          <w:rFonts w:ascii="Times New Roman" w:hAnsi="Times New Roman" w:cs="Times New Roman"/>
          <w:sz w:val="24"/>
          <w:szCs w:val="24"/>
        </w:rPr>
        <w:t>A structured approach would include embedding GVCs in</w:t>
      </w:r>
      <w:r>
        <w:rPr>
          <w:rFonts w:ascii="Times New Roman" w:hAnsi="Times New Roman" w:cs="Times New Roman"/>
          <w:sz w:val="24"/>
          <w:szCs w:val="24"/>
        </w:rPr>
        <w:t xml:space="preserve"> our</w:t>
      </w:r>
      <w:r w:rsidRPr="00174C68">
        <w:rPr>
          <w:rFonts w:ascii="Times New Roman" w:hAnsi="Times New Roman" w:cs="Times New Roman"/>
          <w:sz w:val="24"/>
          <w:szCs w:val="24"/>
        </w:rPr>
        <w:t xml:space="preserve"> industrial development policies, in particular</w:t>
      </w:r>
      <w:r>
        <w:rPr>
          <w:rFonts w:ascii="Times New Roman" w:hAnsi="Times New Roman" w:cs="Times New Roman"/>
          <w:sz w:val="24"/>
          <w:szCs w:val="24"/>
        </w:rPr>
        <w:t xml:space="preserve"> </w:t>
      </w:r>
      <w:r w:rsidRPr="00174C68">
        <w:rPr>
          <w:rFonts w:ascii="Times New Roman" w:hAnsi="Times New Roman" w:cs="Times New Roman"/>
          <w:sz w:val="24"/>
          <w:szCs w:val="24"/>
        </w:rPr>
        <w:t>creating an environment conducive to trade and investment and building productive capacities in local</w:t>
      </w:r>
      <w:r>
        <w:rPr>
          <w:rFonts w:ascii="Times New Roman" w:hAnsi="Times New Roman" w:cs="Times New Roman"/>
          <w:sz w:val="24"/>
          <w:szCs w:val="24"/>
        </w:rPr>
        <w:t xml:space="preserve"> </w:t>
      </w:r>
      <w:r w:rsidRPr="00174C68">
        <w:rPr>
          <w:rFonts w:ascii="Times New Roman" w:hAnsi="Times New Roman" w:cs="Times New Roman"/>
          <w:sz w:val="24"/>
          <w:szCs w:val="24"/>
        </w:rPr>
        <w:t>firms an</w:t>
      </w:r>
      <w:r>
        <w:rPr>
          <w:rFonts w:ascii="Times New Roman" w:hAnsi="Times New Roman" w:cs="Times New Roman"/>
          <w:sz w:val="24"/>
          <w:szCs w:val="24"/>
        </w:rPr>
        <w:t xml:space="preserve">d skills in the local workforce so that the economy can attract FDI from regional and global sources. </w:t>
      </w:r>
    </w:p>
    <w:p w14:paraId="108680F5" w14:textId="74ADD295" w:rsidR="008D397E" w:rsidRDefault="00D115E5" w:rsidP="008F486B">
      <w:pPr>
        <w:tabs>
          <w:tab w:val="left" w:pos="831"/>
        </w:tabs>
        <w:spacing w:after="240" w:line="276" w:lineRule="auto"/>
        <w:ind w:right="108"/>
        <w:jc w:val="both"/>
        <w:rPr>
          <w:rFonts w:ascii="Times New Roman" w:hAnsi="Times New Roman" w:cs="Times New Roman"/>
          <w:sz w:val="24"/>
          <w:szCs w:val="24"/>
        </w:rPr>
      </w:pPr>
      <w:r>
        <w:rPr>
          <w:rFonts w:ascii="Times New Roman" w:hAnsi="Times New Roman" w:cs="Times New Roman"/>
          <w:sz w:val="24"/>
          <w:szCs w:val="24"/>
        </w:rPr>
        <w:t xml:space="preserve">Global </w:t>
      </w:r>
      <w:r w:rsidRPr="008319B5">
        <w:rPr>
          <w:rFonts w:ascii="Times New Roman" w:hAnsi="Times New Roman" w:cs="Times New Roman"/>
          <w:sz w:val="24"/>
          <w:szCs w:val="24"/>
        </w:rPr>
        <w:t xml:space="preserve">analysts </w:t>
      </w:r>
      <w:r w:rsidRPr="008F486B">
        <w:rPr>
          <w:rFonts w:ascii="Times New Roman" w:hAnsi="Times New Roman" w:cs="Times New Roman"/>
          <w:sz w:val="24"/>
          <w:szCs w:val="24"/>
        </w:rPr>
        <w:t>foresee a world in which service-led industries are dominant and where businesses with explicit sustainability goals will succeed.</w:t>
      </w:r>
      <w:r>
        <w:rPr>
          <w:rFonts w:ascii="Times New Roman" w:hAnsi="Times New Roman" w:cs="Times New Roman"/>
          <w:sz w:val="24"/>
          <w:szCs w:val="24"/>
        </w:rPr>
        <w:t xml:space="preserve"> </w:t>
      </w:r>
      <w:r w:rsidR="008D397E">
        <w:rPr>
          <w:rFonts w:ascii="Times New Roman" w:hAnsi="Times New Roman" w:cs="Times New Roman"/>
          <w:sz w:val="24"/>
          <w:szCs w:val="24"/>
        </w:rPr>
        <w:t xml:space="preserve">This is one area that needs immediate policy attention if Bangladesh is to seize opportunities as barriers to trade in services crumble in future. </w:t>
      </w:r>
      <w:r>
        <w:rPr>
          <w:rFonts w:ascii="Times New Roman" w:hAnsi="Times New Roman" w:cs="Times New Roman"/>
          <w:sz w:val="24"/>
          <w:szCs w:val="24"/>
        </w:rPr>
        <w:t>Another key focus of future export competitiveness of Bangladesh will have to be the development of world class service industries.</w:t>
      </w:r>
    </w:p>
    <w:p w14:paraId="0A2E6492" w14:textId="1C4E6677" w:rsidR="008D397E" w:rsidRDefault="008D397E" w:rsidP="008F486B">
      <w:pPr>
        <w:tabs>
          <w:tab w:val="left" w:pos="831"/>
        </w:tabs>
        <w:spacing w:after="240" w:line="276" w:lineRule="auto"/>
        <w:ind w:right="108"/>
        <w:jc w:val="both"/>
        <w:rPr>
          <w:rFonts w:ascii="Times New Roman" w:hAnsi="Times New Roman" w:cs="Times New Roman"/>
          <w:sz w:val="24"/>
          <w:szCs w:val="24"/>
        </w:rPr>
      </w:pPr>
      <w:r w:rsidRPr="008F486B">
        <w:rPr>
          <w:rFonts w:ascii="Times New Roman" w:hAnsi="Times New Roman" w:cs="Times New Roman"/>
          <w:i/>
          <w:sz w:val="24"/>
          <w:szCs w:val="24"/>
        </w:rPr>
        <w:t>Proliferation of RTAs/PTAs.</w:t>
      </w:r>
      <w:r>
        <w:rPr>
          <w:rFonts w:ascii="Times New Roman" w:hAnsi="Times New Roman" w:cs="Times New Roman"/>
          <w:sz w:val="24"/>
          <w:szCs w:val="24"/>
        </w:rPr>
        <w:t xml:space="preserve"> In the past 25 years it appears that the era of hyper-globalization has also been accompanied by a proliferation of RTAs/PTAs. Since 1990, the number of PTAs has risen to over 300, and roughly half the exports of the top 30 exporters go to RTA partners. While two mega-PTAs – Trans Pacific Partnership (TPP) and Trans Atlantic Trade and Investment Partnership (TTIP) – have apparently lost momentum for the time being, the mega-regional in Bangladesh’s backyard is the ASEAN+ which is </w:t>
      </w:r>
      <w:r w:rsidR="00513D1F">
        <w:rPr>
          <w:rFonts w:ascii="Times New Roman" w:hAnsi="Times New Roman" w:cs="Times New Roman"/>
          <w:sz w:val="24"/>
          <w:szCs w:val="24"/>
        </w:rPr>
        <w:t xml:space="preserve">moving up to become an economic community of East Asian countries (Regional Comprehensive Economic Partnership) with the original 10 economies (Indonesia, Malaysia, Singapore, Thailand, The Philippines, Brunei, Cambodia, Vietnam, Laos, Myanmar) joined </w:t>
      </w:r>
      <w:r w:rsidR="00752DA3">
        <w:rPr>
          <w:rFonts w:ascii="Times New Roman" w:hAnsi="Times New Roman" w:cs="Times New Roman"/>
          <w:sz w:val="24"/>
          <w:szCs w:val="24"/>
        </w:rPr>
        <w:t xml:space="preserve">by </w:t>
      </w:r>
      <w:r w:rsidR="00513D1F">
        <w:rPr>
          <w:rFonts w:ascii="Times New Roman" w:hAnsi="Times New Roman" w:cs="Times New Roman"/>
          <w:sz w:val="24"/>
          <w:szCs w:val="24"/>
        </w:rPr>
        <w:t>another</w:t>
      </w:r>
      <w:r w:rsidR="00752DA3">
        <w:rPr>
          <w:rFonts w:ascii="Times New Roman" w:hAnsi="Times New Roman" w:cs="Times New Roman"/>
          <w:sz w:val="24"/>
          <w:szCs w:val="24"/>
        </w:rPr>
        <w:t xml:space="preserve"> five</w:t>
      </w:r>
      <w:r w:rsidR="00513D1F">
        <w:rPr>
          <w:rFonts w:ascii="Times New Roman" w:hAnsi="Times New Roman" w:cs="Times New Roman"/>
          <w:sz w:val="24"/>
          <w:szCs w:val="24"/>
        </w:rPr>
        <w:t xml:space="preserve"> Pacific economies (China, Japan, Australia, New Zealand, </w:t>
      </w:r>
      <w:r w:rsidR="00752DA3">
        <w:rPr>
          <w:rFonts w:ascii="Times New Roman" w:hAnsi="Times New Roman" w:cs="Times New Roman"/>
          <w:sz w:val="24"/>
          <w:szCs w:val="24"/>
        </w:rPr>
        <w:t xml:space="preserve">S. Korea) and India. Bangladesh is behind in its regional initiatives being a member of only one FTA, SAFTA, and needs to heighten its proactivity to tie up with other regional groups to access growing markets in proximity of South Asia. </w:t>
      </w:r>
    </w:p>
    <w:p w14:paraId="21DBE13F" w14:textId="59A9824C" w:rsidR="00FA36C7" w:rsidRPr="008F486B" w:rsidRDefault="00895045" w:rsidP="008F486B">
      <w:pPr>
        <w:tabs>
          <w:tab w:val="left" w:pos="831"/>
        </w:tabs>
        <w:spacing w:after="240" w:line="276" w:lineRule="auto"/>
        <w:ind w:right="108"/>
        <w:jc w:val="both"/>
        <w:rPr>
          <w:rFonts w:ascii="Times New Roman" w:hAnsi="Times New Roman" w:cs="Times New Roman"/>
          <w:sz w:val="24"/>
          <w:szCs w:val="24"/>
        </w:rPr>
      </w:pPr>
      <w:r w:rsidRPr="008F486B">
        <w:rPr>
          <w:rFonts w:ascii="Times New Roman" w:hAnsi="Times New Roman" w:cs="Times New Roman"/>
          <w:i/>
          <w:sz w:val="24"/>
          <w:szCs w:val="24"/>
        </w:rPr>
        <w:t>Future of global trade and Bangladesh.</w:t>
      </w:r>
      <w:r>
        <w:rPr>
          <w:rFonts w:ascii="Times New Roman" w:hAnsi="Times New Roman" w:cs="Times New Roman"/>
          <w:sz w:val="24"/>
          <w:szCs w:val="24"/>
        </w:rPr>
        <w:t xml:space="preserve"> </w:t>
      </w:r>
      <w:r w:rsidR="00752DA3" w:rsidRPr="00446ACD">
        <w:rPr>
          <w:rFonts w:ascii="Times New Roman" w:hAnsi="Times New Roman" w:cs="Times New Roman"/>
          <w:sz w:val="24"/>
          <w:szCs w:val="24"/>
        </w:rPr>
        <w:t xml:space="preserve">In the world today, $40 trillion worth of goods – roughly two-thirds of global GDP -- are traded every year across borders along ever shifting import and export routes. </w:t>
      </w:r>
      <w:r w:rsidR="00752DA3" w:rsidRPr="008F486B">
        <w:rPr>
          <w:rFonts w:ascii="Times New Roman" w:hAnsi="Times New Roman" w:cs="Times New Roman"/>
          <w:sz w:val="24"/>
          <w:szCs w:val="24"/>
        </w:rPr>
        <w:t xml:space="preserve">70% of this trade is in manufactured goods whose dominance in trade is likely to continue for long. </w:t>
      </w:r>
      <w:r w:rsidR="00FA36C7" w:rsidRPr="008F486B">
        <w:rPr>
          <w:rFonts w:ascii="Times New Roman" w:hAnsi="Times New Roman" w:cs="Times New Roman"/>
          <w:sz w:val="24"/>
          <w:szCs w:val="24"/>
        </w:rPr>
        <w:t xml:space="preserve">In the past 25 years, falling costs of transportation and communication and removal of barriers to trade have been the driving force behind the closer integration of developing economies into the global marketplace. Bangladesh has been among the strongest beneficiaries of this development. Over the next 25 years the stage is set for developing and emerging economies like Bangladesh to move center stage in the global economy. Tremendous opportunities will be created along with acute stresses arising from income inequality, tensions in labor markets, environmental challenges. With rapid technological progress touching every aspect of society, global trade in goods and services will accelerate, with greater integration of financial markets, creating opportunities for faster long-term growth. </w:t>
      </w:r>
    </w:p>
    <w:p w14:paraId="67161027" w14:textId="05B2B976" w:rsidR="00446ACD" w:rsidRPr="008F486B" w:rsidRDefault="004A7CE4" w:rsidP="008F486B">
      <w:pPr>
        <w:tabs>
          <w:tab w:val="left" w:pos="831"/>
        </w:tabs>
        <w:spacing w:after="240" w:line="276" w:lineRule="auto"/>
        <w:ind w:right="108"/>
        <w:jc w:val="both"/>
        <w:rPr>
          <w:rFonts w:ascii="Times New Roman" w:hAnsi="Times New Roman" w:cs="Times New Roman"/>
          <w:sz w:val="24"/>
          <w:szCs w:val="24"/>
        </w:rPr>
      </w:pPr>
      <w:r w:rsidRPr="008F486B">
        <w:rPr>
          <w:rFonts w:ascii="Times New Roman" w:hAnsi="Times New Roman" w:cs="Times New Roman"/>
          <w:sz w:val="24"/>
          <w:szCs w:val="24"/>
        </w:rPr>
        <w:lastRenderedPageBreak/>
        <w:t xml:space="preserve">What is </w:t>
      </w:r>
      <w:r w:rsidR="00B15B37" w:rsidRPr="008F486B">
        <w:rPr>
          <w:rFonts w:ascii="Times New Roman" w:hAnsi="Times New Roman" w:cs="Times New Roman"/>
          <w:sz w:val="24"/>
          <w:szCs w:val="24"/>
        </w:rPr>
        <w:t xml:space="preserve">evolving over time is that, thanks to technological breakthroughs, industrial good that were the exclusive preserve of developed countries (e.g. car parts, semiconductors, consumer electronics) is now manufactured and exported by developing countries. </w:t>
      </w:r>
      <w:r w:rsidR="00FA36C7" w:rsidRPr="008F486B">
        <w:rPr>
          <w:rFonts w:ascii="Times New Roman" w:hAnsi="Times New Roman" w:cs="Times New Roman"/>
          <w:sz w:val="24"/>
          <w:szCs w:val="24"/>
        </w:rPr>
        <w:t>These developments create enormous opportunities for Bangladesh to seize, creating jobs and income at home. Importantly, with</w:t>
      </w:r>
      <w:r w:rsidR="00446ACD" w:rsidRPr="008F486B">
        <w:rPr>
          <w:rFonts w:ascii="Times New Roman" w:hAnsi="Times New Roman" w:cs="Times New Roman"/>
          <w:sz w:val="24"/>
          <w:szCs w:val="24"/>
        </w:rPr>
        <w:t xml:space="preserve"> the help of appropriate policies Bangladesh must ensure that growth is inclusive by addressing the challenges arising from income inequality and potential labor market disruptions. </w:t>
      </w:r>
    </w:p>
    <w:p w14:paraId="67233650" w14:textId="350956E1" w:rsidR="00254A5E" w:rsidRPr="008F486B" w:rsidRDefault="00446ACD" w:rsidP="008F486B">
      <w:pPr>
        <w:tabs>
          <w:tab w:val="left" w:pos="831"/>
        </w:tabs>
        <w:spacing w:after="240" w:line="276" w:lineRule="auto"/>
        <w:ind w:right="108"/>
        <w:jc w:val="both"/>
        <w:rPr>
          <w:rFonts w:ascii="Times New Roman" w:hAnsi="Times New Roman" w:cs="Times New Roman"/>
          <w:sz w:val="24"/>
          <w:szCs w:val="24"/>
        </w:rPr>
      </w:pPr>
      <w:r w:rsidRPr="008F486B">
        <w:rPr>
          <w:rFonts w:ascii="Times New Roman" w:hAnsi="Times New Roman" w:cs="Times New Roman"/>
          <w:sz w:val="24"/>
          <w:szCs w:val="24"/>
        </w:rPr>
        <w:t>Thus i</w:t>
      </w:r>
      <w:r w:rsidR="00B86102" w:rsidRPr="008F486B">
        <w:rPr>
          <w:rFonts w:ascii="Times New Roman" w:hAnsi="Times New Roman" w:cs="Times New Roman"/>
          <w:sz w:val="24"/>
          <w:szCs w:val="24"/>
        </w:rPr>
        <w:t>n charting a long-term perspective of Bangladesh’s transformation to a high-income country, at least t</w:t>
      </w:r>
      <w:r w:rsidR="001A31D3" w:rsidRPr="008F486B">
        <w:rPr>
          <w:rFonts w:ascii="Times New Roman" w:hAnsi="Times New Roman" w:cs="Times New Roman"/>
          <w:sz w:val="24"/>
          <w:szCs w:val="24"/>
        </w:rPr>
        <w:t>hree</w:t>
      </w:r>
      <w:r w:rsidR="00B763B1" w:rsidRPr="008F486B">
        <w:rPr>
          <w:rFonts w:ascii="Times New Roman" w:hAnsi="Times New Roman" w:cs="Times New Roman"/>
          <w:sz w:val="24"/>
          <w:szCs w:val="24"/>
        </w:rPr>
        <w:t xml:space="preserve"> important features of the current and next wave of globalization</w:t>
      </w:r>
      <w:r w:rsidR="001A31D3" w:rsidRPr="008F486B">
        <w:rPr>
          <w:rFonts w:ascii="Times New Roman" w:hAnsi="Times New Roman" w:cs="Times New Roman"/>
          <w:sz w:val="24"/>
          <w:szCs w:val="24"/>
        </w:rPr>
        <w:t xml:space="preserve"> should be kept in view: (a) boundless growth of trade, (</w:t>
      </w:r>
      <w:r w:rsidR="00B86102" w:rsidRPr="008F486B">
        <w:rPr>
          <w:rFonts w:ascii="Times New Roman" w:hAnsi="Times New Roman" w:cs="Times New Roman"/>
          <w:sz w:val="24"/>
          <w:szCs w:val="24"/>
        </w:rPr>
        <w:t>b</w:t>
      </w:r>
      <w:r w:rsidR="001A31D3" w:rsidRPr="008F486B">
        <w:rPr>
          <w:rFonts w:ascii="Times New Roman" w:hAnsi="Times New Roman" w:cs="Times New Roman"/>
          <w:sz w:val="24"/>
          <w:szCs w:val="24"/>
        </w:rPr>
        <w:t>) greater integration of capital and financial markets, and (</w:t>
      </w:r>
      <w:r w:rsidR="00B86102" w:rsidRPr="008F486B">
        <w:rPr>
          <w:rFonts w:ascii="Times New Roman" w:hAnsi="Times New Roman" w:cs="Times New Roman"/>
          <w:sz w:val="24"/>
          <w:szCs w:val="24"/>
        </w:rPr>
        <w:t>c</w:t>
      </w:r>
      <w:r w:rsidR="001A31D3" w:rsidRPr="008F486B">
        <w:rPr>
          <w:rFonts w:ascii="Times New Roman" w:hAnsi="Times New Roman" w:cs="Times New Roman"/>
          <w:sz w:val="24"/>
          <w:szCs w:val="24"/>
        </w:rPr>
        <w:t xml:space="preserve">) rapid pace of technological innovation and diffusion. </w:t>
      </w:r>
      <w:r w:rsidR="00B86102" w:rsidRPr="008F486B">
        <w:rPr>
          <w:rFonts w:ascii="Times New Roman" w:hAnsi="Times New Roman" w:cs="Times New Roman"/>
          <w:sz w:val="24"/>
          <w:szCs w:val="24"/>
        </w:rPr>
        <w:t xml:space="preserve">World trade has exploded since the 1960s, growing faster than output, and causing global exports to rise from only $1 trillion to $16.5 trillion in 2015 and is projected to reach $65 trillion by 2050. </w:t>
      </w:r>
      <w:r w:rsidR="00E85A73" w:rsidRPr="008F486B">
        <w:rPr>
          <w:rFonts w:ascii="Times New Roman" w:hAnsi="Times New Roman" w:cs="Times New Roman"/>
          <w:sz w:val="24"/>
          <w:szCs w:val="24"/>
        </w:rPr>
        <w:t xml:space="preserve">Despite the brief </w:t>
      </w:r>
      <w:r w:rsidR="00021CA9" w:rsidRPr="008F486B">
        <w:rPr>
          <w:rFonts w:ascii="Times New Roman" w:hAnsi="Times New Roman" w:cs="Times New Roman"/>
          <w:sz w:val="24"/>
          <w:szCs w:val="24"/>
        </w:rPr>
        <w:t xml:space="preserve">interlude of discontent with globalism across some OECD countries, trade integration is expected to accelerate, and </w:t>
      </w:r>
      <w:r w:rsidR="00B86102" w:rsidRPr="008F486B">
        <w:rPr>
          <w:rFonts w:ascii="Times New Roman" w:hAnsi="Times New Roman" w:cs="Times New Roman"/>
          <w:sz w:val="24"/>
          <w:szCs w:val="24"/>
        </w:rPr>
        <w:t>Bangladesh’s future industrialization lies in seizing the expanding export opportunities in the world economy. Thanks to financial and capital market integration</w:t>
      </w:r>
      <w:r w:rsidR="00021CA9" w:rsidRPr="008F486B">
        <w:rPr>
          <w:rFonts w:ascii="Times New Roman" w:hAnsi="Times New Roman" w:cs="Times New Roman"/>
          <w:sz w:val="24"/>
          <w:szCs w:val="24"/>
        </w:rPr>
        <w:t>, which will intensify over time,</w:t>
      </w:r>
      <w:r w:rsidR="00B86102" w:rsidRPr="008F486B">
        <w:rPr>
          <w:rFonts w:ascii="Times New Roman" w:hAnsi="Times New Roman" w:cs="Times New Roman"/>
          <w:sz w:val="24"/>
          <w:szCs w:val="24"/>
        </w:rPr>
        <w:t xml:space="preserve"> </w:t>
      </w:r>
      <w:r w:rsidR="0082331A" w:rsidRPr="008F486B">
        <w:rPr>
          <w:rFonts w:ascii="Times New Roman" w:hAnsi="Times New Roman" w:cs="Times New Roman"/>
          <w:sz w:val="24"/>
          <w:szCs w:val="24"/>
        </w:rPr>
        <w:t xml:space="preserve">inward </w:t>
      </w:r>
      <w:r w:rsidR="00B86102" w:rsidRPr="008F486B">
        <w:rPr>
          <w:rFonts w:ascii="Times New Roman" w:hAnsi="Times New Roman" w:cs="Times New Roman"/>
          <w:sz w:val="24"/>
          <w:szCs w:val="24"/>
        </w:rPr>
        <w:t xml:space="preserve">FDI </w:t>
      </w:r>
      <w:r w:rsidR="0082331A" w:rsidRPr="008F486B">
        <w:rPr>
          <w:rFonts w:ascii="Times New Roman" w:hAnsi="Times New Roman" w:cs="Times New Roman"/>
          <w:sz w:val="24"/>
          <w:szCs w:val="24"/>
        </w:rPr>
        <w:t xml:space="preserve">flows </w:t>
      </w:r>
      <w:r w:rsidR="00B86102" w:rsidRPr="008F486B">
        <w:rPr>
          <w:rFonts w:ascii="Times New Roman" w:hAnsi="Times New Roman" w:cs="Times New Roman"/>
          <w:sz w:val="24"/>
          <w:szCs w:val="24"/>
        </w:rPr>
        <w:t xml:space="preserve">to developing countries </w:t>
      </w:r>
      <w:r w:rsidR="0082331A" w:rsidRPr="008F486B">
        <w:rPr>
          <w:rFonts w:ascii="Times New Roman" w:hAnsi="Times New Roman" w:cs="Times New Roman"/>
          <w:sz w:val="24"/>
          <w:szCs w:val="24"/>
        </w:rPr>
        <w:t xml:space="preserve">reached $200 billion pre-crisis, fell sharply post-crisis, </w:t>
      </w:r>
      <w:r w:rsidR="00700C57" w:rsidRPr="008F486B">
        <w:rPr>
          <w:rFonts w:ascii="Times New Roman" w:hAnsi="Times New Roman" w:cs="Times New Roman"/>
          <w:sz w:val="24"/>
          <w:szCs w:val="24"/>
        </w:rPr>
        <w:t>but is again showing signs of a resurgence</w:t>
      </w:r>
      <w:r w:rsidR="0082331A" w:rsidRPr="008F486B">
        <w:rPr>
          <w:rFonts w:ascii="Times New Roman" w:hAnsi="Times New Roman" w:cs="Times New Roman"/>
          <w:sz w:val="24"/>
          <w:szCs w:val="24"/>
        </w:rPr>
        <w:t xml:space="preserve">, led by inflows into China and India. </w:t>
      </w:r>
      <w:r w:rsidR="00021CA9" w:rsidRPr="008F486B">
        <w:rPr>
          <w:rFonts w:ascii="Times New Roman" w:hAnsi="Times New Roman" w:cs="Times New Roman"/>
          <w:sz w:val="24"/>
          <w:szCs w:val="24"/>
        </w:rPr>
        <w:t xml:space="preserve">We will have to make the strongest efforts to create the kind of investment climate that captures a much larger share of global FDI in order to build our infrastructure of the future. </w:t>
      </w:r>
      <w:r w:rsidR="0082331A" w:rsidRPr="008F486B">
        <w:rPr>
          <w:rFonts w:ascii="Times New Roman" w:hAnsi="Times New Roman" w:cs="Times New Roman"/>
          <w:sz w:val="24"/>
          <w:szCs w:val="24"/>
        </w:rPr>
        <w:t xml:space="preserve">Finally, Bangladesh can look forward to further technological breakthroughs </w:t>
      </w:r>
      <w:r w:rsidR="00021CA9" w:rsidRPr="008F486B">
        <w:rPr>
          <w:rFonts w:ascii="Times New Roman" w:hAnsi="Times New Roman" w:cs="Times New Roman"/>
          <w:sz w:val="24"/>
          <w:szCs w:val="24"/>
        </w:rPr>
        <w:t xml:space="preserve">and their diffusion </w:t>
      </w:r>
      <w:r w:rsidR="0082331A" w:rsidRPr="008F486B">
        <w:rPr>
          <w:rFonts w:ascii="Times New Roman" w:hAnsi="Times New Roman" w:cs="Times New Roman"/>
          <w:sz w:val="24"/>
          <w:szCs w:val="24"/>
        </w:rPr>
        <w:t>accelerat</w:t>
      </w:r>
      <w:r w:rsidR="00021CA9" w:rsidRPr="008F486B">
        <w:rPr>
          <w:rFonts w:ascii="Times New Roman" w:hAnsi="Times New Roman" w:cs="Times New Roman"/>
          <w:sz w:val="24"/>
          <w:szCs w:val="24"/>
        </w:rPr>
        <w:t>ing</w:t>
      </w:r>
      <w:r w:rsidR="0082331A" w:rsidRPr="008F486B">
        <w:rPr>
          <w:rFonts w:ascii="Times New Roman" w:hAnsi="Times New Roman" w:cs="Times New Roman"/>
          <w:sz w:val="24"/>
          <w:szCs w:val="24"/>
        </w:rPr>
        <w:t xml:space="preserve"> the flows of goods, capital, and knowledge, and we have to position ourselves with adequate investments in education and skill development in order to fully absorb the gains arising from these changes. </w:t>
      </w:r>
    </w:p>
    <w:p w14:paraId="4CE77893" w14:textId="243186C8" w:rsidR="00C11B1D" w:rsidRPr="008F486B" w:rsidRDefault="00895045" w:rsidP="008F486B">
      <w:pPr>
        <w:tabs>
          <w:tab w:val="left" w:pos="831"/>
        </w:tabs>
        <w:spacing w:after="240" w:line="276" w:lineRule="auto"/>
        <w:ind w:right="108"/>
        <w:jc w:val="both"/>
        <w:rPr>
          <w:rFonts w:ascii="Times New Roman" w:hAnsi="Times New Roman" w:cs="Times New Roman"/>
          <w:sz w:val="24"/>
          <w:szCs w:val="24"/>
        </w:rPr>
      </w:pPr>
      <w:r w:rsidRPr="008F486B">
        <w:rPr>
          <w:rFonts w:ascii="Times New Roman" w:hAnsi="Times New Roman" w:cs="Times New Roman"/>
          <w:i/>
          <w:sz w:val="24"/>
          <w:szCs w:val="24"/>
        </w:rPr>
        <w:t>How significant is de-globalization trend?</w:t>
      </w:r>
      <w:r>
        <w:rPr>
          <w:rFonts w:ascii="Times New Roman" w:hAnsi="Times New Roman" w:cs="Times New Roman"/>
          <w:sz w:val="24"/>
          <w:szCs w:val="24"/>
        </w:rPr>
        <w:t xml:space="preserve"> </w:t>
      </w:r>
      <w:r w:rsidR="00E319EC" w:rsidRPr="00640977">
        <w:rPr>
          <w:rFonts w:ascii="Times New Roman" w:hAnsi="Times New Roman" w:cs="Times New Roman"/>
          <w:sz w:val="24"/>
          <w:szCs w:val="24"/>
        </w:rPr>
        <w:t xml:space="preserve">The preceding describes </w:t>
      </w:r>
      <w:r w:rsidR="00C437BA" w:rsidRPr="00640977">
        <w:rPr>
          <w:rFonts w:ascii="Times New Roman" w:hAnsi="Times New Roman" w:cs="Times New Roman"/>
          <w:sz w:val="24"/>
          <w:szCs w:val="24"/>
        </w:rPr>
        <w:t xml:space="preserve">the evolving global architecture within which Bangladesh trade and industrial policies will have to operate. </w:t>
      </w:r>
      <w:r w:rsidR="00C25BE8" w:rsidRPr="00640977">
        <w:rPr>
          <w:rFonts w:ascii="Times New Roman" w:hAnsi="Times New Roman" w:cs="Times New Roman"/>
          <w:sz w:val="24"/>
          <w:szCs w:val="24"/>
        </w:rPr>
        <w:t xml:space="preserve">Some political developments in the advanced industrial countries have raised skepticism against current trends in globalization and trade openness. </w:t>
      </w:r>
      <w:r w:rsidR="00E319EC" w:rsidRPr="00640977">
        <w:rPr>
          <w:rFonts w:ascii="Times New Roman" w:hAnsi="Times New Roman" w:cs="Times New Roman"/>
          <w:sz w:val="24"/>
          <w:szCs w:val="24"/>
        </w:rPr>
        <w:t>This is because not all aspects of globalization are positive. Easier access to knowledge and information could also</w:t>
      </w:r>
      <w:r w:rsidR="00E319EC" w:rsidRPr="008F486B">
        <w:rPr>
          <w:rFonts w:ascii="Times New Roman" w:hAnsi="Times New Roman" w:cs="Times New Roman"/>
          <w:sz w:val="24"/>
          <w:szCs w:val="24"/>
        </w:rPr>
        <w:t xml:space="preserve"> create a world that is more volatile with </w:t>
      </w:r>
      <w:r w:rsidR="00C11B1D" w:rsidRPr="008F486B">
        <w:rPr>
          <w:rFonts w:ascii="Times New Roman" w:hAnsi="Times New Roman" w:cs="Times New Roman"/>
          <w:sz w:val="24"/>
          <w:szCs w:val="24"/>
        </w:rPr>
        <w:t>increased economic uncertainty as the global financial crisis of 2008-09 has shown. Trust in global governance erodes when business and political leaders fail to resolve crisis and improve lives in their own communities. That provides fodder to the voices of economic nationalism fueling</w:t>
      </w:r>
      <w:r w:rsidR="00A31416" w:rsidRPr="008F486B">
        <w:rPr>
          <w:rFonts w:ascii="Times New Roman" w:hAnsi="Times New Roman" w:cs="Times New Roman"/>
          <w:sz w:val="24"/>
          <w:szCs w:val="24"/>
        </w:rPr>
        <w:t xml:space="preserve"> forces of</w:t>
      </w:r>
      <w:r w:rsidR="00C11B1D" w:rsidRPr="008F486B">
        <w:rPr>
          <w:rFonts w:ascii="Times New Roman" w:hAnsi="Times New Roman" w:cs="Times New Roman"/>
          <w:sz w:val="24"/>
          <w:szCs w:val="24"/>
        </w:rPr>
        <w:t xml:space="preserve"> protectionism </w:t>
      </w:r>
      <w:r w:rsidR="00640977" w:rsidRPr="008F486B">
        <w:rPr>
          <w:rFonts w:ascii="Times New Roman" w:hAnsi="Times New Roman" w:cs="Times New Roman"/>
          <w:sz w:val="24"/>
          <w:szCs w:val="24"/>
        </w:rPr>
        <w:t xml:space="preserve">and </w:t>
      </w:r>
      <w:r w:rsidR="00A31416" w:rsidRPr="008F486B">
        <w:rPr>
          <w:rFonts w:ascii="Times New Roman" w:hAnsi="Times New Roman" w:cs="Times New Roman"/>
          <w:sz w:val="24"/>
          <w:szCs w:val="24"/>
        </w:rPr>
        <w:t>de-globalization</w:t>
      </w:r>
      <w:r w:rsidR="00422C9E" w:rsidRPr="008F486B">
        <w:rPr>
          <w:rFonts w:ascii="Times New Roman" w:hAnsi="Times New Roman" w:cs="Times New Roman"/>
          <w:sz w:val="24"/>
          <w:szCs w:val="24"/>
        </w:rPr>
        <w:t xml:space="preserve"> (a la Trump)</w:t>
      </w:r>
      <w:r w:rsidR="00A31416" w:rsidRPr="008F486B">
        <w:rPr>
          <w:rFonts w:ascii="Times New Roman" w:hAnsi="Times New Roman" w:cs="Times New Roman"/>
          <w:sz w:val="24"/>
          <w:szCs w:val="24"/>
        </w:rPr>
        <w:t xml:space="preserve">. </w:t>
      </w:r>
      <w:r w:rsidR="00440C98" w:rsidRPr="008F486B">
        <w:rPr>
          <w:rFonts w:ascii="Times New Roman" w:hAnsi="Times New Roman" w:cs="Times New Roman"/>
          <w:sz w:val="24"/>
          <w:szCs w:val="24"/>
        </w:rPr>
        <w:t xml:space="preserve">Disappointing growth rates across the developed world have prompted their political leaders not to sacrifice </w:t>
      </w:r>
      <w:r w:rsidR="00F56CFE" w:rsidRPr="008F486B">
        <w:rPr>
          <w:rFonts w:ascii="Times New Roman" w:hAnsi="Times New Roman" w:cs="Times New Roman"/>
          <w:sz w:val="24"/>
          <w:szCs w:val="24"/>
        </w:rPr>
        <w:t xml:space="preserve">what they consider </w:t>
      </w:r>
      <w:r w:rsidR="00440C98" w:rsidRPr="008F486B">
        <w:rPr>
          <w:rFonts w:ascii="Times New Roman" w:hAnsi="Times New Roman" w:cs="Times New Roman"/>
          <w:sz w:val="24"/>
          <w:szCs w:val="24"/>
        </w:rPr>
        <w:t>national interests</w:t>
      </w:r>
      <w:r w:rsidR="00F56CFE" w:rsidRPr="008F486B">
        <w:rPr>
          <w:rFonts w:ascii="Times New Roman" w:hAnsi="Times New Roman" w:cs="Times New Roman"/>
          <w:sz w:val="24"/>
          <w:szCs w:val="24"/>
        </w:rPr>
        <w:t xml:space="preserve"> for</w:t>
      </w:r>
      <w:r w:rsidR="00440C98" w:rsidRPr="008F486B">
        <w:rPr>
          <w:rFonts w:ascii="Times New Roman" w:hAnsi="Times New Roman" w:cs="Times New Roman"/>
          <w:sz w:val="24"/>
          <w:szCs w:val="24"/>
        </w:rPr>
        <w:t xml:space="preserve"> global</w:t>
      </w:r>
      <w:r w:rsidR="002850A6" w:rsidRPr="008F486B">
        <w:rPr>
          <w:rFonts w:ascii="Times New Roman" w:hAnsi="Times New Roman" w:cs="Times New Roman"/>
          <w:sz w:val="24"/>
          <w:szCs w:val="24"/>
        </w:rPr>
        <w:t xml:space="preserve"> prosperity</w:t>
      </w:r>
      <w:r w:rsidR="00440C98" w:rsidRPr="008F486B">
        <w:rPr>
          <w:rFonts w:ascii="Times New Roman" w:hAnsi="Times New Roman" w:cs="Times New Roman"/>
          <w:sz w:val="24"/>
          <w:szCs w:val="24"/>
        </w:rPr>
        <w:t>. But leading experts on the global economy (Stephen King, 2017) invoke the lessons of history to</w:t>
      </w:r>
      <w:r w:rsidR="00F56CFE" w:rsidRPr="008F486B">
        <w:rPr>
          <w:rFonts w:ascii="Times New Roman" w:hAnsi="Times New Roman" w:cs="Times New Roman"/>
          <w:sz w:val="24"/>
          <w:szCs w:val="24"/>
        </w:rPr>
        <w:t xml:space="preserve"> warn</w:t>
      </w:r>
      <w:r w:rsidR="00440C98" w:rsidRPr="008F486B">
        <w:rPr>
          <w:rFonts w:ascii="Times New Roman" w:hAnsi="Times New Roman" w:cs="Times New Roman"/>
          <w:sz w:val="24"/>
          <w:szCs w:val="24"/>
        </w:rPr>
        <w:t xml:space="preserve"> that</w:t>
      </w:r>
      <w:r w:rsidR="00F56CFE" w:rsidRPr="008F486B">
        <w:rPr>
          <w:rFonts w:ascii="Times New Roman" w:hAnsi="Times New Roman" w:cs="Times New Roman"/>
          <w:sz w:val="24"/>
          <w:szCs w:val="24"/>
        </w:rPr>
        <w:t xml:space="preserve"> such</w:t>
      </w:r>
      <w:r w:rsidR="00440C98" w:rsidRPr="008F486B">
        <w:rPr>
          <w:rFonts w:ascii="Times New Roman" w:hAnsi="Times New Roman" w:cs="Times New Roman"/>
          <w:sz w:val="24"/>
          <w:szCs w:val="24"/>
        </w:rPr>
        <w:t xml:space="preserve"> pursuit of nationalist agendas could result in a race to the bottom while rejection of globalization and a return to “autarky” </w:t>
      </w:r>
      <w:r w:rsidR="00F56CFE" w:rsidRPr="008F486B">
        <w:rPr>
          <w:rFonts w:ascii="Times New Roman" w:hAnsi="Times New Roman" w:cs="Times New Roman"/>
          <w:sz w:val="24"/>
          <w:szCs w:val="24"/>
        </w:rPr>
        <w:t xml:space="preserve">will risk economic and political conflict. </w:t>
      </w:r>
    </w:p>
    <w:p w14:paraId="67096D40" w14:textId="1CDC14F9" w:rsidR="00C437BA" w:rsidRDefault="00A31416" w:rsidP="008F486B">
      <w:pPr>
        <w:tabs>
          <w:tab w:val="left" w:pos="831"/>
        </w:tabs>
        <w:spacing w:after="240" w:line="276" w:lineRule="auto"/>
        <w:ind w:right="108"/>
        <w:jc w:val="both"/>
        <w:rPr>
          <w:rFonts w:ascii="Times New Roman" w:hAnsi="Times New Roman" w:cs="Times New Roman"/>
          <w:sz w:val="24"/>
          <w:szCs w:val="24"/>
        </w:rPr>
      </w:pPr>
      <w:r>
        <w:rPr>
          <w:rFonts w:ascii="Times New Roman" w:hAnsi="Times New Roman" w:cs="Times New Roman"/>
          <w:sz w:val="24"/>
          <w:szCs w:val="24"/>
        </w:rPr>
        <w:lastRenderedPageBreak/>
        <w:t>The good news is that t</w:t>
      </w:r>
      <w:r w:rsidR="00C25BE8">
        <w:rPr>
          <w:rFonts w:ascii="Times New Roman" w:hAnsi="Times New Roman" w:cs="Times New Roman"/>
          <w:sz w:val="24"/>
          <w:szCs w:val="24"/>
        </w:rPr>
        <w:t xml:space="preserve">his </w:t>
      </w:r>
      <w:r w:rsidR="002F1A20">
        <w:rPr>
          <w:rFonts w:ascii="Times New Roman" w:hAnsi="Times New Roman" w:cs="Times New Roman"/>
          <w:sz w:val="24"/>
          <w:szCs w:val="24"/>
        </w:rPr>
        <w:t xml:space="preserve">sort of parochialism </w:t>
      </w:r>
      <w:r w:rsidR="00C25BE8">
        <w:rPr>
          <w:rFonts w:ascii="Times New Roman" w:hAnsi="Times New Roman" w:cs="Times New Roman"/>
          <w:sz w:val="24"/>
          <w:szCs w:val="24"/>
        </w:rPr>
        <w:t xml:space="preserve">has been countered by leading </w:t>
      </w:r>
      <w:r w:rsidR="002F1A20">
        <w:rPr>
          <w:rFonts w:ascii="Times New Roman" w:hAnsi="Times New Roman" w:cs="Times New Roman"/>
          <w:sz w:val="24"/>
          <w:szCs w:val="24"/>
        </w:rPr>
        <w:t xml:space="preserve">trade </w:t>
      </w:r>
      <w:r w:rsidR="00C25BE8">
        <w:rPr>
          <w:rFonts w:ascii="Times New Roman" w:hAnsi="Times New Roman" w:cs="Times New Roman"/>
          <w:sz w:val="24"/>
          <w:szCs w:val="24"/>
        </w:rPr>
        <w:t xml:space="preserve">experts </w:t>
      </w:r>
      <w:r w:rsidR="002F1A20">
        <w:rPr>
          <w:rFonts w:ascii="Times New Roman" w:hAnsi="Times New Roman" w:cs="Times New Roman"/>
          <w:sz w:val="24"/>
          <w:szCs w:val="24"/>
        </w:rPr>
        <w:t>as well as the wider political stream in those countries</w:t>
      </w:r>
      <w:r w:rsidR="002850A6">
        <w:rPr>
          <w:rFonts w:ascii="Times New Roman" w:hAnsi="Times New Roman" w:cs="Times New Roman"/>
          <w:sz w:val="24"/>
          <w:szCs w:val="24"/>
        </w:rPr>
        <w:t>, and the mood has softened</w:t>
      </w:r>
      <w:r w:rsidR="002F1A20">
        <w:rPr>
          <w:rFonts w:ascii="Times New Roman" w:hAnsi="Times New Roman" w:cs="Times New Roman"/>
          <w:sz w:val="24"/>
          <w:szCs w:val="24"/>
        </w:rPr>
        <w:t xml:space="preserve">. The assessment of global analysts is that the current ambivalence to globalization is an episodic fallout of inward-looking political developments that is already showing signs of decadence. In the broader historical context this could become a passing phase. </w:t>
      </w:r>
      <w:r w:rsidR="00422C9E">
        <w:rPr>
          <w:rFonts w:ascii="Times New Roman" w:hAnsi="Times New Roman" w:cs="Times New Roman"/>
          <w:sz w:val="24"/>
          <w:szCs w:val="24"/>
        </w:rPr>
        <w:t xml:space="preserve">According to global analysts (Seidel and Chandy, 2016) </w:t>
      </w:r>
      <w:r w:rsidR="00422C9E" w:rsidRPr="008F486B">
        <w:rPr>
          <w:rFonts w:ascii="Times New Roman" w:hAnsi="Times New Roman" w:cs="Times New Roman"/>
          <w:sz w:val="24"/>
          <w:szCs w:val="24"/>
        </w:rPr>
        <w:t xml:space="preserve">the coming years will be characterized either by stabilization in the level of globalization, or further growth in the degree of integration but at a more modest pace than in the past. </w:t>
      </w:r>
      <w:r w:rsidR="002F1A20">
        <w:rPr>
          <w:rFonts w:ascii="Times New Roman" w:hAnsi="Times New Roman" w:cs="Times New Roman"/>
          <w:sz w:val="24"/>
          <w:szCs w:val="24"/>
        </w:rPr>
        <w:t>Therefore, s</w:t>
      </w:r>
      <w:r w:rsidR="00C437BA">
        <w:rPr>
          <w:rFonts w:ascii="Times New Roman" w:hAnsi="Times New Roman" w:cs="Times New Roman"/>
          <w:sz w:val="24"/>
          <w:szCs w:val="24"/>
        </w:rPr>
        <w:t xml:space="preserve">cenario changes from the current – hopefully brief -- wave of de-globalization and protectionist sentiments to a new wave of globalization will be surmised </w:t>
      </w:r>
      <w:r w:rsidR="00E7708D">
        <w:rPr>
          <w:rFonts w:ascii="Times New Roman" w:hAnsi="Times New Roman" w:cs="Times New Roman"/>
          <w:sz w:val="24"/>
          <w:szCs w:val="24"/>
        </w:rPr>
        <w:t>b</w:t>
      </w:r>
      <w:r w:rsidR="002F1A20">
        <w:rPr>
          <w:rFonts w:ascii="Times New Roman" w:hAnsi="Times New Roman" w:cs="Times New Roman"/>
          <w:sz w:val="24"/>
          <w:szCs w:val="24"/>
        </w:rPr>
        <w:t xml:space="preserve">y this study </w:t>
      </w:r>
      <w:r w:rsidR="00C437BA">
        <w:rPr>
          <w:rFonts w:ascii="Times New Roman" w:hAnsi="Times New Roman" w:cs="Times New Roman"/>
          <w:sz w:val="24"/>
          <w:szCs w:val="24"/>
        </w:rPr>
        <w:t xml:space="preserve">for the coming twenty-five years. </w:t>
      </w:r>
      <w:r w:rsidR="00EE21FB">
        <w:rPr>
          <w:rFonts w:ascii="Times New Roman" w:hAnsi="Times New Roman" w:cs="Times New Roman"/>
          <w:sz w:val="24"/>
          <w:szCs w:val="24"/>
        </w:rPr>
        <w:t>Bangladesh’s i</w:t>
      </w:r>
      <w:r w:rsidR="00C437BA">
        <w:rPr>
          <w:rFonts w:ascii="Times New Roman" w:hAnsi="Times New Roman" w:cs="Times New Roman"/>
          <w:sz w:val="24"/>
          <w:szCs w:val="24"/>
        </w:rPr>
        <w:t xml:space="preserve">ndustrial progress </w:t>
      </w:r>
      <w:r w:rsidR="00EE21FB">
        <w:rPr>
          <w:rFonts w:ascii="Times New Roman" w:hAnsi="Times New Roman" w:cs="Times New Roman"/>
          <w:sz w:val="24"/>
          <w:szCs w:val="24"/>
        </w:rPr>
        <w:t xml:space="preserve">therefore </w:t>
      </w:r>
      <w:r w:rsidR="00C437BA">
        <w:rPr>
          <w:rFonts w:ascii="Times New Roman" w:hAnsi="Times New Roman" w:cs="Times New Roman"/>
          <w:sz w:val="24"/>
          <w:szCs w:val="24"/>
        </w:rPr>
        <w:t>will have to be envisioned in a highly integrated world involving seamless flows of goods, services</w:t>
      </w:r>
      <w:r w:rsidR="00E7708D">
        <w:rPr>
          <w:rFonts w:ascii="Times New Roman" w:hAnsi="Times New Roman" w:cs="Times New Roman"/>
          <w:sz w:val="24"/>
          <w:szCs w:val="24"/>
        </w:rPr>
        <w:t>, capital, and even labor</w:t>
      </w:r>
      <w:r w:rsidR="00C437BA">
        <w:rPr>
          <w:rFonts w:ascii="Times New Roman" w:hAnsi="Times New Roman" w:cs="Times New Roman"/>
          <w:sz w:val="24"/>
          <w:szCs w:val="24"/>
        </w:rPr>
        <w:t xml:space="preserve">. </w:t>
      </w:r>
    </w:p>
    <w:p w14:paraId="6FB125E3" w14:textId="77777777" w:rsidR="000F65BB" w:rsidRPr="008F486B" w:rsidRDefault="007F6617" w:rsidP="008F486B">
      <w:pPr>
        <w:tabs>
          <w:tab w:val="left" w:pos="831"/>
        </w:tabs>
        <w:spacing w:after="240" w:line="276" w:lineRule="auto"/>
        <w:ind w:right="108"/>
        <w:jc w:val="both"/>
        <w:rPr>
          <w:rFonts w:ascii="Times New Roman" w:hAnsi="Times New Roman" w:cs="Times New Roman"/>
          <w:sz w:val="24"/>
          <w:szCs w:val="24"/>
        </w:rPr>
      </w:pPr>
      <w:r w:rsidRPr="008F486B">
        <w:rPr>
          <w:rFonts w:ascii="Times New Roman" w:hAnsi="Times New Roman" w:cs="Times New Roman"/>
          <w:sz w:val="24"/>
          <w:szCs w:val="24"/>
        </w:rPr>
        <w:t xml:space="preserve">Under these future scenarios of globalization, </w:t>
      </w:r>
      <w:r w:rsidR="00FB6525" w:rsidRPr="008F486B">
        <w:rPr>
          <w:rFonts w:ascii="Times New Roman" w:hAnsi="Times New Roman" w:cs="Times New Roman"/>
          <w:sz w:val="24"/>
          <w:szCs w:val="24"/>
        </w:rPr>
        <w:t xml:space="preserve">trade </w:t>
      </w:r>
      <w:r w:rsidRPr="008F486B">
        <w:rPr>
          <w:rFonts w:ascii="Times New Roman" w:hAnsi="Times New Roman" w:cs="Times New Roman"/>
          <w:sz w:val="24"/>
          <w:szCs w:val="24"/>
        </w:rPr>
        <w:t>analysts (Oxford Economics and HSBC research</w:t>
      </w:r>
      <w:r w:rsidR="000F65BB" w:rsidRPr="008F486B">
        <w:rPr>
          <w:rFonts w:ascii="Times New Roman" w:hAnsi="Times New Roman" w:cs="Times New Roman"/>
          <w:sz w:val="24"/>
          <w:szCs w:val="24"/>
        </w:rPr>
        <w:t xml:space="preserve"> reported in Global Trade Review 2015</w:t>
      </w:r>
      <w:r w:rsidRPr="008F486B">
        <w:rPr>
          <w:rFonts w:ascii="Times New Roman" w:hAnsi="Times New Roman" w:cs="Times New Roman"/>
          <w:sz w:val="24"/>
          <w:szCs w:val="24"/>
        </w:rPr>
        <w:t xml:space="preserve">) have prognosticated on the major trends that will shape the future of trade. </w:t>
      </w:r>
      <w:r w:rsidR="000F65BB" w:rsidRPr="008F486B">
        <w:rPr>
          <w:rFonts w:ascii="Times New Roman" w:hAnsi="Times New Roman" w:cs="Times New Roman"/>
          <w:sz w:val="24"/>
          <w:szCs w:val="24"/>
        </w:rPr>
        <w:t>A striking conclusion of the report is that service-led industries will become dominant and businesses with explicit sustainability goals will succeed. That is, businesses will have to make sure supply chains are sustainable. The trade of services will be a dominant feature of future trade and the way we deﬁne world trade volumes will need to be changed as a result</w:t>
      </w:r>
      <w:r w:rsidR="00C43928" w:rsidRPr="008F486B">
        <w:rPr>
          <w:rFonts w:ascii="Times New Roman" w:hAnsi="Times New Roman" w:cs="Times New Roman"/>
          <w:sz w:val="24"/>
          <w:szCs w:val="24"/>
        </w:rPr>
        <w:t>, such as</w:t>
      </w:r>
      <w:r w:rsidR="00C44292" w:rsidRPr="008F486B">
        <w:rPr>
          <w:rFonts w:ascii="Times New Roman" w:hAnsi="Times New Roman" w:cs="Times New Roman"/>
          <w:sz w:val="24"/>
          <w:szCs w:val="24"/>
        </w:rPr>
        <w:t xml:space="preserve"> accounting for trade in value added services</w:t>
      </w:r>
      <w:r w:rsidR="000F65BB" w:rsidRPr="008F486B">
        <w:rPr>
          <w:rFonts w:ascii="Times New Roman" w:hAnsi="Times New Roman" w:cs="Times New Roman"/>
          <w:sz w:val="24"/>
          <w:szCs w:val="24"/>
        </w:rPr>
        <w:t xml:space="preserve">. </w:t>
      </w:r>
      <w:r w:rsidR="00C43928" w:rsidRPr="008F486B">
        <w:rPr>
          <w:rFonts w:ascii="Times New Roman" w:hAnsi="Times New Roman" w:cs="Times New Roman"/>
          <w:sz w:val="24"/>
          <w:szCs w:val="24"/>
        </w:rPr>
        <w:t xml:space="preserve">This is because so much of the traded goods have ingrained service components in them. </w:t>
      </w:r>
      <w:r w:rsidR="000F65BB" w:rsidRPr="008F486B">
        <w:rPr>
          <w:rFonts w:ascii="Times New Roman" w:hAnsi="Times New Roman" w:cs="Times New Roman"/>
          <w:sz w:val="24"/>
          <w:szCs w:val="24"/>
        </w:rPr>
        <w:t xml:space="preserve">For example, only a percentage of the work that goes into </w:t>
      </w:r>
      <w:r w:rsidR="00042EC7" w:rsidRPr="008F486B">
        <w:rPr>
          <w:rFonts w:ascii="Times New Roman" w:hAnsi="Times New Roman" w:cs="Times New Roman"/>
          <w:sz w:val="24"/>
          <w:szCs w:val="24"/>
        </w:rPr>
        <w:t>a smartphone</w:t>
      </w:r>
      <w:r w:rsidR="000F65BB" w:rsidRPr="008F486B">
        <w:rPr>
          <w:rFonts w:ascii="Times New Roman" w:hAnsi="Times New Roman" w:cs="Times New Roman"/>
          <w:sz w:val="24"/>
          <w:szCs w:val="24"/>
        </w:rPr>
        <w:t xml:space="preserve"> is hardware – an industrial product.</w:t>
      </w:r>
      <w:r w:rsidR="00042EC7" w:rsidRPr="008F486B">
        <w:rPr>
          <w:rFonts w:ascii="Times New Roman" w:hAnsi="Times New Roman" w:cs="Times New Roman"/>
          <w:sz w:val="24"/>
          <w:szCs w:val="24"/>
        </w:rPr>
        <w:t xml:space="preserve"> A significant volume of</w:t>
      </w:r>
      <w:r w:rsidR="000F65BB" w:rsidRPr="008F486B">
        <w:rPr>
          <w:rFonts w:ascii="Times New Roman" w:hAnsi="Times New Roman" w:cs="Times New Roman"/>
          <w:sz w:val="24"/>
          <w:szCs w:val="24"/>
        </w:rPr>
        <w:t xml:space="preserve"> services </w:t>
      </w:r>
      <w:r w:rsidR="00042EC7" w:rsidRPr="008F486B">
        <w:rPr>
          <w:rFonts w:ascii="Times New Roman" w:hAnsi="Times New Roman" w:cs="Times New Roman"/>
          <w:sz w:val="24"/>
          <w:szCs w:val="24"/>
        </w:rPr>
        <w:t>is</w:t>
      </w:r>
      <w:r w:rsidR="000F65BB" w:rsidRPr="008F486B">
        <w:rPr>
          <w:rFonts w:ascii="Times New Roman" w:hAnsi="Times New Roman" w:cs="Times New Roman"/>
          <w:sz w:val="24"/>
          <w:szCs w:val="24"/>
        </w:rPr>
        <w:t xml:space="preserve"> provided </w:t>
      </w:r>
      <w:r w:rsidR="00042EC7" w:rsidRPr="008F486B">
        <w:rPr>
          <w:rFonts w:ascii="Times New Roman" w:hAnsi="Times New Roman" w:cs="Times New Roman"/>
          <w:sz w:val="24"/>
          <w:szCs w:val="24"/>
        </w:rPr>
        <w:t xml:space="preserve">with this product </w:t>
      </w:r>
      <w:r w:rsidR="000F65BB" w:rsidRPr="008F486B">
        <w:rPr>
          <w:rFonts w:ascii="Times New Roman" w:hAnsi="Times New Roman" w:cs="Times New Roman"/>
          <w:sz w:val="24"/>
          <w:szCs w:val="24"/>
        </w:rPr>
        <w:t xml:space="preserve">in terms of software updates </w:t>
      </w:r>
      <w:r w:rsidR="00042EC7" w:rsidRPr="008F486B">
        <w:rPr>
          <w:rFonts w:ascii="Times New Roman" w:hAnsi="Times New Roman" w:cs="Times New Roman"/>
          <w:sz w:val="24"/>
          <w:szCs w:val="24"/>
        </w:rPr>
        <w:t xml:space="preserve">which also need to be accounted for. Similarly, increasing export of healthcare and education services </w:t>
      </w:r>
      <w:r w:rsidR="000F65BB" w:rsidRPr="008F486B">
        <w:rPr>
          <w:rFonts w:ascii="Times New Roman" w:hAnsi="Times New Roman" w:cs="Times New Roman"/>
          <w:sz w:val="24"/>
          <w:szCs w:val="24"/>
        </w:rPr>
        <w:t xml:space="preserve">will </w:t>
      </w:r>
      <w:r w:rsidR="004F1E17" w:rsidRPr="008F486B">
        <w:rPr>
          <w:rFonts w:ascii="Times New Roman" w:hAnsi="Times New Roman" w:cs="Times New Roman"/>
          <w:sz w:val="24"/>
          <w:szCs w:val="24"/>
        </w:rPr>
        <w:t xml:space="preserve">emerge as significant components of trade volume in the future. </w:t>
      </w:r>
    </w:p>
    <w:p w14:paraId="3B1F0B92" w14:textId="77777777" w:rsidR="007F6617" w:rsidRDefault="001D4BD6" w:rsidP="008F486B">
      <w:pPr>
        <w:tabs>
          <w:tab w:val="left" w:pos="831"/>
        </w:tabs>
        <w:spacing w:after="240" w:line="276" w:lineRule="auto"/>
        <w:ind w:right="108"/>
        <w:jc w:val="both"/>
        <w:rPr>
          <w:rFonts w:ascii="Times New Roman" w:hAnsi="Times New Roman" w:cs="Times New Roman"/>
          <w:sz w:val="24"/>
          <w:szCs w:val="24"/>
        </w:rPr>
      </w:pPr>
      <w:r>
        <w:rPr>
          <w:rFonts w:ascii="Times New Roman" w:hAnsi="Times New Roman" w:cs="Times New Roman"/>
          <w:sz w:val="24"/>
          <w:szCs w:val="24"/>
        </w:rPr>
        <w:t xml:space="preserve">To sum up, </w:t>
      </w:r>
      <w:r w:rsidR="00FB2210">
        <w:rPr>
          <w:rFonts w:ascii="Times New Roman" w:hAnsi="Times New Roman" w:cs="Times New Roman"/>
          <w:sz w:val="24"/>
          <w:szCs w:val="24"/>
        </w:rPr>
        <w:t>Bangladesh will have to contend with f</w:t>
      </w:r>
      <w:r w:rsidR="00C03CDF">
        <w:rPr>
          <w:rFonts w:ascii="Times New Roman" w:hAnsi="Times New Roman" w:cs="Times New Roman"/>
          <w:sz w:val="24"/>
          <w:szCs w:val="24"/>
        </w:rPr>
        <w:t xml:space="preserve">ive </w:t>
      </w:r>
      <w:r w:rsidR="00FB2210">
        <w:rPr>
          <w:rFonts w:ascii="Times New Roman" w:hAnsi="Times New Roman" w:cs="Times New Roman"/>
          <w:sz w:val="24"/>
          <w:szCs w:val="24"/>
        </w:rPr>
        <w:t xml:space="preserve">notable </w:t>
      </w:r>
      <w:r w:rsidR="00005DB2">
        <w:rPr>
          <w:rFonts w:ascii="Times New Roman" w:hAnsi="Times New Roman" w:cs="Times New Roman"/>
          <w:sz w:val="24"/>
          <w:szCs w:val="24"/>
        </w:rPr>
        <w:t>trends that will shape the future of trade:</w:t>
      </w:r>
    </w:p>
    <w:p w14:paraId="310BBD2D" w14:textId="77777777" w:rsidR="00005DB2" w:rsidRPr="003E2BED" w:rsidRDefault="00005DB2" w:rsidP="00A42036">
      <w:pPr>
        <w:numPr>
          <w:ilvl w:val="0"/>
          <w:numId w:val="3"/>
        </w:numPr>
        <w:spacing w:before="100" w:beforeAutospacing="1"/>
        <w:jc w:val="both"/>
        <w:rPr>
          <w:rFonts w:ascii="Times New Roman" w:hAnsi="Times New Roman" w:cs="Times New Roman"/>
          <w:sz w:val="24"/>
          <w:szCs w:val="24"/>
        </w:rPr>
      </w:pPr>
      <w:r w:rsidRPr="003E2BED">
        <w:rPr>
          <w:rFonts w:ascii="Times New Roman" w:hAnsi="Times New Roman" w:cs="Times New Roman"/>
          <w:b/>
          <w:sz w:val="24"/>
          <w:szCs w:val="24"/>
        </w:rPr>
        <w:t xml:space="preserve">Trade liberalization will continue. </w:t>
      </w:r>
      <w:r w:rsidRPr="003E2BED">
        <w:rPr>
          <w:rFonts w:ascii="Times New Roman" w:hAnsi="Times New Roman" w:cs="Times New Roman"/>
          <w:sz w:val="24"/>
          <w:szCs w:val="24"/>
        </w:rPr>
        <w:t>The pace of trade liberalization will continue with the extension of free trade and the continuing harmonization of standards and regulations to reduce barriers to trade, fostering the rise of “mega-regionals”. A more stable political and currency environment is anticipated, making trading easier for companies around the world.</w:t>
      </w:r>
    </w:p>
    <w:p w14:paraId="2A6538B9" w14:textId="77777777" w:rsidR="00005DB2" w:rsidRPr="003E2BED" w:rsidRDefault="00005DB2" w:rsidP="00A42036">
      <w:pPr>
        <w:numPr>
          <w:ilvl w:val="0"/>
          <w:numId w:val="3"/>
        </w:numPr>
        <w:spacing w:before="100" w:beforeAutospacing="1"/>
        <w:jc w:val="both"/>
        <w:rPr>
          <w:rFonts w:ascii="Times New Roman" w:hAnsi="Times New Roman" w:cs="Times New Roman"/>
          <w:sz w:val="24"/>
          <w:szCs w:val="24"/>
        </w:rPr>
      </w:pPr>
      <w:r w:rsidRPr="003E2BED">
        <w:rPr>
          <w:rFonts w:ascii="Times New Roman" w:hAnsi="Times New Roman" w:cs="Times New Roman"/>
          <w:b/>
          <w:sz w:val="24"/>
          <w:szCs w:val="24"/>
        </w:rPr>
        <w:t xml:space="preserve">Trade facilitation will reduce cost and increase speed of trade. </w:t>
      </w:r>
      <w:r w:rsidRPr="003E2BED">
        <w:rPr>
          <w:rFonts w:ascii="Times New Roman" w:hAnsi="Times New Roman" w:cs="Times New Roman"/>
          <w:sz w:val="24"/>
          <w:szCs w:val="24"/>
        </w:rPr>
        <w:t>Trade will be boosted by improvements in logistics. The cost of shipping will fall, driven by a combination of larger vessels and the expansion of shipping lanes. New airports, with increased energy efficiency and further streamlining of border control processes, will speed up trade and reduce air freight costs too. In addition, continued advances in transport technology and infrastructure will increase capacity, opening up new trade routes.</w:t>
      </w:r>
    </w:p>
    <w:p w14:paraId="083DCEBA" w14:textId="77777777" w:rsidR="001D4BD6" w:rsidRPr="003E2BED" w:rsidRDefault="001D4BD6" w:rsidP="00A42036">
      <w:pPr>
        <w:numPr>
          <w:ilvl w:val="0"/>
          <w:numId w:val="3"/>
        </w:numPr>
        <w:spacing w:before="100" w:beforeAutospacing="1"/>
        <w:jc w:val="both"/>
        <w:rPr>
          <w:rFonts w:ascii="Times New Roman" w:hAnsi="Times New Roman" w:cs="Times New Roman"/>
          <w:sz w:val="24"/>
          <w:szCs w:val="24"/>
        </w:rPr>
      </w:pPr>
      <w:r w:rsidRPr="003E2BED">
        <w:rPr>
          <w:rFonts w:ascii="Times New Roman" w:hAnsi="Times New Roman" w:cs="Times New Roman"/>
          <w:b/>
          <w:sz w:val="24"/>
          <w:szCs w:val="24"/>
        </w:rPr>
        <w:t xml:space="preserve">Global value chains will evolve and consolidate. </w:t>
      </w:r>
      <w:r w:rsidRPr="003E2BED">
        <w:rPr>
          <w:rFonts w:ascii="Times New Roman" w:hAnsi="Times New Roman" w:cs="Times New Roman"/>
          <w:sz w:val="24"/>
          <w:szCs w:val="24"/>
        </w:rPr>
        <w:t xml:space="preserve">Bangladesh will have to make up for opportunities lost in integrating into global and regional value chains by courting FDI and </w:t>
      </w:r>
      <w:r w:rsidRPr="003E2BED">
        <w:rPr>
          <w:rFonts w:ascii="Times New Roman" w:hAnsi="Times New Roman" w:cs="Times New Roman"/>
          <w:sz w:val="24"/>
          <w:szCs w:val="24"/>
        </w:rPr>
        <w:lastRenderedPageBreak/>
        <w:t xml:space="preserve">joint ventures to develop </w:t>
      </w:r>
      <w:r w:rsidR="009D4711" w:rsidRPr="003E2BED">
        <w:rPr>
          <w:rFonts w:ascii="Times New Roman" w:hAnsi="Times New Roman" w:cs="Times New Roman"/>
          <w:sz w:val="24"/>
          <w:szCs w:val="24"/>
        </w:rPr>
        <w:t xml:space="preserve">and trade in a </w:t>
      </w:r>
      <w:r w:rsidRPr="003E2BED">
        <w:rPr>
          <w:rFonts w:ascii="Times New Roman" w:hAnsi="Times New Roman" w:cs="Times New Roman"/>
          <w:sz w:val="24"/>
          <w:szCs w:val="24"/>
        </w:rPr>
        <w:t>wide range of intermediate goods</w:t>
      </w:r>
      <w:r w:rsidR="009D4711" w:rsidRPr="003E2BED">
        <w:rPr>
          <w:rFonts w:ascii="Times New Roman" w:hAnsi="Times New Roman" w:cs="Times New Roman"/>
          <w:sz w:val="24"/>
          <w:szCs w:val="24"/>
        </w:rPr>
        <w:t xml:space="preserve"> and services. This approach provides one more avenue for fostering the elusive export diversification. </w:t>
      </w:r>
    </w:p>
    <w:p w14:paraId="46306DEB" w14:textId="77777777" w:rsidR="00005DB2" w:rsidRPr="003E2BED" w:rsidRDefault="00005DB2" w:rsidP="00A42036">
      <w:pPr>
        <w:numPr>
          <w:ilvl w:val="0"/>
          <w:numId w:val="3"/>
        </w:numPr>
        <w:spacing w:before="100" w:beforeAutospacing="1"/>
        <w:jc w:val="both"/>
        <w:rPr>
          <w:rFonts w:ascii="Times New Roman" w:hAnsi="Times New Roman" w:cs="Times New Roman"/>
          <w:sz w:val="24"/>
          <w:szCs w:val="24"/>
        </w:rPr>
      </w:pPr>
      <w:r w:rsidRPr="003E2BED">
        <w:rPr>
          <w:rFonts w:ascii="Times New Roman" w:hAnsi="Times New Roman" w:cs="Times New Roman"/>
          <w:b/>
          <w:sz w:val="24"/>
          <w:szCs w:val="24"/>
        </w:rPr>
        <w:t xml:space="preserve">Digital innovation in industry and trade and the drive to sustainability. </w:t>
      </w:r>
      <w:r w:rsidRPr="003E2BED">
        <w:rPr>
          <w:rFonts w:ascii="Times New Roman" w:hAnsi="Times New Roman" w:cs="Times New Roman"/>
          <w:sz w:val="24"/>
          <w:szCs w:val="24"/>
        </w:rPr>
        <w:t>Digital innovation will continue to provide opportunities for businesses and individuals. New technologies create fresh products and business models that can be adapted for different markets, undermining the importance of location. Increasingly interconnected economies will bring rapid change and transmission of ideas around the world.</w:t>
      </w:r>
      <w:r w:rsidR="00EB4DC5" w:rsidRPr="003E2BED">
        <w:rPr>
          <w:rFonts w:ascii="Times New Roman" w:hAnsi="Times New Roman" w:cs="Times New Roman"/>
          <w:sz w:val="24"/>
          <w:szCs w:val="24"/>
        </w:rPr>
        <w:t xml:space="preserve"> </w:t>
      </w:r>
      <w:r w:rsidRPr="003E2BED">
        <w:rPr>
          <w:rFonts w:ascii="Times New Roman" w:hAnsi="Times New Roman" w:cs="Times New Roman"/>
          <w:sz w:val="24"/>
          <w:szCs w:val="24"/>
        </w:rPr>
        <w:t xml:space="preserve">The supply chain will need to innovate to respond to increasing expectation and demand for greater </w:t>
      </w:r>
      <w:r w:rsidR="00EB4DC5" w:rsidRPr="003E2BED">
        <w:rPr>
          <w:rFonts w:ascii="Times New Roman" w:hAnsi="Times New Roman" w:cs="Times New Roman"/>
          <w:sz w:val="24"/>
          <w:szCs w:val="24"/>
        </w:rPr>
        <w:t>environmental sustainability.</w:t>
      </w:r>
    </w:p>
    <w:p w14:paraId="4AF59AA0" w14:textId="77777777" w:rsidR="00FB2210" w:rsidRPr="00FB2210" w:rsidRDefault="00FB2210" w:rsidP="00A42036">
      <w:pPr>
        <w:numPr>
          <w:ilvl w:val="0"/>
          <w:numId w:val="3"/>
        </w:numPr>
        <w:spacing w:before="100" w:beforeAutospacing="1"/>
        <w:jc w:val="both"/>
        <w:rPr>
          <w:rFonts w:ascii="Times New Roman" w:hAnsi="Times New Roman" w:cs="Times New Roman"/>
          <w:sz w:val="24"/>
          <w:szCs w:val="24"/>
        </w:rPr>
      </w:pPr>
      <w:r w:rsidRPr="00FB2210">
        <w:rPr>
          <w:rFonts w:ascii="Times New Roman" w:hAnsi="Times New Roman" w:cs="Times New Roman"/>
          <w:b/>
          <w:sz w:val="24"/>
          <w:szCs w:val="24"/>
        </w:rPr>
        <w:t>Mass customization</w:t>
      </w:r>
      <w:r>
        <w:rPr>
          <w:rFonts w:ascii="Times New Roman" w:hAnsi="Times New Roman" w:cs="Times New Roman"/>
          <w:sz w:val="24"/>
          <w:szCs w:val="24"/>
        </w:rPr>
        <w:t xml:space="preserve">. </w:t>
      </w:r>
      <w:r w:rsidRPr="00FB2210">
        <w:rPr>
          <w:rFonts w:ascii="Times New Roman" w:eastAsia="Times New Roman" w:hAnsi="Times New Roman" w:cs="Times New Roman"/>
          <w:sz w:val="24"/>
          <w:szCs w:val="24"/>
        </w:rPr>
        <w:t xml:space="preserve">Factories of the future will be small and ﬂexible rather than large and rigid, and located close to the end customer. With digitization products can be easily customized and sold in different markets, representing a shift from mass production to mass customization. </w:t>
      </w:r>
    </w:p>
    <w:p w14:paraId="4B39C630" w14:textId="77777777" w:rsidR="00FB2210" w:rsidRPr="00B42D83" w:rsidRDefault="00CB136C" w:rsidP="00A42036">
      <w:pPr>
        <w:numPr>
          <w:ilvl w:val="0"/>
          <w:numId w:val="3"/>
        </w:numPr>
        <w:spacing w:before="100" w:beforeAutospacing="1" w:after="100" w:afterAutospacing="1"/>
        <w:jc w:val="both"/>
        <w:rPr>
          <w:rFonts w:ascii="Times New Roman" w:hAnsi="Times New Roman" w:cs="Times New Roman"/>
          <w:sz w:val="24"/>
          <w:szCs w:val="24"/>
        </w:rPr>
      </w:pPr>
      <w:r>
        <w:rPr>
          <w:rFonts w:ascii="Times New Roman" w:eastAsia="Times New Roman" w:hAnsi="Times New Roman" w:cs="Times New Roman"/>
          <w:b/>
          <w:bCs/>
          <w:color w:val="333333"/>
          <w:sz w:val="24"/>
          <w:szCs w:val="24"/>
        </w:rPr>
        <w:t>M</w:t>
      </w:r>
      <w:r w:rsidR="00FB2210" w:rsidRPr="00FB2210">
        <w:rPr>
          <w:rFonts w:ascii="Times New Roman" w:eastAsia="Times New Roman" w:hAnsi="Times New Roman" w:cs="Times New Roman"/>
          <w:b/>
          <w:bCs/>
          <w:color w:val="333333"/>
          <w:sz w:val="24"/>
          <w:szCs w:val="24"/>
        </w:rPr>
        <w:t>icro-multinationals</w:t>
      </w:r>
      <w:r>
        <w:rPr>
          <w:rFonts w:ascii="Times New Roman" w:eastAsia="Times New Roman" w:hAnsi="Times New Roman" w:cs="Times New Roman"/>
          <w:b/>
          <w:bCs/>
          <w:color w:val="333333"/>
          <w:sz w:val="24"/>
          <w:szCs w:val="24"/>
        </w:rPr>
        <w:t xml:space="preserve"> will emerge and thrive</w:t>
      </w:r>
      <w:r w:rsidR="00FB2210" w:rsidRPr="00FB2210">
        <w:rPr>
          <w:rFonts w:ascii="Times New Roman" w:eastAsia="Times New Roman" w:hAnsi="Times New Roman" w:cs="Times New Roman"/>
          <w:b/>
          <w:bCs/>
          <w:color w:val="333333"/>
          <w:sz w:val="24"/>
          <w:szCs w:val="24"/>
        </w:rPr>
        <w:t xml:space="preserve">. </w:t>
      </w:r>
      <w:r>
        <w:rPr>
          <w:rFonts w:ascii="Times New Roman" w:eastAsia="Times New Roman" w:hAnsi="Times New Roman" w:cs="Times New Roman"/>
          <w:sz w:val="24"/>
          <w:szCs w:val="24"/>
        </w:rPr>
        <w:t>With digitization</w:t>
      </w:r>
      <w:r w:rsidR="00FB2210" w:rsidRPr="00FB2210">
        <w:rPr>
          <w:rFonts w:ascii="Times New Roman" w:eastAsia="Times New Roman" w:hAnsi="Times New Roman" w:cs="Times New Roman"/>
          <w:sz w:val="24"/>
          <w:szCs w:val="24"/>
        </w:rPr>
        <w:t xml:space="preserve"> and tightly connected global networks sm</w:t>
      </w:r>
      <w:r>
        <w:rPr>
          <w:rFonts w:ascii="Times New Roman" w:eastAsia="Times New Roman" w:hAnsi="Times New Roman" w:cs="Times New Roman"/>
          <w:sz w:val="24"/>
          <w:szCs w:val="24"/>
        </w:rPr>
        <w:t>all and medium enterprises</w:t>
      </w:r>
      <w:r w:rsidR="00FB2210" w:rsidRPr="00FB2210">
        <w:rPr>
          <w:rFonts w:ascii="Times New Roman" w:eastAsia="Times New Roman" w:hAnsi="Times New Roman" w:cs="Times New Roman"/>
          <w:sz w:val="24"/>
          <w:szCs w:val="24"/>
        </w:rPr>
        <w:t xml:space="preserve"> (SMEs) </w:t>
      </w:r>
      <w:r>
        <w:rPr>
          <w:rFonts w:ascii="Times New Roman" w:eastAsia="Times New Roman" w:hAnsi="Times New Roman" w:cs="Times New Roman"/>
          <w:sz w:val="24"/>
          <w:szCs w:val="24"/>
        </w:rPr>
        <w:t xml:space="preserve">have an opportunity </w:t>
      </w:r>
      <w:r w:rsidR="00FB2210" w:rsidRPr="00FB2210">
        <w:rPr>
          <w:rFonts w:ascii="Times New Roman" w:eastAsia="Times New Roman" w:hAnsi="Times New Roman" w:cs="Times New Roman"/>
          <w:sz w:val="24"/>
          <w:szCs w:val="24"/>
        </w:rPr>
        <w:t>to level the competitive playing ﬁeld against larger ﬁrms. New technologies such as 3D printing will enable smaller players to deliver</w:t>
      </w:r>
      <w:r>
        <w:rPr>
          <w:rFonts w:ascii="Times New Roman" w:eastAsia="Times New Roman" w:hAnsi="Times New Roman" w:cs="Times New Roman"/>
          <w:sz w:val="24"/>
          <w:szCs w:val="24"/>
        </w:rPr>
        <w:t xml:space="preserve"> customized</w:t>
      </w:r>
      <w:r w:rsidR="00FB2210" w:rsidRPr="00FB2210">
        <w:rPr>
          <w:rFonts w:ascii="Times New Roman" w:eastAsia="Times New Roman" w:hAnsi="Times New Roman" w:cs="Times New Roman"/>
          <w:sz w:val="24"/>
          <w:szCs w:val="24"/>
        </w:rPr>
        <w:t xml:space="preserve"> products anywhere in the world.</w:t>
      </w:r>
      <w:r>
        <w:rPr>
          <w:rFonts w:ascii="Times New Roman" w:eastAsia="Times New Roman" w:hAnsi="Times New Roman" w:cs="Times New Roman"/>
          <w:sz w:val="24"/>
          <w:szCs w:val="24"/>
        </w:rPr>
        <w:t xml:space="preserve"> That portends a radical shift in economies of scale. This will give Bangladesh SMEs a fighting chance to complete in the global marketplace. </w:t>
      </w:r>
    </w:p>
    <w:p w14:paraId="02750605" w14:textId="77777777" w:rsidR="009A18AE" w:rsidRPr="00886715" w:rsidRDefault="009A18AE" w:rsidP="00B54A48">
      <w:pPr>
        <w:pStyle w:val="Heading1"/>
      </w:pPr>
      <w:bookmarkStart w:id="16" w:name="_Toc496536516"/>
      <w:r w:rsidRPr="00886715">
        <w:t>CHALLENGES AND OPPORTUNITIES IN A COMPETITIVE WORLD</w:t>
      </w:r>
      <w:bookmarkEnd w:id="16"/>
    </w:p>
    <w:p w14:paraId="5E74947A" w14:textId="77777777" w:rsidR="00AD2C79" w:rsidRDefault="00927766" w:rsidP="008F486B">
      <w:pPr>
        <w:tabs>
          <w:tab w:val="left" w:pos="831"/>
        </w:tabs>
        <w:spacing w:after="240" w:line="276" w:lineRule="auto"/>
        <w:ind w:right="108"/>
        <w:jc w:val="both"/>
        <w:rPr>
          <w:rFonts w:ascii="Times New Roman" w:hAnsi="Times New Roman" w:cs="Times New Roman"/>
          <w:sz w:val="24"/>
          <w:szCs w:val="24"/>
        </w:rPr>
      </w:pPr>
      <w:r>
        <w:rPr>
          <w:rFonts w:ascii="Times New Roman" w:hAnsi="Times New Roman" w:cs="Times New Roman"/>
          <w:sz w:val="24"/>
          <w:szCs w:val="24"/>
        </w:rPr>
        <w:t xml:space="preserve">In the previous section we have argued that globalization </w:t>
      </w:r>
      <w:r w:rsidR="00F36C12">
        <w:rPr>
          <w:rFonts w:ascii="Times New Roman" w:hAnsi="Times New Roman" w:cs="Times New Roman"/>
          <w:sz w:val="24"/>
          <w:szCs w:val="24"/>
        </w:rPr>
        <w:t>will be an integral part of the global economic system for the foreseeable future and the only way for economies to survive and thrive in that sort of global trade architecture is to be competitive. While national governments provide the institutions and economic framework in which firms can strive for gaining competitive advantage, it is up</w:t>
      </w:r>
      <w:r w:rsidR="006C4F50">
        <w:rPr>
          <w:rFonts w:ascii="Times New Roman" w:hAnsi="Times New Roman" w:cs="Times New Roman"/>
          <w:sz w:val="24"/>
          <w:szCs w:val="24"/>
        </w:rPr>
        <w:t xml:space="preserve"> to the firms to carve out comp</w:t>
      </w:r>
      <w:r w:rsidR="00F36C12">
        <w:rPr>
          <w:rFonts w:ascii="Times New Roman" w:hAnsi="Times New Roman" w:cs="Times New Roman"/>
          <w:sz w:val="24"/>
          <w:szCs w:val="24"/>
        </w:rPr>
        <w:t>et</w:t>
      </w:r>
      <w:r w:rsidR="006C4F50">
        <w:rPr>
          <w:rFonts w:ascii="Times New Roman" w:hAnsi="Times New Roman" w:cs="Times New Roman"/>
          <w:sz w:val="24"/>
          <w:szCs w:val="24"/>
        </w:rPr>
        <w:t>it</w:t>
      </w:r>
      <w:r w:rsidR="00F36C12">
        <w:rPr>
          <w:rFonts w:ascii="Times New Roman" w:hAnsi="Times New Roman" w:cs="Times New Roman"/>
          <w:sz w:val="24"/>
          <w:szCs w:val="24"/>
        </w:rPr>
        <w:t xml:space="preserve">ive niches in a variety of products. </w:t>
      </w:r>
      <w:r w:rsidR="00764476">
        <w:rPr>
          <w:rFonts w:ascii="Times New Roman" w:hAnsi="Times New Roman" w:cs="Times New Roman"/>
          <w:sz w:val="24"/>
          <w:szCs w:val="24"/>
        </w:rPr>
        <w:t xml:space="preserve">They do so by deftly harnessing the nation’s factor endowments and its national and physical resources thereby enhancing </w:t>
      </w:r>
      <w:r w:rsidR="004131D2">
        <w:rPr>
          <w:rFonts w:ascii="Times New Roman" w:hAnsi="Times New Roman" w:cs="Times New Roman"/>
          <w:sz w:val="24"/>
          <w:szCs w:val="24"/>
        </w:rPr>
        <w:t xml:space="preserve">productivity </w:t>
      </w:r>
      <w:r w:rsidR="00764476">
        <w:rPr>
          <w:rFonts w:ascii="Times New Roman" w:hAnsi="Times New Roman" w:cs="Times New Roman"/>
          <w:sz w:val="24"/>
          <w:szCs w:val="24"/>
        </w:rPr>
        <w:t xml:space="preserve">and reducing costs. </w:t>
      </w:r>
      <w:r w:rsidR="004131D2">
        <w:rPr>
          <w:rFonts w:ascii="Times New Roman" w:hAnsi="Times New Roman" w:cs="Times New Roman"/>
          <w:sz w:val="24"/>
          <w:szCs w:val="24"/>
        </w:rPr>
        <w:t xml:space="preserve">Michael Porter (1998), the guru of the Competitive Advantage of Nations, </w:t>
      </w:r>
      <w:r w:rsidR="00AD2C79">
        <w:rPr>
          <w:rFonts w:ascii="Times New Roman" w:hAnsi="Times New Roman" w:cs="Times New Roman"/>
          <w:sz w:val="24"/>
          <w:szCs w:val="24"/>
        </w:rPr>
        <w:t>found that nations pass th</w:t>
      </w:r>
      <w:r w:rsidR="006C4F50">
        <w:rPr>
          <w:rFonts w:ascii="Times New Roman" w:hAnsi="Times New Roman" w:cs="Times New Roman"/>
          <w:sz w:val="24"/>
          <w:szCs w:val="24"/>
        </w:rPr>
        <w:t>r</w:t>
      </w:r>
      <w:r w:rsidR="00AD2C79">
        <w:rPr>
          <w:rFonts w:ascii="Times New Roman" w:hAnsi="Times New Roman" w:cs="Times New Roman"/>
          <w:sz w:val="24"/>
          <w:szCs w:val="24"/>
        </w:rPr>
        <w:t xml:space="preserve">ough several phases in achieving and sustaining competitive advantage, the first of which is factor-driven, the stage in which Bangladesh finds itself today. Abundance of low-skilled labor give it the cost advantage in labor-intensive products such as apparel and footwear. To augment this competitive advantage on to other products and sustain it for the long-term, Bangladeshi firms will have to </w:t>
      </w:r>
      <w:r w:rsidR="00764476">
        <w:rPr>
          <w:rFonts w:ascii="Times New Roman" w:hAnsi="Times New Roman" w:cs="Times New Roman"/>
          <w:sz w:val="24"/>
          <w:szCs w:val="24"/>
        </w:rPr>
        <w:t>invest and resort to innovation, going beyond the employment of low-cost labor in future</w:t>
      </w:r>
      <w:r w:rsidR="006C4F50">
        <w:rPr>
          <w:rFonts w:ascii="Times New Roman" w:hAnsi="Times New Roman" w:cs="Times New Roman"/>
          <w:sz w:val="24"/>
          <w:szCs w:val="24"/>
        </w:rPr>
        <w:t>.</w:t>
      </w:r>
    </w:p>
    <w:p w14:paraId="39710209" w14:textId="77777777" w:rsidR="008A4444" w:rsidRDefault="009A18AE" w:rsidP="008F486B">
      <w:pPr>
        <w:tabs>
          <w:tab w:val="left" w:pos="831"/>
        </w:tabs>
        <w:spacing w:after="240" w:line="276" w:lineRule="auto"/>
        <w:ind w:right="108"/>
        <w:jc w:val="both"/>
        <w:rPr>
          <w:rFonts w:ascii="Times New Roman" w:hAnsi="Times New Roman" w:cs="Times New Roman"/>
          <w:sz w:val="24"/>
          <w:szCs w:val="24"/>
        </w:rPr>
      </w:pPr>
      <w:r w:rsidRPr="004A3838">
        <w:rPr>
          <w:rFonts w:ascii="Times New Roman" w:hAnsi="Times New Roman" w:cs="Times New Roman"/>
          <w:sz w:val="24"/>
          <w:szCs w:val="24"/>
        </w:rPr>
        <w:t>As the 21</w:t>
      </w:r>
      <w:r w:rsidRPr="008F486B">
        <w:rPr>
          <w:rFonts w:ascii="Times New Roman" w:hAnsi="Times New Roman" w:cs="Times New Roman"/>
          <w:sz w:val="24"/>
          <w:szCs w:val="24"/>
        </w:rPr>
        <w:t>st</w:t>
      </w:r>
      <w:r w:rsidRPr="004A3838">
        <w:rPr>
          <w:rFonts w:ascii="Times New Roman" w:hAnsi="Times New Roman" w:cs="Times New Roman"/>
          <w:sz w:val="24"/>
          <w:szCs w:val="24"/>
        </w:rPr>
        <w:t xml:space="preserve"> century rolls into the third decade and onwards, tremendous opportunities will open up for Bangladesh entrepreneurs in a competitive global market to trade in goods as well as services. </w:t>
      </w:r>
      <w:r w:rsidR="007C180B">
        <w:rPr>
          <w:rFonts w:ascii="Times New Roman" w:hAnsi="Times New Roman" w:cs="Times New Roman"/>
          <w:sz w:val="24"/>
          <w:szCs w:val="24"/>
        </w:rPr>
        <w:t>But o</w:t>
      </w:r>
      <w:r w:rsidRPr="004A3838">
        <w:rPr>
          <w:rFonts w:ascii="Times New Roman" w:hAnsi="Times New Roman" w:cs="Times New Roman"/>
          <w:sz w:val="24"/>
          <w:szCs w:val="24"/>
        </w:rPr>
        <w:t xml:space="preserve">pportunities will be associated with enormous challenges stemming from fierce competition in global markets with rapidly changing demand structures, over time and space. </w:t>
      </w:r>
      <w:bookmarkStart w:id="17" w:name="_Hlk493415855"/>
      <w:r w:rsidRPr="004A3838">
        <w:rPr>
          <w:rFonts w:ascii="Times New Roman" w:hAnsi="Times New Roman" w:cs="Times New Roman"/>
          <w:sz w:val="24"/>
          <w:szCs w:val="24"/>
        </w:rPr>
        <w:t xml:space="preserve">The speed of Bangladesh’s industrialization with job creation will depend on how well the economy </w:t>
      </w:r>
      <w:r w:rsidRPr="004A3838">
        <w:rPr>
          <w:rFonts w:ascii="Times New Roman" w:hAnsi="Times New Roman" w:cs="Times New Roman"/>
          <w:sz w:val="24"/>
          <w:szCs w:val="24"/>
        </w:rPr>
        <w:lastRenderedPageBreak/>
        <w:t xml:space="preserve">is integrated with the global economy, with well-heeled policies to capture external markets while removing distorted incentives in domestic markets. </w:t>
      </w:r>
    </w:p>
    <w:bookmarkEnd w:id="17"/>
    <w:p w14:paraId="3F67EB76" w14:textId="77777777" w:rsidR="00F83759" w:rsidRDefault="006C4F50" w:rsidP="008F486B">
      <w:pPr>
        <w:tabs>
          <w:tab w:val="left" w:pos="831"/>
        </w:tabs>
        <w:spacing w:after="240" w:line="276" w:lineRule="auto"/>
        <w:ind w:right="108"/>
        <w:jc w:val="both"/>
        <w:rPr>
          <w:rFonts w:ascii="Times New Roman" w:hAnsi="Times New Roman" w:cs="Times New Roman"/>
          <w:sz w:val="24"/>
          <w:szCs w:val="24"/>
        </w:rPr>
      </w:pPr>
      <w:r>
        <w:rPr>
          <w:rFonts w:ascii="Times New Roman" w:hAnsi="Times New Roman" w:cs="Times New Roman"/>
          <w:sz w:val="24"/>
          <w:szCs w:val="24"/>
        </w:rPr>
        <w:t xml:space="preserve">A nation’s industrial and export success over time will be defined by the ability of its firms to acquire and sustain competitive advantage. But there is nothing guaranteed about competitive advantage. </w:t>
      </w:r>
      <w:r w:rsidR="00F83759">
        <w:rPr>
          <w:rFonts w:ascii="Times New Roman" w:hAnsi="Times New Roman" w:cs="Times New Roman"/>
          <w:sz w:val="24"/>
          <w:szCs w:val="24"/>
        </w:rPr>
        <w:t xml:space="preserve">The past and future of competitive advantage could be a lot different. </w:t>
      </w:r>
      <w:r w:rsidR="00027F85">
        <w:rPr>
          <w:rFonts w:ascii="Times New Roman" w:hAnsi="Times New Roman" w:cs="Times New Roman"/>
          <w:sz w:val="24"/>
          <w:szCs w:val="24"/>
        </w:rPr>
        <w:t>I</w:t>
      </w:r>
      <w:r w:rsidR="00F83759">
        <w:rPr>
          <w:rFonts w:ascii="Times New Roman" w:hAnsi="Times New Roman" w:cs="Times New Roman"/>
          <w:sz w:val="24"/>
          <w:szCs w:val="24"/>
        </w:rPr>
        <w:t xml:space="preserve">nternationalization of competitive advantage has already taken place. As trade barriers have come down, it has also become difficult to shelter uncompetitive firms. Gone are the days when it could be said that countries with low cost labor will have all the advantage in labor-intensive products and nations with plenty of capital will specialize in capital-intensive products. Technology and innovation has cut into the roots of this thinking. China’s labor cost advantage was not enough to catapult it into the global stage as the export powerhouse. The application of technology and innovation was just as important for its firms to gain sustained competitive advantage in many diverse technology-intensive products. Having recognized that innovation requires sustained investment in research, physical capital, and human resources, the Chinese government is now making sufficient resources available for its firms to invest more in these areas </w:t>
      </w:r>
      <w:r w:rsidR="006D63BC">
        <w:rPr>
          <w:rFonts w:ascii="Times New Roman" w:hAnsi="Times New Roman" w:cs="Times New Roman"/>
          <w:sz w:val="24"/>
          <w:szCs w:val="24"/>
        </w:rPr>
        <w:t xml:space="preserve">(R&amp;D) </w:t>
      </w:r>
      <w:r w:rsidR="00F83759">
        <w:rPr>
          <w:rFonts w:ascii="Times New Roman" w:hAnsi="Times New Roman" w:cs="Times New Roman"/>
          <w:sz w:val="24"/>
          <w:szCs w:val="24"/>
        </w:rPr>
        <w:t xml:space="preserve">to gain and sustain the competitive edge. </w:t>
      </w:r>
    </w:p>
    <w:p w14:paraId="10C0DFB1" w14:textId="77777777" w:rsidR="00F83759" w:rsidRDefault="00F83759" w:rsidP="008F486B">
      <w:pPr>
        <w:tabs>
          <w:tab w:val="left" w:pos="831"/>
        </w:tabs>
        <w:spacing w:after="240" w:line="276" w:lineRule="auto"/>
        <w:ind w:right="108"/>
        <w:jc w:val="both"/>
        <w:rPr>
          <w:rFonts w:ascii="Times New Roman" w:hAnsi="Times New Roman" w:cs="Times New Roman"/>
          <w:sz w:val="24"/>
          <w:szCs w:val="24"/>
        </w:rPr>
      </w:pPr>
      <w:r>
        <w:rPr>
          <w:rFonts w:ascii="Times New Roman" w:hAnsi="Times New Roman" w:cs="Times New Roman"/>
          <w:sz w:val="24"/>
          <w:szCs w:val="24"/>
        </w:rPr>
        <w:t xml:space="preserve">There are stark lessons for Bangladesh. </w:t>
      </w:r>
      <w:bookmarkStart w:id="18" w:name="_Hlk493415918"/>
      <w:r>
        <w:rPr>
          <w:rFonts w:ascii="Times New Roman" w:hAnsi="Times New Roman" w:cs="Times New Roman"/>
          <w:sz w:val="24"/>
          <w:szCs w:val="24"/>
        </w:rPr>
        <w:t xml:space="preserve">Competitive advantage founded on low labor cost cannot be guaranteed for all time. The new theory of competitive advantage starts with the premise that competitive advantage is dynamic and evolving. </w:t>
      </w:r>
      <w:bookmarkEnd w:id="18"/>
      <w:r>
        <w:rPr>
          <w:rFonts w:ascii="Times New Roman" w:hAnsi="Times New Roman" w:cs="Times New Roman"/>
          <w:sz w:val="24"/>
          <w:szCs w:val="24"/>
        </w:rPr>
        <w:t xml:space="preserve">It was Joseph Schumpeter who recognized decades ago that there was no “equilibrium” in competition (McCraw, 2012). In the international competition of tomorrow, competitive advantage cannot be a static idea but a dynamic one. Bangladeshi firms in RMG or other export industries must recognize the fact that competitive advantage grows and is sustained through relentless improvement, innovation, and change. </w:t>
      </w:r>
      <w:bookmarkStart w:id="19" w:name="_Hlk493415965"/>
      <w:r w:rsidR="00B9418D">
        <w:rPr>
          <w:rFonts w:ascii="Times New Roman" w:hAnsi="Times New Roman" w:cs="Times New Roman"/>
          <w:sz w:val="24"/>
          <w:szCs w:val="24"/>
        </w:rPr>
        <w:t>From its current phase of factor-driven competitive advantage Bangladeshi firms will have to move into investment and innovation driven competitive advantage (</w:t>
      </w:r>
      <w:r w:rsidR="00B9418D" w:rsidRPr="008F486B">
        <w:rPr>
          <w:rFonts w:ascii="Times New Roman" w:hAnsi="Times New Roman" w:cs="Times New Roman"/>
          <w:sz w:val="24"/>
          <w:szCs w:val="24"/>
        </w:rPr>
        <w:t>a la Porter</w:t>
      </w:r>
      <w:r w:rsidR="00B9418D">
        <w:rPr>
          <w:rFonts w:ascii="Times New Roman" w:hAnsi="Times New Roman" w:cs="Times New Roman"/>
          <w:sz w:val="24"/>
          <w:szCs w:val="24"/>
        </w:rPr>
        <w:t xml:space="preserve">). </w:t>
      </w:r>
      <w:r>
        <w:rPr>
          <w:rFonts w:ascii="Times New Roman" w:hAnsi="Times New Roman" w:cs="Times New Roman"/>
          <w:sz w:val="24"/>
          <w:szCs w:val="24"/>
        </w:rPr>
        <w:t>Without such efforts</w:t>
      </w:r>
      <w:r w:rsidR="00B9418D">
        <w:rPr>
          <w:rFonts w:ascii="Times New Roman" w:hAnsi="Times New Roman" w:cs="Times New Roman"/>
          <w:sz w:val="24"/>
          <w:szCs w:val="24"/>
        </w:rPr>
        <w:t>,</w:t>
      </w:r>
      <w:r>
        <w:rPr>
          <w:rFonts w:ascii="Times New Roman" w:hAnsi="Times New Roman" w:cs="Times New Roman"/>
          <w:sz w:val="24"/>
          <w:szCs w:val="24"/>
        </w:rPr>
        <w:t xml:space="preserve"> the current competitive advantage in labor-intensive garment exports could </w:t>
      </w:r>
      <w:r w:rsidR="00B9418D">
        <w:rPr>
          <w:rFonts w:ascii="Times New Roman" w:hAnsi="Times New Roman" w:cs="Times New Roman"/>
          <w:sz w:val="24"/>
          <w:szCs w:val="24"/>
        </w:rPr>
        <w:t xml:space="preserve">well </w:t>
      </w:r>
      <w:r>
        <w:rPr>
          <w:rFonts w:ascii="Times New Roman" w:hAnsi="Times New Roman" w:cs="Times New Roman"/>
          <w:sz w:val="24"/>
          <w:szCs w:val="24"/>
        </w:rPr>
        <w:t xml:space="preserve">be lost in future. </w:t>
      </w:r>
      <w:bookmarkEnd w:id="19"/>
      <w:r w:rsidR="00EE35C8">
        <w:rPr>
          <w:rFonts w:ascii="Times New Roman" w:hAnsi="Times New Roman" w:cs="Times New Roman"/>
          <w:sz w:val="24"/>
          <w:szCs w:val="24"/>
        </w:rPr>
        <w:t>History and cross-country evidence shows that t</w:t>
      </w:r>
      <w:r>
        <w:rPr>
          <w:rFonts w:ascii="Times New Roman" w:hAnsi="Times New Roman" w:cs="Times New Roman"/>
          <w:sz w:val="24"/>
          <w:szCs w:val="24"/>
        </w:rPr>
        <w:t xml:space="preserve">here are few competitive advantages that cannot be copied. </w:t>
      </w:r>
      <w:r w:rsidR="00F64212">
        <w:rPr>
          <w:rFonts w:ascii="Times New Roman" w:hAnsi="Times New Roman" w:cs="Times New Roman"/>
          <w:sz w:val="24"/>
          <w:szCs w:val="24"/>
        </w:rPr>
        <w:t xml:space="preserve">Take the case of </w:t>
      </w:r>
      <w:r w:rsidR="00EE35C8">
        <w:rPr>
          <w:rFonts w:ascii="Times New Roman" w:hAnsi="Times New Roman" w:cs="Times New Roman"/>
          <w:sz w:val="24"/>
          <w:szCs w:val="24"/>
        </w:rPr>
        <w:t xml:space="preserve">S. </w:t>
      </w:r>
      <w:r w:rsidR="00F64212">
        <w:rPr>
          <w:rFonts w:ascii="Times New Roman" w:hAnsi="Times New Roman" w:cs="Times New Roman"/>
          <w:sz w:val="24"/>
          <w:szCs w:val="24"/>
        </w:rPr>
        <w:t>Korea which tru</w:t>
      </w:r>
      <w:r>
        <w:rPr>
          <w:rFonts w:ascii="Times New Roman" w:hAnsi="Times New Roman" w:cs="Times New Roman"/>
          <w:sz w:val="24"/>
          <w:szCs w:val="24"/>
        </w:rPr>
        <w:t xml:space="preserve">mped Japan in the production of TV and electronic products in a matter of years. So did Brazil over Italy in leather shoes, and China-Vietnam is about to do so in non-leather sports shoes. </w:t>
      </w:r>
      <w:r w:rsidR="00EE35C8">
        <w:rPr>
          <w:rFonts w:ascii="Times New Roman" w:hAnsi="Times New Roman" w:cs="Times New Roman"/>
          <w:sz w:val="24"/>
          <w:szCs w:val="24"/>
        </w:rPr>
        <w:t>Which means that</w:t>
      </w:r>
      <w:r w:rsidR="00F64212">
        <w:rPr>
          <w:rFonts w:ascii="Times New Roman" w:hAnsi="Times New Roman" w:cs="Times New Roman"/>
          <w:sz w:val="24"/>
          <w:szCs w:val="24"/>
        </w:rPr>
        <w:t xml:space="preserve"> Bangladesh’s current leadership in garment exports can only by augmented and sustained over the long-term only through</w:t>
      </w:r>
      <w:r w:rsidR="00EE35C8">
        <w:rPr>
          <w:rFonts w:ascii="Times New Roman" w:hAnsi="Times New Roman" w:cs="Times New Roman"/>
          <w:sz w:val="24"/>
          <w:szCs w:val="24"/>
        </w:rPr>
        <w:t xml:space="preserve"> relentless</w:t>
      </w:r>
      <w:r w:rsidR="00F64212">
        <w:rPr>
          <w:rFonts w:ascii="Times New Roman" w:hAnsi="Times New Roman" w:cs="Times New Roman"/>
          <w:sz w:val="24"/>
          <w:szCs w:val="24"/>
        </w:rPr>
        <w:t xml:space="preserve"> innovation, and improvement in management of </w:t>
      </w:r>
      <w:r w:rsidR="00EE35C8">
        <w:rPr>
          <w:rFonts w:ascii="Times New Roman" w:hAnsi="Times New Roman" w:cs="Times New Roman"/>
          <w:sz w:val="24"/>
          <w:szCs w:val="24"/>
        </w:rPr>
        <w:t xml:space="preserve">labor, </w:t>
      </w:r>
      <w:r w:rsidR="00F64212">
        <w:rPr>
          <w:rFonts w:ascii="Times New Roman" w:hAnsi="Times New Roman" w:cs="Times New Roman"/>
          <w:sz w:val="24"/>
          <w:szCs w:val="24"/>
        </w:rPr>
        <w:t>skills, technology, and capital</w:t>
      </w:r>
      <w:r w:rsidR="007C180B">
        <w:rPr>
          <w:rFonts w:ascii="Times New Roman" w:hAnsi="Times New Roman" w:cs="Times New Roman"/>
          <w:sz w:val="24"/>
          <w:szCs w:val="24"/>
        </w:rPr>
        <w:t xml:space="preserve">, extending its competitive advantage to many more </w:t>
      </w:r>
      <w:r w:rsidR="0015746D">
        <w:rPr>
          <w:rFonts w:ascii="Times New Roman" w:hAnsi="Times New Roman" w:cs="Times New Roman"/>
          <w:sz w:val="24"/>
          <w:szCs w:val="24"/>
        </w:rPr>
        <w:t>products</w:t>
      </w:r>
      <w:r w:rsidR="00F64212">
        <w:rPr>
          <w:rFonts w:ascii="Times New Roman" w:hAnsi="Times New Roman" w:cs="Times New Roman"/>
          <w:sz w:val="24"/>
          <w:szCs w:val="24"/>
        </w:rPr>
        <w:t xml:space="preserve">. </w:t>
      </w:r>
      <w:r w:rsidR="00EE35C8">
        <w:rPr>
          <w:rFonts w:ascii="Times New Roman" w:hAnsi="Times New Roman" w:cs="Times New Roman"/>
          <w:sz w:val="24"/>
          <w:szCs w:val="24"/>
        </w:rPr>
        <w:t xml:space="preserve">The state will have to play a significant but facilitating role in ensuring that the competitive advantage of our private firms is sustained over the long-term. </w:t>
      </w:r>
    </w:p>
    <w:p w14:paraId="52524A43" w14:textId="77777777" w:rsidR="00026AE0" w:rsidRDefault="00026AE0" w:rsidP="008F486B">
      <w:pPr>
        <w:tabs>
          <w:tab w:val="left" w:pos="831"/>
        </w:tabs>
        <w:spacing w:after="240" w:line="276" w:lineRule="auto"/>
        <w:ind w:right="108"/>
        <w:jc w:val="both"/>
        <w:rPr>
          <w:rFonts w:ascii="Times New Roman" w:hAnsi="Times New Roman" w:cs="Times New Roman"/>
          <w:sz w:val="24"/>
          <w:szCs w:val="24"/>
        </w:rPr>
      </w:pPr>
      <w:r>
        <w:rPr>
          <w:rFonts w:ascii="Times New Roman" w:hAnsi="Times New Roman" w:cs="Times New Roman"/>
          <w:sz w:val="24"/>
          <w:szCs w:val="24"/>
        </w:rPr>
        <w:t>To address future challenges and ensure competitiveness, a harmonious public-private endeavor has to develop in Bangladesh in the following priority tasks:</w:t>
      </w:r>
    </w:p>
    <w:p w14:paraId="39F7D8B0" w14:textId="77777777" w:rsidR="00026AE0" w:rsidRPr="00026AE0" w:rsidRDefault="00026AE0" w:rsidP="00A42036">
      <w:pPr>
        <w:pStyle w:val="ListParagraph"/>
        <w:numPr>
          <w:ilvl w:val="0"/>
          <w:numId w:val="4"/>
        </w:numPr>
        <w:spacing w:after="160" w:line="259" w:lineRule="auto"/>
        <w:rPr>
          <w:rFonts w:ascii="Times New Roman" w:hAnsi="Times New Roman" w:cs="Times New Roman"/>
          <w:sz w:val="24"/>
          <w:szCs w:val="24"/>
        </w:rPr>
      </w:pPr>
      <w:r w:rsidRPr="00026AE0">
        <w:rPr>
          <w:rFonts w:ascii="Times New Roman" w:hAnsi="Times New Roman" w:cs="Times New Roman"/>
          <w:sz w:val="24"/>
          <w:szCs w:val="24"/>
        </w:rPr>
        <w:lastRenderedPageBreak/>
        <w:t xml:space="preserve">Easing </w:t>
      </w:r>
      <w:r w:rsidRPr="00026AE0">
        <w:rPr>
          <w:rFonts w:ascii="Times New Roman" w:hAnsi="Times New Roman" w:cs="Times New Roman"/>
          <w:b/>
          <w:sz w:val="24"/>
          <w:szCs w:val="24"/>
        </w:rPr>
        <w:t>infrastructure constraints</w:t>
      </w:r>
      <w:r w:rsidRPr="00026AE0">
        <w:rPr>
          <w:rFonts w:ascii="Times New Roman" w:hAnsi="Times New Roman" w:cs="Times New Roman"/>
          <w:sz w:val="24"/>
          <w:szCs w:val="24"/>
        </w:rPr>
        <w:t xml:space="preserve">  </w:t>
      </w:r>
    </w:p>
    <w:p w14:paraId="7440A470" w14:textId="77777777" w:rsidR="00026AE0" w:rsidRPr="00026AE0" w:rsidRDefault="00026AE0" w:rsidP="00A42036">
      <w:pPr>
        <w:pStyle w:val="ListParagraph"/>
        <w:numPr>
          <w:ilvl w:val="0"/>
          <w:numId w:val="4"/>
        </w:numPr>
        <w:spacing w:after="160" w:line="259" w:lineRule="auto"/>
        <w:rPr>
          <w:rFonts w:ascii="Times New Roman" w:hAnsi="Times New Roman" w:cs="Times New Roman"/>
          <w:sz w:val="24"/>
          <w:szCs w:val="24"/>
        </w:rPr>
      </w:pPr>
      <w:r w:rsidRPr="00026AE0">
        <w:rPr>
          <w:rFonts w:ascii="Times New Roman" w:hAnsi="Times New Roman" w:cs="Times New Roman"/>
          <w:sz w:val="24"/>
          <w:szCs w:val="24"/>
        </w:rPr>
        <w:t xml:space="preserve">Enhancing the </w:t>
      </w:r>
      <w:r w:rsidRPr="00026AE0">
        <w:rPr>
          <w:rFonts w:ascii="Times New Roman" w:hAnsi="Times New Roman" w:cs="Times New Roman"/>
          <w:b/>
          <w:sz w:val="24"/>
          <w:szCs w:val="24"/>
        </w:rPr>
        <w:t>quality of the workforce</w:t>
      </w:r>
      <w:r w:rsidRPr="00026AE0">
        <w:rPr>
          <w:rFonts w:ascii="Times New Roman" w:hAnsi="Times New Roman" w:cs="Times New Roman"/>
          <w:sz w:val="24"/>
          <w:szCs w:val="24"/>
        </w:rPr>
        <w:t xml:space="preserve"> </w:t>
      </w:r>
    </w:p>
    <w:p w14:paraId="6EF147FB" w14:textId="77777777" w:rsidR="00026AE0" w:rsidRPr="00026AE0" w:rsidRDefault="00026AE0" w:rsidP="00A42036">
      <w:pPr>
        <w:pStyle w:val="ListParagraph"/>
        <w:numPr>
          <w:ilvl w:val="0"/>
          <w:numId w:val="4"/>
        </w:numPr>
        <w:spacing w:after="160" w:line="259" w:lineRule="auto"/>
        <w:rPr>
          <w:rFonts w:ascii="Times New Roman" w:hAnsi="Times New Roman" w:cs="Times New Roman"/>
          <w:sz w:val="24"/>
          <w:szCs w:val="24"/>
        </w:rPr>
      </w:pPr>
      <w:r w:rsidRPr="00026AE0">
        <w:rPr>
          <w:rFonts w:ascii="Times New Roman" w:hAnsi="Times New Roman" w:cs="Times New Roman"/>
          <w:sz w:val="24"/>
          <w:szCs w:val="24"/>
        </w:rPr>
        <w:t xml:space="preserve">Investing in </w:t>
      </w:r>
      <w:r w:rsidRPr="00026AE0">
        <w:rPr>
          <w:rFonts w:ascii="Times New Roman" w:hAnsi="Times New Roman" w:cs="Times New Roman"/>
          <w:b/>
          <w:sz w:val="24"/>
          <w:szCs w:val="24"/>
        </w:rPr>
        <w:t>R&amp;D</w:t>
      </w:r>
      <w:r w:rsidRPr="00026AE0">
        <w:rPr>
          <w:rFonts w:ascii="Times New Roman" w:hAnsi="Times New Roman" w:cs="Times New Roman"/>
          <w:sz w:val="24"/>
          <w:szCs w:val="24"/>
        </w:rPr>
        <w:t xml:space="preserve"> to promote innovation</w:t>
      </w:r>
      <w:r w:rsidR="00B13631">
        <w:rPr>
          <w:rFonts w:ascii="Times New Roman" w:hAnsi="Times New Roman" w:cs="Times New Roman"/>
          <w:sz w:val="24"/>
          <w:szCs w:val="24"/>
        </w:rPr>
        <w:t xml:space="preserve"> at every stage of production </w:t>
      </w:r>
    </w:p>
    <w:p w14:paraId="39636C95" w14:textId="77777777" w:rsidR="00026AE0" w:rsidRPr="00026AE0" w:rsidRDefault="00026AE0" w:rsidP="00A42036">
      <w:pPr>
        <w:pStyle w:val="ListParagraph"/>
        <w:numPr>
          <w:ilvl w:val="0"/>
          <w:numId w:val="4"/>
        </w:numPr>
        <w:spacing w:after="160" w:line="259" w:lineRule="auto"/>
        <w:rPr>
          <w:rFonts w:ascii="Times New Roman" w:hAnsi="Times New Roman" w:cs="Times New Roman"/>
          <w:sz w:val="24"/>
          <w:szCs w:val="24"/>
        </w:rPr>
      </w:pPr>
      <w:r w:rsidRPr="00026AE0">
        <w:rPr>
          <w:rFonts w:ascii="Times New Roman" w:hAnsi="Times New Roman" w:cs="Times New Roman"/>
          <w:sz w:val="24"/>
          <w:szCs w:val="24"/>
        </w:rPr>
        <w:t xml:space="preserve">Improving the </w:t>
      </w:r>
      <w:r w:rsidRPr="00026AE0">
        <w:rPr>
          <w:rFonts w:ascii="Times New Roman" w:hAnsi="Times New Roman" w:cs="Times New Roman"/>
          <w:b/>
          <w:sz w:val="24"/>
          <w:szCs w:val="24"/>
        </w:rPr>
        <w:t>business climate</w:t>
      </w:r>
      <w:r w:rsidRPr="00026AE0">
        <w:rPr>
          <w:rFonts w:ascii="Times New Roman" w:hAnsi="Times New Roman" w:cs="Times New Roman"/>
          <w:sz w:val="24"/>
          <w:szCs w:val="24"/>
        </w:rPr>
        <w:t xml:space="preserve"> and reducing the </w:t>
      </w:r>
      <w:r w:rsidRPr="00026AE0">
        <w:rPr>
          <w:rFonts w:ascii="Times New Roman" w:hAnsi="Times New Roman" w:cs="Times New Roman"/>
          <w:b/>
          <w:sz w:val="24"/>
          <w:szCs w:val="24"/>
        </w:rPr>
        <w:t>costs of doing business</w:t>
      </w:r>
      <w:r w:rsidRPr="00026AE0">
        <w:rPr>
          <w:rFonts w:ascii="Times New Roman" w:hAnsi="Times New Roman" w:cs="Times New Roman"/>
          <w:sz w:val="24"/>
          <w:szCs w:val="24"/>
        </w:rPr>
        <w:t xml:space="preserve">. </w:t>
      </w:r>
    </w:p>
    <w:p w14:paraId="36496878" w14:textId="77777777" w:rsidR="00026AE0" w:rsidRPr="00026AE0" w:rsidRDefault="00026AE0" w:rsidP="00A42036">
      <w:pPr>
        <w:pStyle w:val="ListParagraph"/>
        <w:numPr>
          <w:ilvl w:val="0"/>
          <w:numId w:val="4"/>
        </w:numPr>
        <w:spacing w:after="160" w:line="259" w:lineRule="auto"/>
        <w:rPr>
          <w:rFonts w:ascii="Times New Roman" w:hAnsi="Times New Roman" w:cs="Times New Roman"/>
          <w:sz w:val="24"/>
          <w:szCs w:val="24"/>
        </w:rPr>
      </w:pPr>
      <w:r w:rsidRPr="00026AE0">
        <w:rPr>
          <w:rFonts w:ascii="Times New Roman" w:hAnsi="Times New Roman" w:cs="Times New Roman"/>
          <w:sz w:val="24"/>
          <w:szCs w:val="24"/>
        </w:rPr>
        <w:t xml:space="preserve">Mobilizing the large amounts of </w:t>
      </w:r>
      <w:r w:rsidRPr="00026AE0">
        <w:rPr>
          <w:rFonts w:ascii="Times New Roman" w:hAnsi="Times New Roman" w:cs="Times New Roman"/>
          <w:b/>
          <w:sz w:val="24"/>
          <w:szCs w:val="24"/>
        </w:rPr>
        <w:t>financing needed for physical and social infrastructure</w:t>
      </w:r>
      <w:r w:rsidRPr="00026AE0">
        <w:rPr>
          <w:rFonts w:ascii="Times New Roman" w:hAnsi="Times New Roman" w:cs="Times New Roman"/>
          <w:sz w:val="24"/>
          <w:szCs w:val="24"/>
        </w:rPr>
        <w:t>, including through private investments and public–private partnerships</w:t>
      </w:r>
    </w:p>
    <w:p w14:paraId="3939A35A" w14:textId="77777777" w:rsidR="00026AE0" w:rsidRPr="00026AE0" w:rsidRDefault="00026AE0" w:rsidP="00A42036">
      <w:pPr>
        <w:pStyle w:val="ListParagraph"/>
        <w:numPr>
          <w:ilvl w:val="0"/>
          <w:numId w:val="4"/>
        </w:numPr>
        <w:spacing w:after="160" w:line="259" w:lineRule="auto"/>
        <w:rPr>
          <w:rFonts w:ascii="Times New Roman" w:hAnsi="Times New Roman" w:cs="Times New Roman"/>
          <w:sz w:val="24"/>
          <w:szCs w:val="24"/>
        </w:rPr>
      </w:pPr>
      <w:r w:rsidRPr="00026AE0">
        <w:rPr>
          <w:rFonts w:ascii="Times New Roman" w:hAnsi="Times New Roman" w:cs="Times New Roman"/>
          <w:sz w:val="24"/>
          <w:szCs w:val="24"/>
        </w:rPr>
        <w:t xml:space="preserve">Ensuring </w:t>
      </w:r>
      <w:r w:rsidRPr="00026AE0">
        <w:rPr>
          <w:rFonts w:ascii="Times New Roman" w:hAnsi="Times New Roman" w:cs="Times New Roman"/>
          <w:b/>
          <w:sz w:val="24"/>
          <w:szCs w:val="24"/>
        </w:rPr>
        <w:t>environmental sustainability and climate resilience</w:t>
      </w:r>
    </w:p>
    <w:p w14:paraId="733C92C7" w14:textId="77777777" w:rsidR="004A3838" w:rsidRPr="008F486B" w:rsidRDefault="007C180B" w:rsidP="008F486B">
      <w:pPr>
        <w:tabs>
          <w:tab w:val="left" w:pos="831"/>
        </w:tabs>
        <w:spacing w:after="240" w:line="276" w:lineRule="auto"/>
        <w:ind w:right="108"/>
        <w:jc w:val="both"/>
        <w:rPr>
          <w:rFonts w:ascii="Times New Roman" w:hAnsi="Times New Roman" w:cs="Times New Roman"/>
          <w:sz w:val="24"/>
          <w:szCs w:val="24"/>
        </w:rPr>
      </w:pPr>
      <w:r>
        <w:rPr>
          <w:rFonts w:ascii="Times New Roman" w:hAnsi="Times New Roman" w:cs="Times New Roman"/>
          <w:sz w:val="24"/>
          <w:szCs w:val="24"/>
        </w:rPr>
        <w:t xml:space="preserve">What is clear is that in the coming </w:t>
      </w:r>
      <w:r w:rsidR="009A18AE" w:rsidRPr="004A3838">
        <w:rPr>
          <w:rFonts w:ascii="Times New Roman" w:hAnsi="Times New Roman" w:cs="Times New Roman"/>
          <w:sz w:val="24"/>
          <w:szCs w:val="24"/>
        </w:rPr>
        <w:t xml:space="preserve">decades, </w:t>
      </w:r>
      <w:r>
        <w:rPr>
          <w:rFonts w:ascii="Times New Roman" w:hAnsi="Times New Roman" w:cs="Times New Roman"/>
          <w:sz w:val="24"/>
          <w:szCs w:val="24"/>
        </w:rPr>
        <w:t xml:space="preserve">as Bangladesh graduates out of its LDC status into a Middle Income Country (MIC), under international rules of the game (WTO compliant), </w:t>
      </w:r>
      <w:r w:rsidR="00B13631">
        <w:rPr>
          <w:rFonts w:ascii="Times New Roman" w:hAnsi="Times New Roman" w:cs="Times New Roman"/>
          <w:sz w:val="24"/>
          <w:szCs w:val="24"/>
        </w:rPr>
        <w:t xml:space="preserve">it would be difficult to shelter uncompetitive firms or industries because in keeping step with global competitors </w:t>
      </w:r>
      <w:r w:rsidR="009A18AE" w:rsidRPr="004A3838">
        <w:rPr>
          <w:rFonts w:ascii="Times New Roman" w:hAnsi="Times New Roman" w:cs="Times New Roman"/>
          <w:sz w:val="24"/>
          <w:szCs w:val="24"/>
        </w:rPr>
        <w:t xml:space="preserve">Bangladesh will have moved towards greater trade openness </w:t>
      </w:r>
      <w:r w:rsidR="00B13631">
        <w:rPr>
          <w:rFonts w:ascii="Times New Roman" w:hAnsi="Times New Roman" w:cs="Times New Roman"/>
          <w:sz w:val="24"/>
          <w:szCs w:val="24"/>
        </w:rPr>
        <w:t xml:space="preserve">making </w:t>
      </w:r>
      <w:r w:rsidR="009A18AE" w:rsidRPr="004A3838">
        <w:rPr>
          <w:rFonts w:ascii="Times New Roman" w:hAnsi="Times New Roman" w:cs="Times New Roman"/>
          <w:sz w:val="24"/>
          <w:szCs w:val="24"/>
        </w:rPr>
        <w:t xml:space="preserve">exports and domestic sales equally profitable. </w:t>
      </w:r>
      <w:r>
        <w:rPr>
          <w:rFonts w:ascii="Times New Roman" w:hAnsi="Times New Roman" w:cs="Times New Roman"/>
          <w:sz w:val="24"/>
          <w:szCs w:val="24"/>
        </w:rPr>
        <w:t>To create employment for some two million entrants to the job market, j</w:t>
      </w:r>
      <w:r w:rsidR="009A18AE" w:rsidRPr="004A3838">
        <w:rPr>
          <w:rFonts w:ascii="Times New Roman" w:hAnsi="Times New Roman" w:cs="Times New Roman"/>
          <w:sz w:val="24"/>
          <w:szCs w:val="24"/>
        </w:rPr>
        <w:t xml:space="preserve">obs in large and SME enterprises will </w:t>
      </w:r>
      <w:r>
        <w:rPr>
          <w:rFonts w:ascii="Times New Roman" w:hAnsi="Times New Roman" w:cs="Times New Roman"/>
          <w:sz w:val="24"/>
          <w:szCs w:val="24"/>
        </w:rPr>
        <w:t xml:space="preserve">have to </w:t>
      </w:r>
      <w:r w:rsidR="009A18AE" w:rsidRPr="004A3838">
        <w:rPr>
          <w:rFonts w:ascii="Times New Roman" w:hAnsi="Times New Roman" w:cs="Times New Roman"/>
          <w:sz w:val="24"/>
          <w:szCs w:val="24"/>
        </w:rPr>
        <w:t>be linked as much to the economy’s external sector as to its domestic market</w:t>
      </w:r>
      <w:r w:rsidR="004A3838" w:rsidRPr="004A3838">
        <w:rPr>
          <w:rFonts w:ascii="Times New Roman" w:hAnsi="Times New Roman" w:cs="Times New Roman"/>
          <w:sz w:val="24"/>
          <w:szCs w:val="24"/>
        </w:rPr>
        <w:t>, recognizing that</w:t>
      </w:r>
      <w:r w:rsidR="009A18AE" w:rsidRPr="004A3838">
        <w:rPr>
          <w:rFonts w:ascii="Times New Roman" w:hAnsi="Times New Roman" w:cs="Times New Roman"/>
          <w:sz w:val="24"/>
          <w:szCs w:val="24"/>
        </w:rPr>
        <w:t xml:space="preserve"> </w:t>
      </w:r>
      <w:r w:rsidR="004A3838" w:rsidRPr="008F486B">
        <w:rPr>
          <w:rFonts w:ascii="Times New Roman" w:hAnsi="Times New Roman" w:cs="Times New Roman"/>
          <w:sz w:val="24"/>
          <w:szCs w:val="24"/>
        </w:rPr>
        <w:t>factories of the future will be small and ﬂexible rather than large and rigid, and located close to the end customer.</w:t>
      </w:r>
    </w:p>
    <w:p w14:paraId="7255C6C9" w14:textId="77777777" w:rsidR="009A18AE" w:rsidRPr="00FA4B7C" w:rsidRDefault="00422F3A" w:rsidP="00B54A48">
      <w:pPr>
        <w:pStyle w:val="Heading1"/>
      </w:pPr>
      <w:bookmarkStart w:id="20" w:name="_Toc496536517"/>
      <w:r w:rsidRPr="00886715">
        <w:t>LESSONS FROM</w:t>
      </w:r>
      <w:r w:rsidR="00FA4B7C" w:rsidRPr="00886715">
        <w:t xml:space="preserve"> EXPERIENCE </w:t>
      </w:r>
      <w:r w:rsidRPr="00886715">
        <w:t>OF HIGH PERFORMING ECONOMIES</w:t>
      </w:r>
      <w:bookmarkEnd w:id="20"/>
    </w:p>
    <w:p w14:paraId="5FB7F58B" w14:textId="131FA23D" w:rsidR="00422F3A" w:rsidRPr="008F486B" w:rsidRDefault="00422F3A" w:rsidP="008F486B">
      <w:pPr>
        <w:tabs>
          <w:tab w:val="left" w:pos="831"/>
        </w:tabs>
        <w:spacing w:after="240" w:line="276" w:lineRule="auto"/>
        <w:ind w:right="108"/>
        <w:jc w:val="both"/>
        <w:rPr>
          <w:rFonts w:ascii="Times New Roman" w:hAnsi="Times New Roman" w:cs="Times New Roman"/>
          <w:sz w:val="24"/>
          <w:szCs w:val="24"/>
        </w:rPr>
      </w:pPr>
      <w:r w:rsidRPr="008F486B">
        <w:rPr>
          <w:rFonts w:ascii="Times New Roman" w:hAnsi="Times New Roman" w:cs="Times New Roman"/>
          <w:sz w:val="24"/>
          <w:szCs w:val="24"/>
        </w:rPr>
        <w:t>There are only a few instances of low-income developing economies of the 1960s reaching middle-income status and going on to become developed economies. These countries are in East Asia: South Korea, Taiwan, Hong Kong and Singapore. Apart from Hong Kong (now part of China) and Singapore which are city states, there are important lessons to be drawn from the development strategies pursued by Korea and Taiwan</w:t>
      </w:r>
      <w:r w:rsidR="0055766B" w:rsidRPr="008F486B">
        <w:rPr>
          <w:rFonts w:ascii="Times New Roman" w:hAnsi="Times New Roman" w:cs="Times New Roman"/>
          <w:sz w:val="24"/>
          <w:szCs w:val="24"/>
        </w:rPr>
        <w:t>, the two countries that successfully avoided the “middle income trap” to reach high-income status</w:t>
      </w:r>
      <w:r w:rsidRPr="008F486B">
        <w:rPr>
          <w:rFonts w:ascii="Times New Roman" w:hAnsi="Times New Roman" w:cs="Times New Roman"/>
          <w:sz w:val="24"/>
          <w:szCs w:val="24"/>
        </w:rPr>
        <w:t xml:space="preserve">. Other developing economies </w:t>
      </w:r>
      <w:r w:rsidR="0055766B" w:rsidRPr="008F486B">
        <w:rPr>
          <w:rFonts w:ascii="Times New Roman" w:hAnsi="Times New Roman" w:cs="Times New Roman"/>
          <w:sz w:val="24"/>
          <w:szCs w:val="24"/>
        </w:rPr>
        <w:t xml:space="preserve">in East Asia </w:t>
      </w:r>
      <w:r w:rsidRPr="008F486B">
        <w:rPr>
          <w:rFonts w:ascii="Times New Roman" w:hAnsi="Times New Roman" w:cs="Times New Roman"/>
          <w:sz w:val="24"/>
          <w:szCs w:val="24"/>
        </w:rPr>
        <w:t>that also became high-performers in the 1970s and 1980s include Malaysia, Thailand, and Indonesia. None of them however reached high-income status and continue to be upper middle income developing economies</w:t>
      </w:r>
      <w:r w:rsidR="001D3D6A" w:rsidRPr="008F486B">
        <w:rPr>
          <w:rFonts w:ascii="Times New Roman" w:hAnsi="Times New Roman" w:cs="Times New Roman"/>
          <w:sz w:val="24"/>
          <w:szCs w:val="24"/>
        </w:rPr>
        <w:t>, though Malaysia is closest to reaching high-income threshold</w:t>
      </w:r>
      <w:r w:rsidRPr="008F486B">
        <w:rPr>
          <w:rFonts w:ascii="Times New Roman" w:hAnsi="Times New Roman" w:cs="Times New Roman"/>
          <w:sz w:val="24"/>
          <w:szCs w:val="24"/>
        </w:rPr>
        <w:t xml:space="preserve">. </w:t>
      </w:r>
      <w:r w:rsidR="008463A1" w:rsidRPr="008F486B">
        <w:rPr>
          <w:rFonts w:ascii="Times New Roman" w:hAnsi="Times New Roman" w:cs="Times New Roman"/>
          <w:sz w:val="24"/>
          <w:szCs w:val="24"/>
        </w:rPr>
        <w:t xml:space="preserve">China, which </w:t>
      </w:r>
      <w:r w:rsidR="000A7DBB" w:rsidRPr="008F486B">
        <w:rPr>
          <w:rFonts w:ascii="Times New Roman" w:hAnsi="Times New Roman" w:cs="Times New Roman"/>
          <w:sz w:val="24"/>
          <w:szCs w:val="24"/>
        </w:rPr>
        <w:t>recorded double-digit GDP growth for two decades at a stretch and is on course to become a high-income country by 2030, has not be</w:t>
      </w:r>
      <w:r w:rsidR="008274F4" w:rsidRPr="008F486B">
        <w:rPr>
          <w:rFonts w:ascii="Times New Roman" w:hAnsi="Times New Roman" w:cs="Times New Roman"/>
          <w:sz w:val="24"/>
          <w:szCs w:val="24"/>
        </w:rPr>
        <w:t>en</w:t>
      </w:r>
      <w:r w:rsidR="000A7DBB" w:rsidRPr="008F486B">
        <w:rPr>
          <w:rFonts w:ascii="Times New Roman" w:hAnsi="Times New Roman" w:cs="Times New Roman"/>
          <w:sz w:val="24"/>
          <w:szCs w:val="24"/>
        </w:rPr>
        <w:t xml:space="preserve"> included in this group because of the distinct nature of its government and economic system, something Bangladesh cannot and perhaps will not emulate. </w:t>
      </w:r>
      <w:r w:rsidR="0055766B" w:rsidRPr="008F486B">
        <w:rPr>
          <w:rFonts w:ascii="Times New Roman" w:hAnsi="Times New Roman" w:cs="Times New Roman"/>
          <w:sz w:val="24"/>
          <w:szCs w:val="24"/>
        </w:rPr>
        <w:t>Elsewhere, Brazil and South Africa have stagnated for long with per capita income under $12,000, falling into a “middle income trap</w:t>
      </w:r>
      <w:r w:rsidR="00AD3D49" w:rsidRPr="008F486B">
        <w:rPr>
          <w:rFonts w:ascii="Times New Roman" w:hAnsi="Times New Roman" w:cs="Times New Roman"/>
          <w:sz w:val="24"/>
          <w:szCs w:val="24"/>
        </w:rPr>
        <w:t>”, according to some analysts</w:t>
      </w:r>
      <w:r w:rsidR="008274F4" w:rsidRPr="008F486B">
        <w:rPr>
          <w:rFonts w:ascii="Times New Roman" w:hAnsi="Times New Roman" w:cs="Times New Roman"/>
          <w:sz w:val="24"/>
          <w:szCs w:val="24"/>
        </w:rPr>
        <w:t xml:space="preserve"> (Kharas and Kohli, 2011)</w:t>
      </w:r>
      <w:r w:rsidR="00AD3D49" w:rsidRPr="008F486B">
        <w:rPr>
          <w:rFonts w:ascii="Times New Roman" w:hAnsi="Times New Roman" w:cs="Times New Roman"/>
          <w:sz w:val="24"/>
          <w:szCs w:val="24"/>
        </w:rPr>
        <w:t xml:space="preserve">. </w:t>
      </w:r>
    </w:p>
    <w:p w14:paraId="2F53BE52" w14:textId="77777777" w:rsidR="0039653E" w:rsidRPr="008F486B" w:rsidRDefault="0039653E" w:rsidP="008F486B">
      <w:pPr>
        <w:tabs>
          <w:tab w:val="left" w:pos="831"/>
        </w:tabs>
        <w:spacing w:after="240" w:line="276" w:lineRule="auto"/>
        <w:ind w:right="108"/>
        <w:jc w:val="both"/>
        <w:rPr>
          <w:rFonts w:ascii="Times New Roman" w:hAnsi="Times New Roman" w:cs="Times New Roman"/>
          <w:sz w:val="24"/>
          <w:szCs w:val="24"/>
        </w:rPr>
      </w:pPr>
      <w:r w:rsidRPr="008F486B">
        <w:rPr>
          <w:rFonts w:ascii="Times New Roman" w:hAnsi="Times New Roman" w:cs="Times New Roman"/>
          <w:sz w:val="24"/>
          <w:szCs w:val="24"/>
        </w:rPr>
        <w:t xml:space="preserve">Currently, Bangladesh economy, having reached Lower Middle-Income Country (LMIC) status, stands at the cusp of moving out of the LDC group. UMIC beckons in 2030, and the present Government is embarking on a strategy of reaching high-income status by 2041. Export-push, among other domestic policies, is very much on the cards. Bangladesh faces the dual challenge of export expansion and diversification of its largely mono-product export basket. It is a matter of historical record that the nature and composition of exports undergo substantial transformation </w:t>
      </w:r>
      <w:r w:rsidRPr="008F486B">
        <w:rPr>
          <w:rFonts w:ascii="Times New Roman" w:hAnsi="Times New Roman" w:cs="Times New Roman"/>
          <w:sz w:val="24"/>
          <w:szCs w:val="24"/>
        </w:rPr>
        <w:lastRenderedPageBreak/>
        <w:t xml:space="preserve">as economies move from low-income status to that of a middle-income or high-income country. And all this will have to be done in a global market of speedy transformation and evolution of trade and industry. Some lessons could be drawn from some of the successful economies in South East and East Asia (e.g. S. Korea, Taiwan, Malaysia, Thailand, and India-China). But care must be taken not to cling to any format but devise and adapt our own best policy scenario in a rapidly transforming world because, by most accounts, the next 25 years are expected to be nothing like the previous 25. </w:t>
      </w:r>
    </w:p>
    <w:p w14:paraId="3AB92E0D" w14:textId="136CD995" w:rsidR="00AD3D49" w:rsidRPr="008F486B" w:rsidRDefault="00AD3D49" w:rsidP="008F486B">
      <w:pPr>
        <w:tabs>
          <w:tab w:val="left" w:pos="831"/>
        </w:tabs>
        <w:spacing w:after="240" w:line="276" w:lineRule="auto"/>
        <w:ind w:right="108"/>
        <w:jc w:val="both"/>
        <w:rPr>
          <w:rFonts w:ascii="Times New Roman" w:hAnsi="Times New Roman" w:cs="Times New Roman"/>
          <w:sz w:val="24"/>
          <w:szCs w:val="24"/>
        </w:rPr>
      </w:pPr>
      <w:r w:rsidRPr="008F486B">
        <w:rPr>
          <w:rFonts w:ascii="Times New Roman" w:hAnsi="Times New Roman" w:cs="Times New Roman"/>
          <w:sz w:val="24"/>
          <w:szCs w:val="24"/>
        </w:rPr>
        <w:t xml:space="preserve">In what follows, the development experience of Korea, Taiwan, Malaysia, and Thailand, are reviewed with particular focus on their industrial and trade strategies as they moved from low-income to high-income status (Korea and Taiwan); approaching high-income status, as is the case with Malaysia; or caught in the grip of “middle-income trap” as is the case of Thailand. </w:t>
      </w:r>
      <w:r w:rsidR="0002565D" w:rsidRPr="008F486B">
        <w:rPr>
          <w:rFonts w:ascii="Times New Roman" w:hAnsi="Times New Roman" w:cs="Times New Roman"/>
          <w:sz w:val="24"/>
          <w:szCs w:val="24"/>
        </w:rPr>
        <w:t>ANNEX-A</w:t>
      </w:r>
      <w:r w:rsidR="00386CD0" w:rsidRPr="008F486B">
        <w:rPr>
          <w:rFonts w:ascii="Times New Roman" w:hAnsi="Times New Roman" w:cs="Times New Roman"/>
          <w:sz w:val="24"/>
          <w:szCs w:val="24"/>
        </w:rPr>
        <w:t xml:space="preserve"> presents summary of</w:t>
      </w:r>
      <w:r w:rsidR="0002565D" w:rsidRPr="008F486B">
        <w:rPr>
          <w:rFonts w:ascii="Times New Roman" w:hAnsi="Times New Roman" w:cs="Times New Roman"/>
          <w:sz w:val="24"/>
          <w:szCs w:val="24"/>
        </w:rPr>
        <w:t xml:space="preserve"> key indicators of development transformation in these four economies. </w:t>
      </w:r>
    </w:p>
    <w:p w14:paraId="434B80D5" w14:textId="77777777" w:rsidR="009D2927" w:rsidRPr="008F486B" w:rsidRDefault="00BC06B7" w:rsidP="008F486B">
      <w:pPr>
        <w:tabs>
          <w:tab w:val="left" w:pos="831"/>
        </w:tabs>
        <w:spacing w:after="240" w:line="276" w:lineRule="auto"/>
        <w:ind w:right="108"/>
        <w:jc w:val="both"/>
        <w:rPr>
          <w:rFonts w:ascii="Times New Roman" w:hAnsi="Times New Roman" w:cs="Times New Roman"/>
          <w:b/>
          <w:sz w:val="24"/>
          <w:szCs w:val="24"/>
        </w:rPr>
      </w:pPr>
      <w:r w:rsidRPr="008F486B">
        <w:rPr>
          <w:rFonts w:ascii="Times New Roman" w:hAnsi="Times New Roman" w:cs="Times New Roman"/>
          <w:b/>
          <w:sz w:val="24"/>
          <w:szCs w:val="24"/>
        </w:rPr>
        <w:t>KOREA</w:t>
      </w:r>
    </w:p>
    <w:p w14:paraId="429A4FB5" w14:textId="77777777" w:rsidR="008C06F8" w:rsidRPr="008F486B" w:rsidRDefault="008434E1" w:rsidP="008F486B">
      <w:pPr>
        <w:tabs>
          <w:tab w:val="left" w:pos="831"/>
        </w:tabs>
        <w:spacing w:after="240" w:line="276" w:lineRule="auto"/>
        <w:ind w:right="108"/>
        <w:jc w:val="both"/>
        <w:rPr>
          <w:rFonts w:ascii="Times New Roman" w:hAnsi="Times New Roman" w:cs="Times New Roman"/>
          <w:sz w:val="24"/>
          <w:szCs w:val="24"/>
        </w:rPr>
      </w:pPr>
      <w:r w:rsidRPr="008434E1">
        <w:rPr>
          <w:rFonts w:ascii="Times New Roman" w:hAnsi="Times New Roman" w:cs="Times New Roman"/>
          <w:sz w:val="24"/>
          <w:szCs w:val="24"/>
        </w:rPr>
        <w:t>Korea has transformed itself from a stagnant agrarian society into one of the most dynamic industrial economies of the world within four decades</w:t>
      </w:r>
      <w:r>
        <w:rPr>
          <w:rFonts w:ascii="Times New Roman" w:hAnsi="Times New Roman" w:cs="Times New Roman"/>
          <w:sz w:val="24"/>
          <w:szCs w:val="24"/>
        </w:rPr>
        <w:t>.</w:t>
      </w:r>
      <w:r w:rsidRPr="008F486B">
        <w:rPr>
          <w:rFonts w:ascii="Times New Roman" w:hAnsi="Times New Roman" w:cs="Times New Roman"/>
          <w:sz w:val="24"/>
          <w:szCs w:val="24"/>
        </w:rPr>
        <w:t xml:space="preserve"> </w:t>
      </w:r>
      <w:r w:rsidR="005B000F" w:rsidRPr="008F486B">
        <w:rPr>
          <w:rFonts w:ascii="Times New Roman" w:hAnsi="Times New Roman" w:cs="Times New Roman"/>
          <w:sz w:val="24"/>
          <w:szCs w:val="24"/>
        </w:rPr>
        <w:t>Korea’s industrialization began in a war-ravaged economy in the 1950s with a completely decimated industrial sector. An import substitution policy emerged to restore some basic industries like sugar refining, milling and spinning</w:t>
      </w:r>
      <w:r w:rsidR="003430EE" w:rsidRPr="008F486B">
        <w:rPr>
          <w:rFonts w:ascii="Times New Roman" w:hAnsi="Times New Roman" w:cs="Times New Roman"/>
          <w:sz w:val="24"/>
          <w:szCs w:val="24"/>
        </w:rPr>
        <w:t>, plus glass, cement, and fertilizers</w:t>
      </w:r>
      <w:r w:rsidR="005B000F" w:rsidRPr="008F486B">
        <w:rPr>
          <w:rFonts w:ascii="Times New Roman" w:hAnsi="Times New Roman" w:cs="Times New Roman"/>
          <w:sz w:val="24"/>
          <w:szCs w:val="24"/>
        </w:rPr>
        <w:t xml:space="preserve">. But by the close of the 1950s the government was quick to realize the futility of such policies in a country with a small </w:t>
      </w:r>
      <w:r w:rsidR="005472AF" w:rsidRPr="008F486B">
        <w:rPr>
          <w:rFonts w:ascii="Times New Roman" w:hAnsi="Times New Roman" w:cs="Times New Roman"/>
          <w:sz w:val="24"/>
          <w:szCs w:val="24"/>
        </w:rPr>
        <w:t>domestic market</w:t>
      </w:r>
      <w:r w:rsidR="005B000F" w:rsidRPr="008F486B">
        <w:rPr>
          <w:rFonts w:ascii="Times New Roman" w:hAnsi="Times New Roman" w:cs="Times New Roman"/>
          <w:sz w:val="24"/>
          <w:szCs w:val="24"/>
        </w:rPr>
        <w:t xml:space="preserve">. In the 1960s industrialization strategy </w:t>
      </w:r>
      <w:r w:rsidR="007A2894" w:rsidRPr="008F486B">
        <w:rPr>
          <w:rFonts w:ascii="Times New Roman" w:hAnsi="Times New Roman" w:cs="Times New Roman"/>
          <w:sz w:val="24"/>
          <w:szCs w:val="24"/>
        </w:rPr>
        <w:t xml:space="preserve">switched to </w:t>
      </w:r>
      <w:r w:rsidR="005472AF" w:rsidRPr="008F486B">
        <w:rPr>
          <w:rFonts w:ascii="Times New Roman" w:hAnsi="Times New Roman" w:cs="Times New Roman"/>
          <w:sz w:val="24"/>
          <w:szCs w:val="24"/>
        </w:rPr>
        <w:t xml:space="preserve">aggressive </w:t>
      </w:r>
      <w:r w:rsidR="007A2894" w:rsidRPr="008F486B">
        <w:rPr>
          <w:rFonts w:ascii="Times New Roman" w:hAnsi="Times New Roman" w:cs="Times New Roman"/>
          <w:sz w:val="24"/>
          <w:szCs w:val="24"/>
        </w:rPr>
        <w:t xml:space="preserve">export promotion </w:t>
      </w:r>
      <w:r w:rsidR="003C2B46" w:rsidRPr="008F486B">
        <w:rPr>
          <w:rFonts w:ascii="Times New Roman" w:hAnsi="Times New Roman" w:cs="Times New Roman"/>
          <w:sz w:val="24"/>
          <w:szCs w:val="24"/>
        </w:rPr>
        <w:t xml:space="preserve">and import liberalization </w:t>
      </w:r>
      <w:r w:rsidR="007A2894" w:rsidRPr="008F486B">
        <w:rPr>
          <w:rFonts w:ascii="Times New Roman" w:hAnsi="Times New Roman" w:cs="Times New Roman"/>
          <w:sz w:val="24"/>
          <w:szCs w:val="24"/>
        </w:rPr>
        <w:t>with a</w:t>
      </w:r>
      <w:r w:rsidR="003C2B46" w:rsidRPr="008F486B">
        <w:rPr>
          <w:rFonts w:ascii="Times New Roman" w:hAnsi="Times New Roman" w:cs="Times New Roman"/>
          <w:sz w:val="24"/>
          <w:szCs w:val="24"/>
        </w:rPr>
        <w:t xml:space="preserve"> selective</w:t>
      </w:r>
      <w:r w:rsidR="007A2894" w:rsidRPr="008F486B">
        <w:rPr>
          <w:rFonts w:ascii="Times New Roman" w:hAnsi="Times New Roman" w:cs="Times New Roman"/>
          <w:sz w:val="24"/>
          <w:szCs w:val="24"/>
        </w:rPr>
        <w:t xml:space="preserve"> import protection scheme for the domestic market. It came from the recognition that Korea did not have a sufficiently large population to contemplate a strategy other than export-led development</w:t>
      </w:r>
      <w:r w:rsidR="005472AF" w:rsidRPr="008F486B">
        <w:rPr>
          <w:rFonts w:ascii="Times New Roman" w:hAnsi="Times New Roman" w:cs="Times New Roman"/>
          <w:sz w:val="24"/>
          <w:szCs w:val="24"/>
        </w:rPr>
        <w:t>. Thus the 1960s</w:t>
      </w:r>
      <w:r w:rsidR="007A2894" w:rsidRPr="008F486B">
        <w:rPr>
          <w:rFonts w:ascii="Times New Roman" w:hAnsi="Times New Roman" w:cs="Times New Roman"/>
          <w:sz w:val="24"/>
          <w:szCs w:val="24"/>
        </w:rPr>
        <w:t xml:space="preserve"> industrialization strategy </w:t>
      </w:r>
      <w:r w:rsidR="005472AF" w:rsidRPr="008F486B">
        <w:rPr>
          <w:rFonts w:ascii="Times New Roman" w:hAnsi="Times New Roman" w:cs="Times New Roman"/>
          <w:sz w:val="24"/>
          <w:szCs w:val="24"/>
        </w:rPr>
        <w:t xml:space="preserve">involved </w:t>
      </w:r>
      <w:r w:rsidR="007A2894" w:rsidRPr="008F486B">
        <w:rPr>
          <w:rFonts w:ascii="Times New Roman" w:hAnsi="Times New Roman" w:cs="Times New Roman"/>
          <w:sz w:val="24"/>
          <w:szCs w:val="24"/>
        </w:rPr>
        <w:t>importation of raw materials and intermediate goods, adding value through processing</w:t>
      </w:r>
      <w:r w:rsidR="005472AF" w:rsidRPr="008F486B">
        <w:rPr>
          <w:rFonts w:ascii="Times New Roman" w:hAnsi="Times New Roman" w:cs="Times New Roman"/>
          <w:sz w:val="24"/>
          <w:szCs w:val="24"/>
        </w:rPr>
        <w:t>,</w:t>
      </w:r>
      <w:r w:rsidR="007A2894" w:rsidRPr="008F486B">
        <w:rPr>
          <w:rFonts w:ascii="Times New Roman" w:hAnsi="Times New Roman" w:cs="Times New Roman"/>
          <w:sz w:val="24"/>
          <w:szCs w:val="24"/>
        </w:rPr>
        <w:t xml:space="preserve"> followed by exports. </w:t>
      </w:r>
      <w:r w:rsidR="005472AF" w:rsidRPr="008F486B">
        <w:rPr>
          <w:rFonts w:ascii="Times New Roman" w:hAnsi="Times New Roman" w:cs="Times New Roman"/>
          <w:sz w:val="24"/>
          <w:szCs w:val="24"/>
        </w:rPr>
        <w:t xml:space="preserve">The trade regime was generally biased in favor of exports but essentially neutral with regard to composition of exports. </w:t>
      </w:r>
      <w:r w:rsidR="003C2B46" w:rsidRPr="008F486B">
        <w:rPr>
          <w:rFonts w:ascii="Times New Roman" w:hAnsi="Times New Roman" w:cs="Times New Roman"/>
          <w:sz w:val="24"/>
          <w:szCs w:val="24"/>
        </w:rPr>
        <w:t>Tariff exemptions on equipment and raw materials imported for export production were also introduced</w:t>
      </w:r>
      <w:r w:rsidR="00082D9B" w:rsidRPr="008F486B">
        <w:rPr>
          <w:rFonts w:ascii="Times New Roman" w:hAnsi="Times New Roman" w:cs="Times New Roman"/>
          <w:sz w:val="24"/>
          <w:szCs w:val="24"/>
        </w:rPr>
        <w:t xml:space="preserve"> along with financial and other inducements</w:t>
      </w:r>
      <w:r w:rsidR="003C2B46" w:rsidRPr="008F486B">
        <w:rPr>
          <w:rFonts w:ascii="Times New Roman" w:hAnsi="Times New Roman" w:cs="Times New Roman"/>
          <w:sz w:val="24"/>
          <w:szCs w:val="24"/>
        </w:rPr>
        <w:t xml:space="preserve">. </w:t>
      </w:r>
    </w:p>
    <w:p w14:paraId="34F0B4E9" w14:textId="77777777" w:rsidR="00082D9B" w:rsidRPr="008F486B" w:rsidRDefault="00082D9B" w:rsidP="008F486B">
      <w:pPr>
        <w:tabs>
          <w:tab w:val="left" w:pos="831"/>
        </w:tabs>
        <w:spacing w:after="240" w:line="276" w:lineRule="auto"/>
        <w:ind w:right="108"/>
        <w:jc w:val="both"/>
        <w:rPr>
          <w:rFonts w:ascii="Times New Roman" w:hAnsi="Times New Roman" w:cs="Times New Roman"/>
          <w:sz w:val="24"/>
          <w:szCs w:val="24"/>
        </w:rPr>
      </w:pPr>
      <w:r w:rsidRPr="008F486B">
        <w:rPr>
          <w:rFonts w:ascii="Times New Roman" w:hAnsi="Times New Roman" w:cs="Times New Roman"/>
          <w:sz w:val="24"/>
          <w:szCs w:val="24"/>
        </w:rPr>
        <w:t xml:space="preserve">But the government did intervene to affect the factor intensity of exports, encouraging investment in industries such as shipbuilding, electronics, machinery, petrochemicals, anticipating that Korea will soon have comparative advantage in these industries. Most important, private entrepreneurs </w:t>
      </w:r>
      <w:r w:rsidR="0029504A" w:rsidRPr="008F486B">
        <w:rPr>
          <w:rFonts w:ascii="Times New Roman" w:hAnsi="Times New Roman" w:cs="Times New Roman"/>
          <w:sz w:val="24"/>
          <w:szCs w:val="24"/>
        </w:rPr>
        <w:t xml:space="preserve">took the hint and began investing in just these strategic industries identified by the government. To accelerate investment, capital goods imports received preferential treatment while intermediate goods imports were encouraged to raise the capacity utilization rate. Export-oriented strategy solidified as Korean officials saw the benefits of export-push – improved balance of payments and accumulation of foreign exchange reserves. </w:t>
      </w:r>
      <w:r w:rsidR="0060524D" w:rsidRPr="008F486B">
        <w:rPr>
          <w:rFonts w:ascii="Times New Roman" w:hAnsi="Times New Roman" w:cs="Times New Roman"/>
          <w:sz w:val="24"/>
          <w:szCs w:val="24"/>
        </w:rPr>
        <w:t xml:space="preserve">Export-GNP ratio which was only 6% in 1960 moved up to 40% in 1980. </w:t>
      </w:r>
    </w:p>
    <w:p w14:paraId="1159268A" w14:textId="4256C17E" w:rsidR="00701482" w:rsidRPr="008F486B" w:rsidRDefault="006C6096" w:rsidP="008F486B">
      <w:pPr>
        <w:tabs>
          <w:tab w:val="left" w:pos="831"/>
        </w:tabs>
        <w:spacing w:after="240" w:line="276" w:lineRule="auto"/>
        <w:ind w:right="108"/>
        <w:jc w:val="both"/>
        <w:rPr>
          <w:rFonts w:ascii="Times New Roman" w:hAnsi="Times New Roman" w:cs="Times New Roman"/>
          <w:sz w:val="24"/>
          <w:szCs w:val="24"/>
        </w:rPr>
      </w:pPr>
      <w:r w:rsidRPr="008F486B">
        <w:rPr>
          <w:rFonts w:ascii="Times New Roman" w:hAnsi="Times New Roman" w:cs="Times New Roman"/>
          <w:sz w:val="24"/>
          <w:szCs w:val="24"/>
        </w:rPr>
        <w:lastRenderedPageBreak/>
        <w:t xml:space="preserve">With a mix of exchange rate and </w:t>
      </w:r>
      <w:r w:rsidR="001D61D6" w:rsidRPr="008F486B">
        <w:rPr>
          <w:rFonts w:ascii="Times New Roman" w:hAnsi="Times New Roman" w:cs="Times New Roman"/>
          <w:sz w:val="24"/>
          <w:szCs w:val="24"/>
        </w:rPr>
        <w:t>other support policies o</w:t>
      </w:r>
      <w:r w:rsidR="005472AF" w:rsidRPr="008F486B">
        <w:rPr>
          <w:rFonts w:ascii="Times New Roman" w:hAnsi="Times New Roman" w:cs="Times New Roman"/>
          <w:sz w:val="24"/>
          <w:szCs w:val="24"/>
        </w:rPr>
        <w:t xml:space="preserve">ne strategic approach </w:t>
      </w:r>
      <w:r w:rsidR="001D61D6" w:rsidRPr="008F486B">
        <w:rPr>
          <w:rFonts w:ascii="Times New Roman" w:hAnsi="Times New Roman" w:cs="Times New Roman"/>
          <w:sz w:val="24"/>
          <w:szCs w:val="24"/>
        </w:rPr>
        <w:t xml:space="preserve">followed </w:t>
      </w:r>
      <w:r w:rsidR="005472AF" w:rsidRPr="008F486B">
        <w:rPr>
          <w:rFonts w:ascii="Times New Roman" w:hAnsi="Times New Roman" w:cs="Times New Roman"/>
          <w:sz w:val="24"/>
          <w:szCs w:val="24"/>
        </w:rPr>
        <w:t>was to turn the effective exchange rate for exports (EERX) more favorable than that for imports (or import substitutes, E</w:t>
      </w:r>
      <w:r w:rsidR="00701482" w:rsidRPr="008F486B">
        <w:rPr>
          <w:rFonts w:ascii="Times New Roman" w:hAnsi="Times New Roman" w:cs="Times New Roman"/>
          <w:sz w:val="24"/>
          <w:szCs w:val="24"/>
        </w:rPr>
        <w:t>ERM). L. Westphal (1978</w:t>
      </w:r>
      <w:r w:rsidR="005472AF" w:rsidRPr="008F486B">
        <w:rPr>
          <w:rFonts w:ascii="Times New Roman" w:hAnsi="Times New Roman" w:cs="Times New Roman"/>
          <w:sz w:val="24"/>
          <w:szCs w:val="24"/>
        </w:rPr>
        <w:t xml:space="preserve">) computed the ratio of EERX/EERM </w:t>
      </w:r>
      <w:r w:rsidRPr="008F486B">
        <w:rPr>
          <w:rFonts w:ascii="Times New Roman" w:hAnsi="Times New Roman" w:cs="Times New Roman"/>
          <w:sz w:val="24"/>
          <w:szCs w:val="24"/>
        </w:rPr>
        <w:t>and found them to be greater than unity for the entire period 1962-1975</w:t>
      </w:r>
      <w:r w:rsidR="00700C57" w:rsidRPr="008F486B">
        <w:rPr>
          <w:rFonts w:ascii="Times New Roman" w:hAnsi="Times New Roman" w:cs="Times New Roman"/>
          <w:sz w:val="24"/>
          <w:szCs w:val="24"/>
        </w:rPr>
        <w:t xml:space="preserve"> (Table.1)</w:t>
      </w:r>
      <w:r w:rsidRPr="008F486B">
        <w:rPr>
          <w:rFonts w:ascii="Times New Roman" w:hAnsi="Times New Roman" w:cs="Times New Roman"/>
          <w:sz w:val="24"/>
          <w:szCs w:val="24"/>
        </w:rPr>
        <w:t xml:space="preserve">. </w:t>
      </w:r>
      <w:r w:rsidR="00B35F9C" w:rsidRPr="008F486B">
        <w:rPr>
          <w:rFonts w:ascii="Times New Roman" w:hAnsi="Times New Roman" w:cs="Times New Roman"/>
          <w:sz w:val="24"/>
          <w:szCs w:val="24"/>
        </w:rPr>
        <w:t>That means</w:t>
      </w:r>
      <w:r w:rsidR="001D61D6" w:rsidRPr="008F486B">
        <w:rPr>
          <w:rFonts w:ascii="Times New Roman" w:hAnsi="Times New Roman" w:cs="Times New Roman"/>
          <w:sz w:val="24"/>
          <w:szCs w:val="24"/>
        </w:rPr>
        <w:t xml:space="preserve"> the trade regime was not neutral but tilted in favor of export production. </w:t>
      </w:r>
    </w:p>
    <w:p w14:paraId="24283215" w14:textId="60101BEB" w:rsidR="00701482" w:rsidRPr="008654DB" w:rsidRDefault="00B35F9C" w:rsidP="008654DB">
      <w:pPr>
        <w:pStyle w:val="Heading4"/>
      </w:pPr>
      <w:bookmarkStart w:id="21" w:name="_Toc496536525"/>
      <w:r w:rsidRPr="008654DB">
        <w:t>Table 1</w:t>
      </w:r>
      <w:r w:rsidR="00EA1EAE" w:rsidRPr="008654DB">
        <w:t>:</w:t>
      </w:r>
      <w:r w:rsidRPr="008654DB">
        <w:t xml:space="preserve"> Effective Exchange Rates for Exports Imports in Korea, 1962-75</w:t>
      </w:r>
      <w:bookmarkEnd w:id="21"/>
    </w:p>
    <w:tbl>
      <w:tblPr>
        <w:tblStyle w:val="ListTable2"/>
        <w:tblW w:w="0" w:type="auto"/>
        <w:jc w:val="center"/>
        <w:tblLook w:val="04A0" w:firstRow="1" w:lastRow="0" w:firstColumn="1" w:lastColumn="0" w:noHBand="0" w:noVBand="1"/>
      </w:tblPr>
      <w:tblGrid>
        <w:gridCol w:w="1670"/>
        <w:gridCol w:w="925"/>
        <w:gridCol w:w="926"/>
        <w:gridCol w:w="926"/>
        <w:gridCol w:w="927"/>
        <w:gridCol w:w="927"/>
        <w:gridCol w:w="927"/>
      </w:tblGrid>
      <w:tr w:rsidR="00844A05" w14:paraId="28B1F4DD" w14:textId="77777777" w:rsidTr="003E2BE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6" w:type="dxa"/>
          </w:tcPr>
          <w:p w14:paraId="35162114" w14:textId="77777777" w:rsidR="00844A05" w:rsidRDefault="00844A05" w:rsidP="008434E1">
            <w:pPr>
              <w:pStyle w:val="Default"/>
              <w:spacing w:line="276" w:lineRule="auto"/>
              <w:jc w:val="both"/>
              <w:rPr>
                <w:rFonts w:eastAsia="Times New Roman"/>
                <w:bCs w:val="0"/>
              </w:rPr>
            </w:pPr>
            <w:r>
              <w:rPr>
                <w:rFonts w:eastAsia="Times New Roman"/>
                <w:bCs w:val="0"/>
              </w:rPr>
              <w:t>Years</w:t>
            </w:r>
          </w:p>
        </w:tc>
        <w:tc>
          <w:tcPr>
            <w:tcW w:w="925" w:type="dxa"/>
            <w:vAlign w:val="center"/>
          </w:tcPr>
          <w:p w14:paraId="2CFFC0C0" w14:textId="77777777" w:rsidR="00844A05" w:rsidRDefault="00844A05" w:rsidP="003E2BED">
            <w:pPr>
              <w:pStyle w:val="Default"/>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rPr>
            </w:pPr>
            <w:r>
              <w:rPr>
                <w:rFonts w:eastAsia="Times New Roman"/>
                <w:bCs w:val="0"/>
              </w:rPr>
              <w:t>1962</w:t>
            </w:r>
          </w:p>
        </w:tc>
        <w:tc>
          <w:tcPr>
            <w:tcW w:w="926" w:type="dxa"/>
            <w:vAlign w:val="center"/>
          </w:tcPr>
          <w:p w14:paraId="6A926056" w14:textId="77777777" w:rsidR="00844A05" w:rsidRDefault="00844A05" w:rsidP="003E2BED">
            <w:pPr>
              <w:pStyle w:val="Default"/>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rPr>
            </w:pPr>
            <w:r>
              <w:rPr>
                <w:rFonts w:eastAsia="Times New Roman"/>
                <w:bCs w:val="0"/>
              </w:rPr>
              <w:t>1965</w:t>
            </w:r>
          </w:p>
        </w:tc>
        <w:tc>
          <w:tcPr>
            <w:tcW w:w="926" w:type="dxa"/>
            <w:vAlign w:val="center"/>
          </w:tcPr>
          <w:p w14:paraId="0C86B43D" w14:textId="77777777" w:rsidR="00844A05" w:rsidRDefault="00844A05" w:rsidP="003E2BED">
            <w:pPr>
              <w:pStyle w:val="Default"/>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rPr>
            </w:pPr>
            <w:r>
              <w:rPr>
                <w:rFonts w:eastAsia="Times New Roman"/>
                <w:bCs w:val="0"/>
              </w:rPr>
              <w:t>1970</w:t>
            </w:r>
          </w:p>
        </w:tc>
        <w:tc>
          <w:tcPr>
            <w:tcW w:w="927" w:type="dxa"/>
            <w:vAlign w:val="center"/>
          </w:tcPr>
          <w:p w14:paraId="26BD3857" w14:textId="77777777" w:rsidR="00844A05" w:rsidRDefault="00844A05" w:rsidP="003E2BED">
            <w:pPr>
              <w:pStyle w:val="Default"/>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rPr>
            </w:pPr>
            <w:r>
              <w:rPr>
                <w:rFonts w:eastAsia="Times New Roman"/>
                <w:bCs w:val="0"/>
              </w:rPr>
              <w:t>1971</w:t>
            </w:r>
          </w:p>
        </w:tc>
        <w:tc>
          <w:tcPr>
            <w:tcW w:w="927" w:type="dxa"/>
            <w:vAlign w:val="center"/>
          </w:tcPr>
          <w:p w14:paraId="44273394" w14:textId="77777777" w:rsidR="00844A05" w:rsidRDefault="00844A05" w:rsidP="003E2BED">
            <w:pPr>
              <w:pStyle w:val="Default"/>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rPr>
            </w:pPr>
            <w:r>
              <w:rPr>
                <w:rFonts w:eastAsia="Times New Roman"/>
                <w:bCs w:val="0"/>
              </w:rPr>
              <w:t>1974</w:t>
            </w:r>
          </w:p>
        </w:tc>
        <w:tc>
          <w:tcPr>
            <w:tcW w:w="927" w:type="dxa"/>
            <w:vAlign w:val="center"/>
          </w:tcPr>
          <w:p w14:paraId="2EF283AB" w14:textId="77777777" w:rsidR="00844A05" w:rsidRDefault="00844A05" w:rsidP="003E2BED">
            <w:pPr>
              <w:pStyle w:val="Default"/>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rPr>
            </w:pPr>
            <w:r>
              <w:rPr>
                <w:rFonts w:eastAsia="Times New Roman"/>
                <w:bCs w:val="0"/>
              </w:rPr>
              <w:t>1975</w:t>
            </w:r>
          </w:p>
        </w:tc>
      </w:tr>
      <w:tr w:rsidR="00844A05" w14:paraId="320ECAD7" w14:textId="77777777" w:rsidTr="003E2B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76" w:type="dxa"/>
          </w:tcPr>
          <w:p w14:paraId="4E0B8F89" w14:textId="77777777" w:rsidR="00844A05" w:rsidRDefault="00844A05" w:rsidP="003E2BED">
            <w:pPr>
              <w:pStyle w:val="Default"/>
              <w:spacing w:line="276" w:lineRule="auto"/>
              <w:rPr>
                <w:rFonts w:eastAsia="Times New Roman"/>
                <w:bCs w:val="0"/>
              </w:rPr>
            </w:pPr>
            <w:r>
              <w:rPr>
                <w:rFonts w:eastAsia="Times New Roman"/>
                <w:bCs w:val="0"/>
              </w:rPr>
              <w:t>Ratio of EERX/EERM</w:t>
            </w:r>
          </w:p>
        </w:tc>
        <w:tc>
          <w:tcPr>
            <w:tcW w:w="925" w:type="dxa"/>
            <w:vAlign w:val="center"/>
          </w:tcPr>
          <w:p w14:paraId="2C8E5F06" w14:textId="77777777" w:rsidR="00844A05" w:rsidRDefault="00844A05" w:rsidP="003E2BED">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Cs/>
              </w:rPr>
            </w:pPr>
            <w:r>
              <w:rPr>
                <w:rFonts w:eastAsia="Times New Roman"/>
                <w:bCs/>
              </w:rPr>
              <w:t>1.03</w:t>
            </w:r>
          </w:p>
        </w:tc>
        <w:tc>
          <w:tcPr>
            <w:tcW w:w="926" w:type="dxa"/>
            <w:vAlign w:val="center"/>
          </w:tcPr>
          <w:p w14:paraId="6CE0445D" w14:textId="77777777" w:rsidR="00844A05" w:rsidRDefault="00844A05" w:rsidP="003E2BED">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Cs/>
              </w:rPr>
            </w:pPr>
            <w:r>
              <w:rPr>
                <w:rFonts w:eastAsia="Times New Roman"/>
                <w:bCs/>
              </w:rPr>
              <w:t>1.04</w:t>
            </w:r>
          </w:p>
        </w:tc>
        <w:tc>
          <w:tcPr>
            <w:tcW w:w="926" w:type="dxa"/>
            <w:vAlign w:val="center"/>
          </w:tcPr>
          <w:p w14:paraId="72ABA628" w14:textId="77777777" w:rsidR="00844A05" w:rsidRDefault="00844A05" w:rsidP="003E2BED">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Cs/>
              </w:rPr>
            </w:pPr>
            <w:r>
              <w:rPr>
                <w:rFonts w:eastAsia="Times New Roman"/>
                <w:bCs/>
              </w:rPr>
              <w:t>1.18</w:t>
            </w:r>
          </w:p>
        </w:tc>
        <w:tc>
          <w:tcPr>
            <w:tcW w:w="927" w:type="dxa"/>
            <w:vAlign w:val="center"/>
          </w:tcPr>
          <w:p w14:paraId="3E124ED5" w14:textId="77777777" w:rsidR="00844A05" w:rsidRDefault="00844A05" w:rsidP="003E2BED">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Cs/>
              </w:rPr>
            </w:pPr>
            <w:r>
              <w:rPr>
                <w:rFonts w:eastAsia="Times New Roman"/>
                <w:bCs/>
              </w:rPr>
              <w:t>1.22</w:t>
            </w:r>
          </w:p>
        </w:tc>
        <w:tc>
          <w:tcPr>
            <w:tcW w:w="927" w:type="dxa"/>
            <w:vAlign w:val="center"/>
          </w:tcPr>
          <w:p w14:paraId="5F67166C" w14:textId="77777777" w:rsidR="00844A05" w:rsidRDefault="00844A05" w:rsidP="003E2BED">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Cs/>
              </w:rPr>
            </w:pPr>
            <w:r>
              <w:rPr>
                <w:rFonts w:eastAsia="Times New Roman"/>
                <w:bCs/>
              </w:rPr>
              <w:t>1.17</w:t>
            </w:r>
          </w:p>
        </w:tc>
        <w:tc>
          <w:tcPr>
            <w:tcW w:w="927" w:type="dxa"/>
            <w:vAlign w:val="center"/>
          </w:tcPr>
          <w:p w14:paraId="10D40D4C" w14:textId="77777777" w:rsidR="00844A05" w:rsidRDefault="00844A05" w:rsidP="003E2BED">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Cs/>
              </w:rPr>
            </w:pPr>
            <w:r>
              <w:rPr>
                <w:rFonts w:eastAsia="Times New Roman"/>
                <w:bCs/>
              </w:rPr>
              <w:t>1.12</w:t>
            </w:r>
          </w:p>
        </w:tc>
      </w:tr>
    </w:tbl>
    <w:p w14:paraId="7C8876B7" w14:textId="77777777" w:rsidR="00B35F9C" w:rsidRDefault="00B35F9C" w:rsidP="008434E1">
      <w:pPr>
        <w:pStyle w:val="Default"/>
        <w:spacing w:line="276" w:lineRule="auto"/>
        <w:ind w:left="360"/>
        <w:jc w:val="both"/>
        <w:rPr>
          <w:rFonts w:eastAsia="Times New Roman"/>
          <w:bCs/>
        </w:rPr>
      </w:pPr>
    </w:p>
    <w:p w14:paraId="1A3F37CE" w14:textId="77777777" w:rsidR="002247EB" w:rsidRPr="008F486B" w:rsidRDefault="001D61D6" w:rsidP="008F486B">
      <w:pPr>
        <w:tabs>
          <w:tab w:val="left" w:pos="831"/>
        </w:tabs>
        <w:spacing w:after="240" w:line="276" w:lineRule="auto"/>
        <w:ind w:right="108"/>
        <w:jc w:val="both"/>
        <w:rPr>
          <w:rFonts w:ascii="Times New Roman" w:hAnsi="Times New Roman" w:cs="Times New Roman"/>
          <w:sz w:val="24"/>
          <w:szCs w:val="24"/>
        </w:rPr>
      </w:pPr>
      <w:r w:rsidRPr="008F486B">
        <w:rPr>
          <w:rFonts w:ascii="Times New Roman" w:hAnsi="Times New Roman" w:cs="Times New Roman"/>
          <w:sz w:val="24"/>
          <w:szCs w:val="24"/>
        </w:rPr>
        <w:t xml:space="preserve">One deviation was the drive for promoting heavy and chemical industries (HCI) during the 1970s. Six industries were identified as strategic: steel, petrochemicals, nonferrous metals, shipbuilding, electronics, and machinery. They received support in the form of tax incentives, detailed engineering, subsidized public services, and preferential financing. </w:t>
      </w:r>
      <w:r w:rsidR="00274234" w:rsidRPr="008F486B">
        <w:rPr>
          <w:rFonts w:ascii="Times New Roman" w:hAnsi="Times New Roman" w:cs="Times New Roman"/>
          <w:sz w:val="24"/>
          <w:szCs w:val="24"/>
        </w:rPr>
        <w:t>The outcome of these policy interventions was not all positive; rather bottlenecks emerged, the baking system became loaded with non-performing debt, while labor-intensive industries were starved of credit. Realizing their mistake, the government switched course</w:t>
      </w:r>
      <w:r w:rsidR="0029504A" w:rsidRPr="008F486B">
        <w:rPr>
          <w:rFonts w:ascii="Times New Roman" w:hAnsi="Times New Roman" w:cs="Times New Roman"/>
          <w:sz w:val="24"/>
          <w:szCs w:val="24"/>
        </w:rPr>
        <w:t xml:space="preserve"> (World Bank, 1993)</w:t>
      </w:r>
      <w:r w:rsidR="00274234" w:rsidRPr="008F486B">
        <w:rPr>
          <w:rFonts w:ascii="Times New Roman" w:hAnsi="Times New Roman" w:cs="Times New Roman"/>
          <w:sz w:val="24"/>
          <w:szCs w:val="24"/>
        </w:rPr>
        <w:t>. Nevertheless, some manufacturing giants, like Samsung and Hyundai, were able to take advantage of the interventions soon becoming global names in cars and electronics. Since the 1980s, Korea emphasized financial and import liberalization, continuing the export-push</w:t>
      </w:r>
      <w:r w:rsidR="002247EB" w:rsidRPr="008F486B">
        <w:rPr>
          <w:rFonts w:ascii="Times New Roman" w:hAnsi="Times New Roman" w:cs="Times New Roman"/>
          <w:sz w:val="24"/>
          <w:szCs w:val="24"/>
        </w:rPr>
        <w:t xml:space="preserve"> with focus on technology-intensive production. </w:t>
      </w:r>
      <w:r w:rsidR="007A290D" w:rsidRPr="008F486B">
        <w:rPr>
          <w:rFonts w:ascii="Times New Roman" w:hAnsi="Times New Roman" w:cs="Times New Roman"/>
          <w:sz w:val="24"/>
          <w:szCs w:val="24"/>
        </w:rPr>
        <w:t>With a strategic focus on changing the factor-intensity of exports over time towards technology-intensive production, Korea succeeded in moving ahead with export-oriented industrialization that also encouraged innovation and technological progress. Consequently, i</w:t>
      </w:r>
      <w:r w:rsidR="008434E1" w:rsidRPr="008F486B">
        <w:rPr>
          <w:rFonts w:ascii="Times New Roman" w:hAnsi="Times New Roman" w:cs="Times New Roman"/>
          <w:sz w:val="24"/>
          <w:szCs w:val="24"/>
        </w:rPr>
        <w:t>t has also established world prominence in such technology areas as semi-conductors, LCD, telecommunication equipment, automobiles, shipbuilding, and so on. Indeed, it has emerged from nowhere as one of the key international players in the global economy.</w:t>
      </w:r>
    </w:p>
    <w:p w14:paraId="41ED06B3" w14:textId="77777777" w:rsidR="001D61D6" w:rsidRPr="008F486B" w:rsidRDefault="002247EB" w:rsidP="008F486B">
      <w:pPr>
        <w:tabs>
          <w:tab w:val="left" w:pos="831"/>
        </w:tabs>
        <w:spacing w:after="240" w:line="276" w:lineRule="auto"/>
        <w:ind w:right="108"/>
        <w:jc w:val="both"/>
        <w:rPr>
          <w:rFonts w:ascii="Times New Roman" w:hAnsi="Times New Roman" w:cs="Times New Roman"/>
          <w:sz w:val="24"/>
          <w:szCs w:val="24"/>
        </w:rPr>
      </w:pPr>
      <w:r w:rsidRPr="008F486B">
        <w:rPr>
          <w:rFonts w:ascii="Times New Roman" w:hAnsi="Times New Roman" w:cs="Times New Roman"/>
          <w:sz w:val="24"/>
          <w:szCs w:val="24"/>
        </w:rPr>
        <w:t xml:space="preserve">Korea’s high growth and rapid transformation continued during the 1980s and 1990s. With income per capita having reached developed country levels, Korea joined the OECD in 1996. </w:t>
      </w:r>
      <w:r w:rsidR="008434E1" w:rsidRPr="008F486B">
        <w:rPr>
          <w:rFonts w:ascii="Times New Roman" w:hAnsi="Times New Roman" w:cs="Times New Roman"/>
          <w:sz w:val="24"/>
          <w:szCs w:val="24"/>
        </w:rPr>
        <w:t xml:space="preserve">It is now the 13th largest economy in the world with a </w:t>
      </w:r>
      <w:r w:rsidRPr="008F486B">
        <w:rPr>
          <w:rFonts w:ascii="Times New Roman" w:hAnsi="Times New Roman" w:cs="Times New Roman"/>
          <w:sz w:val="24"/>
          <w:szCs w:val="24"/>
        </w:rPr>
        <w:t xml:space="preserve">per capita income </w:t>
      </w:r>
      <w:r w:rsidR="00C119D9" w:rsidRPr="008F486B">
        <w:rPr>
          <w:rFonts w:ascii="Times New Roman" w:hAnsi="Times New Roman" w:cs="Times New Roman"/>
          <w:sz w:val="24"/>
          <w:szCs w:val="24"/>
        </w:rPr>
        <w:t>(2016)</w:t>
      </w:r>
      <w:r w:rsidR="008434E1" w:rsidRPr="008F486B">
        <w:rPr>
          <w:rFonts w:ascii="Times New Roman" w:hAnsi="Times New Roman" w:cs="Times New Roman"/>
          <w:sz w:val="24"/>
          <w:szCs w:val="24"/>
        </w:rPr>
        <w:t xml:space="preserve"> around</w:t>
      </w:r>
      <w:r w:rsidRPr="008F486B">
        <w:rPr>
          <w:rFonts w:ascii="Times New Roman" w:hAnsi="Times New Roman" w:cs="Times New Roman"/>
          <w:sz w:val="24"/>
          <w:szCs w:val="24"/>
        </w:rPr>
        <w:t xml:space="preserve"> $35,000. </w:t>
      </w:r>
      <w:r w:rsidR="00FB6C11" w:rsidRPr="008F486B">
        <w:rPr>
          <w:rFonts w:ascii="Times New Roman" w:hAnsi="Times New Roman" w:cs="Times New Roman"/>
          <w:sz w:val="24"/>
          <w:szCs w:val="24"/>
        </w:rPr>
        <w:t xml:space="preserve"> It has also established world prominence in such technology areas as semi-conductors, LCD, telecommunication equipment, automobiles, shipbuilding, and so on. Indeed, </w:t>
      </w:r>
      <w:r w:rsidR="00E70334" w:rsidRPr="008F486B">
        <w:rPr>
          <w:rFonts w:ascii="Times New Roman" w:hAnsi="Times New Roman" w:cs="Times New Roman"/>
          <w:sz w:val="24"/>
          <w:szCs w:val="24"/>
        </w:rPr>
        <w:t xml:space="preserve">from low-income beginnings in the 1950s, </w:t>
      </w:r>
      <w:r w:rsidR="00FB6C11" w:rsidRPr="008F486B">
        <w:rPr>
          <w:rFonts w:ascii="Times New Roman" w:hAnsi="Times New Roman" w:cs="Times New Roman"/>
          <w:sz w:val="24"/>
          <w:szCs w:val="24"/>
        </w:rPr>
        <w:t>it has emerged as one of the key international players in the global economy.</w:t>
      </w:r>
    </w:p>
    <w:p w14:paraId="1764FFCA" w14:textId="47C30114" w:rsidR="000251A7" w:rsidRPr="008F486B" w:rsidRDefault="00140E10" w:rsidP="008F486B">
      <w:pPr>
        <w:tabs>
          <w:tab w:val="left" w:pos="831"/>
        </w:tabs>
        <w:spacing w:after="240" w:line="276" w:lineRule="auto"/>
        <w:ind w:right="108"/>
        <w:jc w:val="both"/>
        <w:rPr>
          <w:rFonts w:ascii="Times New Roman" w:hAnsi="Times New Roman" w:cs="Times New Roman"/>
          <w:sz w:val="24"/>
          <w:szCs w:val="24"/>
        </w:rPr>
      </w:pPr>
      <w:r w:rsidRPr="008F486B">
        <w:rPr>
          <w:rFonts w:ascii="Times New Roman" w:hAnsi="Times New Roman" w:cs="Times New Roman"/>
          <w:sz w:val="24"/>
          <w:szCs w:val="24"/>
        </w:rPr>
        <w:t xml:space="preserve">The principal lesson from the </w:t>
      </w:r>
      <w:r w:rsidR="003C2B46" w:rsidRPr="008F486B">
        <w:rPr>
          <w:rFonts w:ascii="Times New Roman" w:hAnsi="Times New Roman" w:cs="Times New Roman"/>
          <w:sz w:val="24"/>
          <w:szCs w:val="24"/>
        </w:rPr>
        <w:t xml:space="preserve">Korean </w:t>
      </w:r>
      <w:r w:rsidR="00E70334" w:rsidRPr="008F486B">
        <w:rPr>
          <w:rFonts w:ascii="Times New Roman" w:hAnsi="Times New Roman" w:cs="Times New Roman"/>
          <w:sz w:val="24"/>
          <w:szCs w:val="24"/>
        </w:rPr>
        <w:t xml:space="preserve">industrialization </w:t>
      </w:r>
      <w:r w:rsidR="003C2B46" w:rsidRPr="008F486B">
        <w:rPr>
          <w:rFonts w:ascii="Times New Roman" w:hAnsi="Times New Roman" w:cs="Times New Roman"/>
          <w:sz w:val="24"/>
          <w:szCs w:val="24"/>
        </w:rPr>
        <w:t>experience is that export-push worked even under domestic interventions that supported import-substituting or strategic industries</w:t>
      </w:r>
      <w:r w:rsidR="00E70334" w:rsidRPr="008F486B">
        <w:rPr>
          <w:rFonts w:ascii="Times New Roman" w:hAnsi="Times New Roman" w:cs="Times New Roman"/>
          <w:sz w:val="24"/>
          <w:szCs w:val="24"/>
        </w:rPr>
        <w:t xml:space="preserve">. </w:t>
      </w:r>
      <w:r w:rsidR="008C06F8" w:rsidRPr="008F486B">
        <w:rPr>
          <w:rFonts w:ascii="Times New Roman" w:hAnsi="Times New Roman" w:cs="Times New Roman"/>
          <w:sz w:val="24"/>
          <w:szCs w:val="24"/>
        </w:rPr>
        <w:t>During the entire export-push period Korea continued with providing moderate level of effective protection to selected import-substituting industries</w:t>
      </w:r>
      <w:r w:rsidR="00EF7603" w:rsidRPr="008F486B">
        <w:rPr>
          <w:rFonts w:ascii="Times New Roman" w:hAnsi="Times New Roman" w:cs="Times New Roman"/>
          <w:sz w:val="24"/>
          <w:szCs w:val="24"/>
        </w:rPr>
        <w:t xml:space="preserve"> (Table</w:t>
      </w:r>
      <w:r w:rsidR="0010020F" w:rsidRPr="008F486B">
        <w:rPr>
          <w:rFonts w:ascii="Times New Roman" w:hAnsi="Times New Roman" w:cs="Times New Roman"/>
          <w:sz w:val="24"/>
          <w:szCs w:val="24"/>
        </w:rPr>
        <w:t>.</w:t>
      </w:r>
      <w:r w:rsidR="00EF7603" w:rsidRPr="008F486B">
        <w:rPr>
          <w:rFonts w:ascii="Times New Roman" w:hAnsi="Times New Roman" w:cs="Times New Roman"/>
          <w:sz w:val="24"/>
          <w:szCs w:val="24"/>
        </w:rPr>
        <w:t xml:space="preserve">2), with high protection to heavy, </w:t>
      </w:r>
      <w:r w:rsidR="00EF7603" w:rsidRPr="008F486B">
        <w:rPr>
          <w:rFonts w:ascii="Times New Roman" w:hAnsi="Times New Roman" w:cs="Times New Roman"/>
          <w:sz w:val="24"/>
          <w:szCs w:val="24"/>
        </w:rPr>
        <w:lastRenderedPageBreak/>
        <w:t>chemical, and apparel manufacturing</w:t>
      </w:r>
      <w:r w:rsidR="008C06F8" w:rsidRPr="008F486B">
        <w:rPr>
          <w:rFonts w:ascii="Times New Roman" w:hAnsi="Times New Roman" w:cs="Times New Roman"/>
          <w:sz w:val="24"/>
          <w:szCs w:val="24"/>
        </w:rPr>
        <w:t xml:space="preserve">. </w:t>
      </w:r>
      <w:r w:rsidR="000251A7" w:rsidRPr="008F486B">
        <w:rPr>
          <w:rFonts w:ascii="Times New Roman" w:hAnsi="Times New Roman" w:cs="Times New Roman"/>
          <w:sz w:val="24"/>
          <w:szCs w:val="24"/>
        </w:rPr>
        <w:t xml:space="preserve">While average nominal tariffs </w:t>
      </w:r>
      <w:r w:rsidR="00EF7603" w:rsidRPr="008F486B">
        <w:rPr>
          <w:rFonts w:ascii="Times New Roman" w:hAnsi="Times New Roman" w:cs="Times New Roman"/>
          <w:sz w:val="24"/>
          <w:szCs w:val="24"/>
        </w:rPr>
        <w:t xml:space="preserve">on consumer goods declined (12.7% in 1988), effective rates were higher but still averaged under 40%, lower than other developing countries during those years (Jung-Ho, 1993). </w:t>
      </w:r>
    </w:p>
    <w:p w14:paraId="18B597F7" w14:textId="4FE5D292" w:rsidR="000251A7" w:rsidRPr="00141AA1" w:rsidRDefault="000251A7" w:rsidP="008654DB">
      <w:pPr>
        <w:pStyle w:val="Heading4"/>
      </w:pPr>
      <w:bookmarkStart w:id="22" w:name="_Toc496536526"/>
      <w:r w:rsidRPr="00141AA1">
        <w:t xml:space="preserve">Table </w:t>
      </w:r>
      <w:r w:rsidR="00EF7603" w:rsidRPr="00141AA1">
        <w:t>2</w:t>
      </w:r>
      <w:r w:rsidR="00141AA1" w:rsidRPr="00141AA1">
        <w:t>:</w:t>
      </w:r>
      <w:r w:rsidRPr="00141AA1">
        <w:t xml:space="preserve"> Nominal and Effective Protection </w:t>
      </w:r>
      <w:r w:rsidR="00141AA1" w:rsidRPr="00141AA1">
        <w:t>for M</w:t>
      </w:r>
      <w:r w:rsidRPr="00141AA1">
        <w:t>anufacturing</w:t>
      </w:r>
      <w:bookmarkEnd w:id="22"/>
    </w:p>
    <w:tbl>
      <w:tblPr>
        <w:tblStyle w:val="ListTable2"/>
        <w:tblW w:w="0" w:type="auto"/>
        <w:jc w:val="center"/>
        <w:tblLook w:val="04A0" w:firstRow="1" w:lastRow="0" w:firstColumn="1" w:lastColumn="0" w:noHBand="0" w:noVBand="1"/>
      </w:tblPr>
      <w:tblGrid>
        <w:gridCol w:w="2271"/>
        <w:gridCol w:w="1144"/>
        <w:gridCol w:w="1260"/>
        <w:gridCol w:w="1350"/>
      </w:tblGrid>
      <w:tr w:rsidR="000251A7" w:rsidRPr="003E2BED" w14:paraId="32B5388B" w14:textId="77777777" w:rsidTr="003E2BE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1" w:type="dxa"/>
          </w:tcPr>
          <w:p w14:paraId="09939F53" w14:textId="77777777" w:rsidR="000251A7" w:rsidRPr="003E2BED" w:rsidRDefault="000251A7" w:rsidP="00FC432E">
            <w:pPr>
              <w:jc w:val="both"/>
              <w:rPr>
                <w:rFonts w:ascii="Times New Roman" w:eastAsia="Times New Roman" w:hAnsi="Times New Roman" w:cs="Times New Roman"/>
                <w:bCs w:val="0"/>
                <w:sz w:val="22"/>
                <w:szCs w:val="24"/>
              </w:rPr>
            </w:pPr>
            <w:r w:rsidRPr="003E2BED">
              <w:rPr>
                <w:rFonts w:ascii="Times New Roman" w:eastAsia="Times New Roman" w:hAnsi="Times New Roman" w:cs="Times New Roman"/>
                <w:bCs w:val="0"/>
                <w:sz w:val="22"/>
                <w:szCs w:val="24"/>
              </w:rPr>
              <w:t>Protection</w:t>
            </w:r>
          </w:p>
        </w:tc>
        <w:tc>
          <w:tcPr>
            <w:tcW w:w="1144" w:type="dxa"/>
          </w:tcPr>
          <w:p w14:paraId="7F53D64A" w14:textId="77777777" w:rsidR="000251A7" w:rsidRPr="003E2BED" w:rsidRDefault="000251A7" w:rsidP="00FC432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2"/>
                <w:szCs w:val="24"/>
              </w:rPr>
            </w:pPr>
            <w:r w:rsidRPr="003E2BED">
              <w:rPr>
                <w:rFonts w:ascii="Times New Roman" w:eastAsia="Times New Roman" w:hAnsi="Times New Roman" w:cs="Times New Roman"/>
                <w:bCs w:val="0"/>
                <w:sz w:val="22"/>
                <w:szCs w:val="24"/>
              </w:rPr>
              <w:t>1978</w:t>
            </w:r>
          </w:p>
        </w:tc>
        <w:tc>
          <w:tcPr>
            <w:tcW w:w="1260" w:type="dxa"/>
          </w:tcPr>
          <w:p w14:paraId="4E50DC5A" w14:textId="77777777" w:rsidR="000251A7" w:rsidRPr="003E2BED" w:rsidRDefault="000251A7" w:rsidP="00FC432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2"/>
                <w:szCs w:val="24"/>
              </w:rPr>
            </w:pPr>
            <w:r w:rsidRPr="003E2BED">
              <w:rPr>
                <w:rFonts w:ascii="Times New Roman" w:eastAsia="Times New Roman" w:hAnsi="Times New Roman" w:cs="Times New Roman"/>
                <w:bCs w:val="0"/>
                <w:sz w:val="22"/>
                <w:szCs w:val="24"/>
              </w:rPr>
              <w:t>1982</w:t>
            </w:r>
          </w:p>
        </w:tc>
        <w:tc>
          <w:tcPr>
            <w:tcW w:w="1350" w:type="dxa"/>
          </w:tcPr>
          <w:p w14:paraId="0F22521F" w14:textId="77777777" w:rsidR="000251A7" w:rsidRPr="003E2BED" w:rsidRDefault="000251A7" w:rsidP="00FC432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2"/>
                <w:szCs w:val="24"/>
              </w:rPr>
            </w:pPr>
            <w:r w:rsidRPr="003E2BED">
              <w:rPr>
                <w:rFonts w:ascii="Times New Roman" w:eastAsia="Times New Roman" w:hAnsi="Times New Roman" w:cs="Times New Roman"/>
                <w:bCs w:val="0"/>
                <w:sz w:val="22"/>
                <w:szCs w:val="24"/>
              </w:rPr>
              <w:t>1988</w:t>
            </w:r>
          </w:p>
        </w:tc>
      </w:tr>
      <w:tr w:rsidR="000251A7" w:rsidRPr="003E2BED" w14:paraId="3A43F7C1" w14:textId="77777777" w:rsidTr="003E2B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1" w:type="dxa"/>
          </w:tcPr>
          <w:p w14:paraId="6D46F8B2" w14:textId="77777777" w:rsidR="000251A7" w:rsidRPr="003E2BED" w:rsidRDefault="000251A7" w:rsidP="00FC432E">
            <w:pPr>
              <w:jc w:val="both"/>
              <w:rPr>
                <w:rFonts w:ascii="Times New Roman" w:eastAsia="Times New Roman" w:hAnsi="Times New Roman" w:cs="Times New Roman"/>
                <w:bCs w:val="0"/>
                <w:sz w:val="22"/>
                <w:szCs w:val="24"/>
              </w:rPr>
            </w:pPr>
            <w:r w:rsidRPr="003E2BED">
              <w:rPr>
                <w:rFonts w:ascii="Times New Roman" w:eastAsia="Times New Roman" w:hAnsi="Times New Roman" w:cs="Times New Roman"/>
                <w:bCs w:val="0"/>
                <w:sz w:val="22"/>
                <w:szCs w:val="24"/>
              </w:rPr>
              <w:t>Nominal Rate (NRP)</w:t>
            </w:r>
          </w:p>
        </w:tc>
        <w:tc>
          <w:tcPr>
            <w:tcW w:w="1144" w:type="dxa"/>
          </w:tcPr>
          <w:p w14:paraId="56BFBA73" w14:textId="77777777" w:rsidR="000251A7" w:rsidRPr="003E2BED" w:rsidRDefault="000251A7" w:rsidP="00FC432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2"/>
                <w:szCs w:val="24"/>
              </w:rPr>
            </w:pPr>
            <w:r w:rsidRPr="003E2BED">
              <w:rPr>
                <w:rFonts w:ascii="Times New Roman" w:eastAsia="Times New Roman" w:hAnsi="Times New Roman" w:cs="Times New Roman"/>
                <w:bCs/>
                <w:sz w:val="22"/>
                <w:szCs w:val="24"/>
              </w:rPr>
              <w:t>19.7</w:t>
            </w:r>
          </w:p>
        </w:tc>
        <w:tc>
          <w:tcPr>
            <w:tcW w:w="1260" w:type="dxa"/>
          </w:tcPr>
          <w:p w14:paraId="1460BC4D" w14:textId="77777777" w:rsidR="000251A7" w:rsidRPr="003E2BED" w:rsidRDefault="000251A7" w:rsidP="00FC432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2"/>
                <w:szCs w:val="24"/>
              </w:rPr>
            </w:pPr>
            <w:r w:rsidRPr="003E2BED">
              <w:rPr>
                <w:rFonts w:ascii="Times New Roman" w:eastAsia="Times New Roman" w:hAnsi="Times New Roman" w:cs="Times New Roman"/>
                <w:bCs/>
                <w:sz w:val="22"/>
                <w:szCs w:val="24"/>
              </w:rPr>
              <w:t>17.2</w:t>
            </w:r>
          </w:p>
        </w:tc>
        <w:tc>
          <w:tcPr>
            <w:tcW w:w="1350" w:type="dxa"/>
          </w:tcPr>
          <w:p w14:paraId="5E248660" w14:textId="77777777" w:rsidR="000251A7" w:rsidRPr="003E2BED" w:rsidRDefault="000251A7" w:rsidP="00FC432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2"/>
                <w:szCs w:val="24"/>
              </w:rPr>
            </w:pPr>
            <w:r w:rsidRPr="003E2BED">
              <w:rPr>
                <w:rFonts w:ascii="Times New Roman" w:eastAsia="Times New Roman" w:hAnsi="Times New Roman" w:cs="Times New Roman"/>
                <w:bCs/>
                <w:sz w:val="22"/>
                <w:szCs w:val="24"/>
              </w:rPr>
              <w:t>12.7</w:t>
            </w:r>
          </w:p>
        </w:tc>
      </w:tr>
      <w:tr w:rsidR="000251A7" w:rsidRPr="003E2BED" w14:paraId="637E1E24" w14:textId="77777777" w:rsidTr="003E2BED">
        <w:trPr>
          <w:jc w:val="center"/>
        </w:trPr>
        <w:tc>
          <w:tcPr>
            <w:cnfStyle w:val="001000000000" w:firstRow="0" w:lastRow="0" w:firstColumn="1" w:lastColumn="0" w:oddVBand="0" w:evenVBand="0" w:oddHBand="0" w:evenHBand="0" w:firstRowFirstColumn="0" w:firstRowLastColumn="0" w:lastRowFirstColumn="0" w:lastRowLastColumn="0"/>
            <w:tcW w:w="2271" w:type="dxa"/>
          </w:tcPr>
          <w:p w14:paraId="5C8469A6" w14:textId="77777777" w:rsidR="000251A7" w:rsidRPr="003E2BED" w:rsidRDefault="000251A7" w:rsidP="00FC432E">
            <w:pPr>
              <w:jc w:val="both"/>
              <w:rPr>
                <w:rFonts w:ascii="Times New Roman" w:eastAsia="Times New Roman" w:hAnsi="Times New Roman" w:cs="Times New Roman"/>
                <w:bCs w:val="0"/>
                <w:sz w:val="22"/>
                <w:szCs w:val="24"/>
              </w:rPr>
            </w:pPr>
            <w:r w:rsidRPr="003E2BED">
              <w:rPr>
                <w:rFonts w:ascii="Times New Roman" w:eastAsia="Times New Roman" w:hAnsi="Times New Roman" w:cs="Times New Roman"/>
                <w:bCs w:val="0"/>
                <w:sz w:val="22"/>
                <w:szCs w:val="24"/>
              </w:rPr>
              <w:t>Effective Rate (ERP)</w:t>
            </w:r>
          </w:p>
        </w:tc>
        <w:tc>
          <w:tcPr>
            <w:tcW w:w="1144" w:type="dxa"/>
          </w:tcPr>
          <w:p w14:paraId="5ED5EA88" w14:textId="77777777" w:rsidR="000251A7" w:rsidRPr="003E2BED" w:rsidRDefault="000251A7" w:rsidP="00FC432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4"/>
              </w:rPr>
            </w:pPr>
            <w:r w:rsidRPr="003E2BED">
              <w:rPr>
                <w:rFonts w:ascii="Times New Roman" w:eastAsia="Times New Roman" w:hAnsi="Times New Roman" w:cs="Times New Roman"/>
                <w:bCs/>
                <w:sz w:val="22"/>
                <w:szCs w:val="24"/>
              </w:rPr>
              <w:t>24.4</w:t>
            </w:r>
          </w:p>
        </w:tc>
        <w:tc>
          <w:tcPr>
            <w:tcW w:w="1260" w:type="dxa"/>
          </w:tcPr>
          <w:p w14:paraId="4F934C75" w14:textId="77777777" w:rsidR="000251A7" w:rsidRPr="003E2BED" w:rsidRDefault="000251A7" w:rsidP="00FC432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4"/>
              </w:rPr>
            </w:pPr>
            <w:r w:rsidRPr="003E2BED">
              <w:rPr>
                <w:rFonts w:ascii="Times New Roman" w:eastAsia="Times New Roman" w:hAnsi="Times New Roman" w:cs="Times New Roman"/>
                <w:bCs/>
                <w:sz w:val="22"/>
                <w:szCs w:val="24"/>
              </w:rPr>
              <w:t>31.5</w:t>
            </w:r>
          </w:p>
        </w:tc>
        <w:tc>
          <w:tcPr>
            <w:tcW w:w="1350" w:type="dxa"/>
          </w:tcPr>
          <w:p w14:paraId="60E8F14E" w14:textId="77777777" w:rsidR="000251A7" w:rsidRPr="003E2BED" w:rsidRDefault="000251A7" w:rsidP="00FC432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2"/>
                <w:szCs w:val="24"/>
              </w:rPr>
            </w:pPr>
            <w:r w:rsidRPr="003E2BED">
              <w:rPr>
                <w:rFonts w:ascii="Times New Roman" w:eastAsia="Times New Roman" w:hAnsi="Times New Roman" w:cs="Times New Roman"/>
                <w:bCs/>
                <w:sz w:val="22"/>
                <w:szCs w:val="24"/>
              </w:rPr>
              <w:t xml:space="preserve"> NA</w:t>
            </w:r>
          </w:p>
        </w:tc>
      </w:tr>
    </w:tbl>
    <w:p w14:paraId="78573EFD" w14:textId="77777777" w:rsidR="000251A7" w:rsidRDefault="00EF7603" w:rsidP="00EF7603">
      <w:pPr>
        <w:ind w:left="1800" w:firstLine="360"/>
        <w:jc w:val="both"/>
        <w:rPr>
          <w:rFonts w:ascii="Times New Roman" w:eastAsia="Times New Roman" w:hAnsi="Times New Roman" w:cs="Times New Roman"/>
          <w:bCs/>
          <w:sz w:val="24"/>
          <w:szCs w:val="24"/>
        </w:rPr>
      </w:pPr>
      <w:r w:rsidRPr="00EF7603">
        <w:rPr>
          <w:rFonts w:ascii="Times New Roman" w:eastAsia="Times New Roman" w:hAnsi="Times New Roman" w:cs="Times New Roman"/>
          <w:b/>
          <w:bCs/>
          <w:i/>
        </w:rPr>
        <w:t>Source: Yu Jung-Ho (1993</w:t>
      </w:r>
      <w:r>
        <w:rPr>
          <w:rFonts w:ascii="Times New Roman" w:eastAsia="Times New Roman" w:hAnsi="Times New Roman" w:cs="Times New Roman"/>
          <w:bCs/>
          <w:sz w:val="24"/>
          <w:szCs w:val="24"/>
        </w:rPr>
        <w:t>)</w:t>
      </w:r>
    </w:p>
    <w:p w14:paraId="4618700A" w14:textId="77777777" w:rsidR="00274234" w:rsidRPr="008F486B" w:rsidRDefault="00EF7603" w:rsidP="008F486B">
      <w:pPr>
        <w:tabs>
          <w:tab w:val="left" w:pos="831"/>
        </w:tabs>
        <w:spacing w:after="240" w:line="276" w:lineRule="auto"/>
        <w:ind w:right="108"/>
        <w:jc w:val="both"/>
        <w:rPr>
          <w:rFonts w:ascii="Times New Roman" w:hAnsi="Times New Roman" w:cs="Times New Roman"/>
          <w:sz w:val="24"/>
          <w:szCs w:val="24"/>
        </w:rPr>
      </w:pPr>
      <w:r w:rsidRPr="008F486B">
        <w:rPr>
          <w:rFonts w:ascii="Times New Roman" w:hAnsi="Times New Roman" w:cs="Times New Roman"/>
          <w:sz w:val="24"/>
          <w:szCs w:val="24"/>
        </w:rPr>
        <w:t>The critical thing was that a</w:t>
      </w:r>
      <w:r w:rsidR="003C2B46" w:rsidRPr="008F486B">
        <w:rPr>
          <w:rFonts w:ascii="Times New Roman" w:hAnsi="Times New Roman" w:cs="Times New Roman"/>
          <w:sz w:val="24"/>
          <w:szCs w:val="24"/>
        </w:rPr>
        <w:t>ny anti-export bias of interventions were offset by support that gave exports a more favorable exchange rate</w:t>
      </w:r>
      <w:r w:rsidR="0029504A" w:rsidRPr="008F486B">
        <w:rPr>
          <w:rFonts w:ascii="Times New Roman" w:hAnsi="Times New Roman" w:cs="Times New Roman"/>
          <w:sz w:val="24"/>
          <w:szCs w:val="24"/>
        </w:rPr>
        <w:t xml:space="preserve"> with greater </w:t>
      </w:r>
      <w:r w:rsidR="008434E1" w:rsidRPr="008F486B">
        <w:rPr>
          <w:rFonts w:ascii="Times New Roman" w:hAnsi="Times New Roman" w:cs="Times New Roman"/>
          <w:sz w:val="24"/>
          <w:szCs w:val="24"/>
        </w:rPr>
        <w:t>profitability</w:t>
      </w:r>
      <w:r w:rsidR="00D27EC0" w:rsidRPr="008F486B">
        <w:rPr>
          <w:rFonts w:ascii="Times New Roman" w:hAnsi="Times New Roman" w:cs="Times New Roman"/>
          <w:sz w:val="24"/>
          <w:szCs w:val="24"/>
        </w:rPr>
        <w:t xml:space="preserve">. </w:t>
      </w:r>
      <w:r w:rsidR="00576EF2" w:rsidRPr="008F486B">
        <w:rPr>
          <w:rFonts w:ascii="Times New Roman" w:hAnsi="Times New Roman" w:cs="Times New Roman"/>
          <w:sz w:val="24"/>
          <w:szCs w:val="24"/>
        </w:rPr>
        <w:t xml:space="preserve">While there was considerable protection of goods sold in the domestic market at various times, the overriding strategy that the Korean government engineered was the application of a variety of instruments, especially export targets and rebates, to ensure that exporters faced international prices for their tradable inputs. </w:t>
      </w:r>
      <w:r w:rsidRPr="008F486B">
        <w:rPr>
          <w:rFonts w:ascii="Times New Roman" w:hAnsi="Times New Roman" w:cs="Times New Roman"/>
          <w:sz w:val="24"/>
          <w:szCs w:val="24"/>
        </w:rPr>
        <w:t xml:space="preserve">Korean growth was essentially driven by a superior export performance. </w:t>
      </w:r>
    </w:p>
    <w:p w14:paraId="328EFA7D" w14:textId="77777777" w:rsidR="009D2927" w:rsidRPr="008F486B" w:rsidRDefault="009D2927" w:rsidP="008F486B">
      <w:pPr>
        <w:tabs>
          <w:tab w:val="left" w:pos="831"/>
        </w:tabs>
        <w:spacing w:after="240" w:line="276" w:lineRule="auto"/>
        <w:ind w:right="108"/>
        <w:jc w:val="both"/>
        <w:rPr>
          <w:rFonts w:ascii="Times New Roman" w:hAnsi="Times New Roman" w:cs="Times New Roman"/>
          <w:b/>
          <w:sz w:val="24"/>
          <w:szCs w:val="24"/>
        </w:rPr>
      </w:pPr>
      <w:r w:rsidRPr="008F486B">
        <w:rPr>
          <w:rFonts w:ascii="Times New Roman" w:hAnsi="Times New Roman" w:cs="Times New Roman"/>
          <w:b/>
          <w:sz w:val="24"/>
          <w:szCs w:val="24"/>
        </w:rPr>
        <w:t>TAIWAN</w:t>
      </w:r>
    </w:p>
    <w:p w14:paraId="322C527F" w14:textId="5A261594" w:rsidR="00820BB4" w:rsidRPr="008F486B" w:rsidRDefault="00785BB5" w:rsidP="008F486B">
      <w:pPr>
        <w:tabs>
          <w:tab w:val="left" w:pos="831"/>
        </w:tabs>
        <w:spacing w:after="240" w:line="276" w:lineRule="auto"/>
        <w:ind w:right="108"/>
        <w:jc w:val="both"/>
        <w:rPr>
          <w:rFonts w:ascii="Times New Roman" w:hAnsi="Times New Roman" w:cs="Times New Roman"/>
          <w:sz w:val="24"/>
          <w:szCs w:val="24"/>
        </w:rPr>
      </w:pPr>
      <w:r>
        <w:rPr>
          <w:rFonts w:ascii="Times New Roman" w:hAnsi="Times New Roman" w:cs="Times New Roman"/>
          <w:sz w:val="24"/>
          <w:szCs w:val="24"/>
        </w:rPr>
        <w:t>With a population of 23.</w:t>
      </w:r>
      <w:r w:rsidR="00AF51D4" w:rsidRPr="008F486B">
        <w:rPr>
          <w:rFonts w:ascii="Times New Roman" w:hAnsi="Times New Roman" w:cs="Times New Roman"/>
          <w:sz w:val="24"/>
          <w:szCs w:val="24"/>
        </w:rPr>
        <w:t xml:space="preserve">5 million, and GDP of $529 billion, Taiwan is the 24th largest economy in the world, and 5th largest in Asia. It is classified as a high-income country by the World Bank with $22,500 income per capita. </w:t>
      </w:r>
      <w:r w:rsidR="00851C3F" w:rsidRPr="008F486B">
        <w:rPr>
          <w:rFonts w:ascii="Times New Roman" w:hAnsi="Times New Roman" w:cs="Times New Roman"/>
          <w:sz w:val="24"/>
          <w:szCs w:val="24"/>
        </w:rPr>
        <w:t xml:space="preserve">Taiwan transformed itself from a predominantly agrarian economy in the 1950s to highly industrialized economy by the end of the 20th century. Over time, the factor intensity </w:t>
      </w:r>
      <w:r w:rsidR="00106D8E" w:rsidRPr="008F486B">
        <w:rPr>
          <w:rFonts w:ascii="Times New Roman" w:hAnsi="Times New Roman" w:cs="Times New Roman"/>
          <w:sz w:val="24"/>
          <w:szCs w:val="24"/>
        </w:rPr>
        <w:t>of its exports has</w:t>
      </w:r>
      <w:r w:rsidR="00851C3F" w:rsidRPr="008F486B">
        <w:rPr>
          <w:rFonts w:ascii="Times New Roman" w:hAnsi="Times New Roman" w:cs="Times New Roman"/>
          <w:sz w:val="24"/>
          <w:szCs w:val="24"/>
        </w:rPr>
        <w:t xml:space="preserve"> undergone radical change, from labor-intensive manufactures in the 1960s </w:t>
      </w:r>
      <w:r w:rsidR="00106D8E" w:rsidRPr="008F486B">
        <w:rPr>
          <w:rFonts w:ascii="Times New Roman" w:hAnsi="Times New Roman" w:cs="Times New Roman"/>
          <w:sz w:val="24"/>
          <w:szCs w:val="24"/>
        </w:rPr>
        <w:t xml:space="preserve">and 1970s </w:t>
      </w:r>
      <w:r w:rsidR="00851C3F" w:rsidRPr="008F486B">
        <w:rPr>
          <w:rFonts w:ascii="Times New Roman" w:hAnsi="Times New Roman" w:cs="Times New Roman"/>
          <w:sz w:val="24"/>
          <w:szCs w:val="24"/>
        </w:rPr>
        <w:t xml:space="preserve">to </w:t>
      </w:r>
      <w:r w:rsidR="00820BB4" w:rsidRPr="008F486B">
        <w:rPr>
          <w:rFonts w:ascii="Times New Roman" w:hAnsi="Times New Roman" w:cs="Times New Roman"/>
          <w:sz w:val="24"/>
          <w:szCs w:val="24"/>
        </w:rPr>
        <w:t xml:space="preserve">predominantly </w:t>
      </w:r>
      <w:r w:rsidR="00851C3F" w:rsidRPr="008F486B">
        <w:rPr>
          <w:rFonts w:ascii="Times New Roman" w:hAnsi="Times New Roman" w:cs="Times New Roman"/>
          <w:sz w:val="24"/>
          <w:szCs w:val="24"/>
        </w:rPr>
        <w:t xml:space="preserve">capital- and technology-intensive products </w:t>
      </w:r>
      <w:r w:rsidR="00820BB4" w:rsidRPr="008F486B">
        <w:rPr>
          <w:rFonts w:ascii="Times New Roman" w:hAnsi="Times New Roman" w:cs="Times New Roman"/>
          <w:sz w:val="24"/>
          <w:szCs w:val="24"/>
        </w:rPr>
        <w:t xml:space="preserve">since the 1980s. The economy of Taiwan is </w:t>
      </w:r>
      <w:r w:rsidR="00106D8E" w:rsidRPr="008F486B">
        <w:rPr>
          <w:rFonts w:ascii="Times New Roman" w:hAnsi="Times New Roman" w:cs="Times New Roman"/>
          <w:sz w:val="24"/>
          <w:szCs w:val="24"/>
        </w:rPr>
        <w:t xml:space="preserve">now </w:t>
      </w:r>
      <w:r w:rsidR="00820BB4" w:rsidRPr="008F486B">
        <w:rPr>
          <w:rFonts w:ascii="Times New Roman" w:hAnsi="Times New Roman" w:cs="Times New Roman"/>
          <w:sz w:val="24"/>
          <w:szCs w:val="24"/>
        </w:rPr>
        <w:t xml:space="preserve">an indispensable partner in the Global </w:t>
      </w:r>
      <w:hyperlink r:id="rId37" w:tooltip="Value Chain" w:history="1">
        <w:r w:rsidR="00820BB4" w:rsidRPr="008F486B">
          <w:rPr>
            <w:rFonts w:ascii="Times New Roman" w:hAnsi="Times New Roman" w:cs="Times New Roman"/>
            <w:sz w:val="24"/>
            <w:szCs w:val="24"/>
          </w:rPr>
          <w:t>Value Chains</w:t>
        </w:r>
      </w:hyperlink>
      <w:r w:rsidR="00820BB4" w:rsidRPr="008F486B">
        <w:rPr>
          <w:rFonts w:ascii="Times New Roman" w:hAnsi="Times New Roman" w:cs="Times New Roman"/>
          <w:sz w:val="24"/>
          <w:szCs w:val="24"/>
        </w:rPr>
        <w:t xml:space="preserve"> of </w:t>
      </w:r>
      <w:hyperlink r:id="rId38" w:tooltip="Electronics Industry" w:history="1">
        <w:r w:rsidR="00820BB4" w:rsidRPr="008F486B">
          <w:rPr>
            <w:rFonts w:ascii="Times New Roman" w:hAnsi="Times New Roman" w:cs="Times New Roman"/>
            <w:sz w:val="24"/>
            <w:szCs w:val="24"/>
          </w:rPr>
          <w:t>Electronics Industry</w:t>
        </w:r>
      </w:hyperlink>
      <w:r w:rsidR="00820BB4" w:rsidRPr="008F486B">
        <w:rPr>
          <w:rFonts w:ascii="Times New Roman" w:hAnsi="Times New Roman" w:cs="Times New Roman"/>
          <w:sz w:val="24"/>
          <w:szCs w:val="24"/>
        </w:rPr>
        <w:t xml:space="preserve"> (World Bank, 2010). </w:t>
      </w:r>
      <w:hyperlink r:id="rId39" w:tooltip="Electronic components" w:history="1">
        <w:r w:rsidR="00820BB4" w:rsidRPr="008F486B">
          <w:rPr>
            <w:rFonts w:ascii="Times New Roman" w:hAnsi="Times New Roman" w:cs="Times New Roman"/>
            <w:sz w:val="24"/>
            <w:szCs w:val="24"/>
          </w:rPr>
          <w:t xml:space="preserve">Electronic </w:t>
        </w:r>
        <w:r w:rsidR="00E70334" w:rsidRPr="008F486B">
          <w:rPr>
            <w:rFonts w:ascii="Times New Roman" w:hAnsi="Times New Roman" w:cs="Times New Roman"/>
            <w:sz w:val="24"/>
            <w:szCs w:val="24"/>
          </w:rPr>
          <w:t xml:space="preserve">products and </w:t>
        </w:r>
        <w:r w:rsidR="00820BB4" w:rsidRPr="008F486B">
          <w:rPr>
            <w:rFonts w:ascii="Times New Roman" w:hAnsi="Times New Roman" w:cs="Times New Roman"/>
            <w:sz w:val="24"/>
            <w:szCs w:val="24"/>
          </w:rPr>
          <w:t>components</w:t>
        </w:r>
      </w:hyperlink>
      <w:r w:rsidR="00820BB4" w:rsidRPr="008F486B">
        <w:rPr>
          <w:rFonts w:ascii="Times New Roman" w:hAnsi="Times New Roman" w:cs="Times New Roman"/>
          <w:sz w:val="24"/>
          <w:szCs w:val="24"/>
        </w:rPr>
        <w:t xml:space="preserve"> and personal computer</w:t>
      </w:r>
      <w:r w:rsidR="00E70334" w:rsidRPr="008F486B">
        <w:rPr>
          <w:rFonts w:ascii="Times New Roman" w:hAnsi="Times New Roman" w:cs="Times New Roman"/>
          <w:sz w:val="24"/>
          <w:szCs w:val="24"/>
        </w:rPr>
        <w:t>s</w:t>
      </w:r>
      <w:r w:rsidR="00820BB4" w:rsidRPr="008F486B">
        <w:rPr>
          <w:rFonts w:ascii="Times New Roman" w:hAnsi="Times New Roman" w:cs="Times New Roman"/>
          <w:sz w:val="24"/>
          <w:szCs w:val="24"/>
        </w:rPr>
        <w:t xml:space="preserve"> are areas of international strength of Taiwan's Information Technology industry. </w:t>
      </w:r>
      <w:r w:rsidR="00681F01" w:rsidRPr="008F486B">
        <w:rPr>
          <w:rFonts w:ascii="Times New Roman" w:hAnsi="Times New Roman" w:cs="Times New Roman"/>
          <w:sz w:val="24"/>
          <w:szCs w:val="24"/>
        </w:rPr>
        <w:t>The electronics sector is now Taiwan's most important industrial export sector and is the largest recipient of United States investment.</w:t>
      </w:r>
    </w:p>
    <w:p w14:paraId="696597BE" w14:textId="77777777" w:rsidR="00681F01" w:rsidRDefault="00106D8E" w:rsidP="008F486B">
      <w:pPr>
        <w:tabs>
          <w:tab w:val="left" w:pos="831"/>
        </w:tabs>
        <w:spacing w:after="240" w:line="276" w:lineRule="auto"/>
        <w:ind w:right="108"/>
        <w:jc w:val="both"/>
        <w:rPr>
          <w:rFonts w:ascii="Times New Roman" w:hAnsi="Times New Roman" w:cs="Times New Roman"/>
          <w:sz w:val="24"/>
          <w:szCs w:val="24"/>
        </w:rPr>
      </w:pPr>
      <w:r w:rsidRPr="008F486B">
        <w:rPr>
          <w:rFonts w:ascii="Times New Roman" w:hAnsi="Times New Roman" w:cs="Times New Roman"/>
          <w:sz w:val="24"/>
          <w:szCs w:val="24"/>
        </w:rPr>
        <w:t>Being a small economy, Taiwan’s leaders realized at the outset that trade would have to be its lifeline. Indeed, f</w:t>
      </w:r>
      <w:r w:rsidR="00AF51D4" w:rsidRPr="008F486B">
        <w:rPr>
          <w:rFonts w:ascii="Times New Roman" w:hAnsi="Times New Roman" w:cs="Times New Roman"/>
          <w:sz w:val="24"/>
          <w:szCs w:val="24"/>
        </w:rPr>
        <w:t>oreign trade has been the engine of Taiwan's rapid growth during the past 70 years. Taiwan's economy remains export-oriented, depends on an open world trade regime</w:t>
      </w:r>
      <w:r w:rsidRPr="008F486B">
        <w:rPr>
          <w:rFonts w:ascii="Times New Roman" w:hAnsi="Times New Roman" w:cs="Times New Roman"/>
          <w:sz w:val="24"/>
          <w:szCs w:val="24"/>
        </w:rPr>
        <w:t>,</w:t>
      </w:r>
      <w:r w:rsidR="00AF51D4" w:rsidRPr="008F486B">
        <w:rPr>
          <w:rFonts w:ascii="Times New Roman" w:hAnsi="Times New Roman" w:cs="Times New Roman"/>
          <w:sz w:val="24"/>
          <w:szCs w:val="24"/>
        </w:rPr>
        <w:t xml:space="preserve"> and remains vulnerable to downturns in the world economy. The total value of trade increased over fivefold in the 1960s, nearly tenfold in the 1970s,</w:t>
      </w:r>
      <w:r w:rsidRPr="008F486B">
        <w:rPr>
          <w:rFonts w:ascii="Times New Roman" w:hAnsi="Times New Roman" w:cs="Times New Roman"/>
          <w:sz w:val="24"/>
          <w:szCs w:val="24"/>
        </w:rPr>
        <w:t xml:space="preserve"> and doubled again in the 1980s.</w:t>
      </w:r>
      <w:r w:rsidR="00AF51D4" w:rsidRPr="008F486B">
        <w:rPr>
          <w:rFonts w:ascii="Times New Roman" w:hAnsi="Times New Roman" w:cs="Times New Roman"/>
          <w:sz w:val="24"/>
          <w:szCs w:val="24"/>
        </w:rPr>
        <w:t xml:space="preserve"> The 1990s saw a more modest, slightly less than twofold, growth. </w:t>
      </w:r>
      <w:r w:rsidR="00851C3F" w:rsidRPr="008F486B">
        <w:rPr>
          <w:rFonts w:ascii="Times New Roman" w:hAnsi="Times New Roman" w:cs="Times New Roman"/>
          <w:sz w:val="24"/>
          <w:szCs w:val="24"/>
        </w:rPr>
        <w:t xml:space="preserve">Throughout Taiwan’s history, export growth has been the cornerstone of its development policy. </w:t>
      </w:r>
      <w:r w:rsidR="00681F01">
        <w:rPr>
          <w:rFonts w:ascii="Times New Roman" w:hAnsi="Times New Roman" w:cs="Times New Roman"/>
          <w:sz w:val="24"/>
          <w:szCs w:val="24"/>
        </w:rPr>
        <w:t>In the early 1980s.</w:t>
      </w:r>
      <w:r w:rsidR="00851C3F" w:rsidRPr="00851C3F">
        <w:rPr>
          <w:rFonts w:ascii="Times New Roman" w:hAnsi="Times New Roman" w:cs="Times New Roman"/>
          <w:sz w:val="24"/>
          <w:szCs w:val="24"/>
        </w:rPr>
        <w:t xml:space="preserve"> Taiwan embarked on a development programme designed to shift the economy away from reliance on labour-intensive industries towards the development of technology-intensive products and industries</w:t>
      </w:r>
      <w:r>
        <w:rPr>
          <w:rFonts w:ascii="Times New Roman" w:hAnsi="Times New Roman" w:cs="Times New Roman"/>
          <w:sz w:val="24"/>
          <w:szCs w:val="24"/>
        </w:rPr>
        <w:t>, with appropriate state interventions</w:t>
      </w:r>
      <w:r w:rsidR="00851C3F" w:rsidRPr="00851C3F">
        <w:rPr>
          <w:rFonts w:ascii="Times New Roman" w:hAnsi="Times New Roman" w:cs="Times New Roman"/>
          <w:sz w:val="24"/>
          <w:szCs w:val="24"/>
        </w:rPr>
        <w:t>. While continuing to pursue ongoing trade liberalization, the government simultaneously adopted a sectoral policy of identifying and promoting “strategic industries” in order to further industrial development and restructure industry</w:t>
      </w:r>
      <w:r>
        <w:rPr>
          <w:rFonts w:ascii="Times New Roman" w:hAnsi="Times New Roman" w:cs="Times New Roman"/>
          <w:sz w:val="24"/>
          <w:szCs w:val="24"/>
        </w:rPr>
        <w:t>.</w:t>
      </w:r>
      <w:r w:rsidR="00851C3F" w:rsidRPr="00851C3F">
        <w:rPr>
          <w:rFonts w:ascii="Times New Roman" w:hAnsi="Times New Roman" w:cs="Times New Roman"/>
          <w:sz w:val="24"/>
          <w:szCs w:val="24"/>
        </w:rPr>
        <w:t xml:space="preserve"> </w:t>
      </w:r>
      <w:r>
        <w:rPr>
          <w:rFonts w:ascii="Times New Roman" w:hAnsi="Times New Roman" w:cs="Times New Roman"/>
          <w:sz w:val="24"/>
          <w:szCs w:val="24"/>
        </w:rPr>
        <w:t xml:space="preserve">Industrial goods </w:t>
      </w:r>
      <w:r>
        <w:rPr>
          <w:rFonts w:ascii="Times New Roman" w:hAnsi="Times New Roman" w:cs="Times New Roman"/>
          <w:sz w:val="24"/>
          <w:szCs w:val="24"/>
        </w:rPr>
        <w:lastRenderedPageBreak/>
        <w:t xml:space="preserve">now make up 98% of its exports. </w:t>
      </w:r>
      <w:r w:rsidR="00681F01">
        <w:rPr>
          <w:rFonts w:ascii="Times New Roman" w:hAnsi="Times New Roman" w:cs="Times New Roman"/>
          <w:sz w:val="24"/>
          <w:szCs w:val="24"/>
        </w:rPr>
        <w:t xml:space="preserve">As for trade policy, except for the initial post-war period, Taiwan generally pursued a policy of an open and liberalized trade regime with emphasis on export-oriented industrialization. </w:t>
      </w:r>
    </w:p>
    <w:p w14:paraId="797B4A68" w14:textId="77777777" w:rsidR="00666251" w:rsidRDefault="002A3436" w:rsidP="008F486B">
      <w:pPr>
        <w:tabs>
          <w:tab w:val="left" w:pos="831"/>
        </w:tabs>
        <w:spacing w:after="240" w:line="276" w:lineRule="auto"/>
        <w:ind w:right="108"/>
        <w:jc w:val="both"/>
        <w:rPr>
          <w:rFonts w:ascii="Times New Roman" w:hAnsi="Times New Roman" w:cs="Times New Roman"/>
          <w:sz w:val="24"/>
          <w:szCs w:val="24"/>
        </w:rPr>
      </w:pPr>
      <w:r>
        <w:rPr>
          <w:rFonts w:ascii="Times New Roman" w:hAnsi="Times New Roman" w:cs="Times New Roman"/>
          <w:sz w:val="24"/>
          <w:szCs w:val="24"/>
        </w:rPr>
        <w:t>A review of Taiwan’s process of economic development reveals that it</w:t>
      </w:r>
      <w:r w:rsidR="009D2927" w:rsidRPr="009D2927">
        <w:rPr>
          <w:rFonts w:ascii="Times New Roman" w:hAnsi="Times New Roman" w:cs="Times New Roman"/>
          <w:sz w:val="24"/>
          <w:szCs w:val="24"/>
        </w:rPr>
        <w:t xml:space="preserve"> has adopted several different economic strategies. In the 1950s, an</w:t>
      </w:r>
      <w:r w:rsidR="002629E3">
        <w:rPr>
          <w:rFonts w:ascii="Times New Roman" w:hAnsi="Times New Roman" w:cs="Times New Roman"/>
          <w:sz w:val="24"/>
          <w:szCs w:val="24"/>
        </w:rPr>
        <w:t xml:space="preserve"> </w:t>
      </w:r>
      <w:r w:rsidR="009D2927" w:rsidRPr="009D2927">
        <w:rPr>
          <w:rFonts w:ascii="Times New Roman" w:hAnsi="Times New Roman" w:cs="Times New Roman"/>
          <w:sz w:val="24"/>
          <w:szCs w:val="24"/>
        </w:rPr>
        <w:t xml:space="preserve">import-substitution policy was followed to reconstruct the economy </w:t>
      </w:r>
      <w:r w:rsidR="008754E9">
        <w:rPr>
          <w:rFonts w:ascii="Times New Roman" w:hAnsi="Times New Roman" w:cs="Times New Roman"/>
          <w:sz w:val="24"/>
          <w:szCs w:val="24"/>
        </w:rPr>
        <w:t xml:space="preserve">and establish an industrial base </w:t>
      </w:r>
      <w:r w:rsidR="009D2927" w:rsidRPr="009D2927">
        <w:rPr>
          <w:rFonts w:ascii="Times New Roman" w:hAnsi="Times New Roman" w:cs="Times New Roman"/>
          <w:sz w:val="24"/>
          <w:szCs w:val="24"/>
        </w:rPr>
        <w:t>after the</w:t>
      </w:r>
      <w:r w:rsidR="002629E3">
        <w:rPr>
          <w:rFonts w:ascii="Times New Roman" w:hAnsi="Times New Roman" w:cs="Times New Roman"/>
          <w:sz w:val="24"/>
          <w:szCs w:val="24"/>
        </w:rPr>
        <w:t xml:space="preserve"> </w:t>
      </w:r>
      <w:r w:rsidR="009D2927" w:rsidRPr="009D2927">
        <w:rPr>
          <w:rFonts w:ascii="Times New Roman" w:hAnsi="Times New Roman" w:cs="Times New Roman"/>
          <w:sz w:val="24"/>
          <w:szCs w:val="24"/>
        </w:rPr>
        <w:t xml:space="preserve">Second World War. </w:t>
      </w:r>
      <w:r w:rsidR="008754E9">
        <w:rPr>
          <w:rFonts w:ascii="Times New Roman" w:hAnsi="Times New Roman" w:cs="Times New Roman"/>
          <w:sz w:val="24"/>
          <w:szCs w:val="24"/>
        </w:rPr>
        <w:t xml:space="preserve">High tariffs and import restrictions helped develop some labor-intensive industries like textiles, apparel, wood, and leather products. However, the costs of import substitution soon appeared in growing trade deficits and declining growth. </w:t>
      </w:r>
      <w:r w:rsidR="009D2927" w:rsidRPr="009D2927">
        <w:rPr>
          <w:rFonts w:ascii="Times New Roman" w:hAnsi="Times New Roman" w:cs="Times New Roman"/>
          <w:sz w:val="24"/>
          <w:szCs w:val="24"/>
        </w:rPr>
        <w:t>In the 1960s, an export-promotion policy was put forward</w:t>
      </w:r>
      <w:r w:rsidR="002629E3">
        <w:rPr>
          <w:rFonts w:ascii="Times New Roman" w:hAnsi="Times New Roman" w:cs="Times New Roman"/>
          <w:sz w:val="24"/>
          <w:szCs w:val="24"/>
        </w:rPr>
        <w:t xml:space="preserve"> </w:t>
      </w:r>
      <w:r w:rsidR="009D2927" w:rsidRPr="009D2927">
        <w:rPr>
          <w:rFonts w:ascii="Times New Roman" w:hAnsi="Times New Roman" w:cs="Times New Roman"/>
          <w:sz w:val="24"/>
          <w:szCs w:val="24"/>
        </w:rPr>
        <w:t xml:space="preserve">to stimulate exports and to speed up economic growth. </w:t>
      </w:r>
      <w:r w:rsidR="00AF5B92">
        <w:rPr>
          <w:rFonts w:ascii="Times New Roman" w:hAnsi="Times New Roman" w:cs="Times New Roman"/>
          <w:sz w:val="24"/>
          <w:szCs w:val="24"/>
        </w:rPr>
        <w:t xml:space="preserve">Tariffs and import controls were gradually reduced, especially for inputs to export. </w:t>
      </w:r>
      <w:r w:rsidR="009D2927" w:rsidRPr="009D2927">
        <w:rPr>
          <w:rFonts w:ascii="Times New Roman" w:hAnsi="Times New Roman" w:cs="Times New Roman"/>
          <w:sz w:val="24"/>
          <w:szCs w:val="24"/>
        </w:rPr>
        <w:t>At that time, labor</w:t>
      </w:r>
      <w:r w:rsidR="00C96109">
        <w:rPr>
          <w:rFonts w:ascii="Times New Roman" w:hAnsi="Times New Roman" w:cs="Times New Roman"/>
          <w:sz w:val="24"/>
          <w:szCs w:val="24"/>
        </w:rPr>
        <w:t>-</w:t>
      </w:r>
      <w:r w:rsidR="009D2927" w:rsidRPr="009D2927">
        <w:rPr>
          <w:rFonts w:ascii="Times New Roman" w:hAnsi="Times New Roman" w:cs="Times New Roman"/>
          <w:sz w:val="24"/>
          <w:szCs w:val="24"/>
        </w:rPr>
        <w:t>intensive</w:t>
      </w:r>
      <w:r w:rsidR="002629E3">
        <w:rPr>
          <w:rFonts w:ascii="Times New Roman" w:hAnsi="Times New Roman" w:cs="Times New Roman"/>
          <w:sz w:val="24"/>
          <w:szCs w:val="24"/>
        </w:rPr>
        <w:t xml:space="preserve"> </w:t>
      </w:r>
      <w:r w:rsidR="009D2927" w:rsidRPr="009D2927">
        <w:rPr>
          <w:rFonts w:ascii="Times New Roman" w:hAnsi="Times New Roman" w:cs="Times New Roman"/>
          <w:sz w:val="24"/>
          <w:szCs w:val="24"/>
        </w:rPr>
        <w:t>industries were comparatively advantageous and became the key industries</w:t>
      </w:r>
      <w:r w:rsidR="002629E3">
        <w:rPr>
          <w:rFonts w:ascii="Times New Roman" w:hAnsi="Times New Roman" w:cs="Times New Roman"/>
          <w:sz w:val="24"/>
          <w:szCs w:val="24"/>
        </w:rPr>
        <w:t xml:space="preserve"> </w:t>
      </w:r>
      <w:r w:rsidR="009D2927" w:rsidRPr="009D2927">
        <w:rPr>
          <w:rFonts w:ascii="Times New Roman" w:hAnsi="Times New Roman" w:cs="Times New Roman"/>
          <w:sz w:val="24"/>
          <w:szCs w:val="24"/>
        </w:rPr>
        <w:t>that gained the support of the government.</w:t>
      </w:r>
    </w:p>
    <w:p w14:paraId="09E277B0" w14:textId="77777777" w:rsidR="00666251" w:rsidRDefault="009D2927" w:rsidP="008F486B">
      <w:pPr>
        <w:tabs>
          <w:tab w:val="left" w:pos="831"/>
        </w:tabs>
        <w:spacing w:after="240" w:line="276" w:lineRule="auto"/>
        <w:ind w:right="108"/>
        <w:jc w:val="both"/>
        <w:rPr>
          <w:rFonts w:ascii="Times New Roman" w:hAnsi="Times New Roman" w:cs="Times New Roman"/>
          <w:sz w:val="24"/>
          <w:szCs w:val="24"/>
        </w:rPr>
      </w:pPr>
      <w:r w:rsidRPr="009D2927">
        <w:rPr>
          <w:rFonts w:ascii="Times New Roman" w:hAnsi="Times New Roman" w:cs="Times New Roman"/>
          <w:sz w:val="24"/>
          <w:szCs w:val="24"/>
        </w:rPr>
        <w:t>After the oil crises of the</w:t>
      </w:r>
      <w:r w:rsidR="002629E3">
        <w:rPr>
          <w:rFonts w:ascii="Times New Roman" w:hAnsi="Times New Roman" w:cs="Times New Roman"/>
          <w:sz w:val="24"/>
          <w:szCs w:val="24"/>
        </w:rPr>
        <w:t xml:space="preserve"> </w:t>
      </w:r>
      <w:r w:rsidRPr="009D2927">
        <w:rPr>
          <w:rFonts w:ascii="Times New Roman" w:hAnsi="Times New Roman" w:cs="Times New Roman"/>
          <w:sz w:val="24"/>
          <w:szCs w:val="24"/>
        </w:rPr>
        <w:t>1970s, capital intensive and technology-intensive industries became the new</w:t>
      </w:r>
      <w:r w:rsidR="002629E3">
        <w:rPr>
          <w:rFonts w:ascii="Times New Roman" w:hAnsi="Times New Roman" w:cs="Times New Roman"/>
          <w:sz w:val="24"/>
          <w:szCs w:val="24"/>
        </w:rPr>
        <w:t xml:space="preserve"> </w:t>
      </w:r>
      <w:r w:rsidRPr="009D2927">
        <w:rPr>
          <w:rFonts w:ascii="Times New Roman" w:hAnsi="Times New Roman" w:cs="Times New Roman"/>
          <w:sz w:val="24"/>
          <w:szCs w:val="24"/>
        </w:rPr>
        <w:t xml:space="preserve">key industries. In the 1980s, </w:t>
      </w:r>
      <w:r w:rsidR="004F5716">
        <w:rPr>
          <w:rFonts w:ascii="Times New Roman" w:hAnsi="Times New Roman" w:cs="Times New Roman"/>
          <w:sz w:val="24"/>
          <w:szCs w:val="24"/>
        </w:rPr>
        <w:t>as wages rose Taiwan began losing its competitive advantage in labor-intensive products and exports lost ground.</w:t>
      </w:r>
      <w:r w:rsidRPr="009D2927">
        <w:rPr>
          <w:rFonts w:ascii="Times New Roman" w:hAnsi="Times New Roman" w:cs="Times New Roman"/>
          <w:sz w:val="24"/>
          <w:szCs w:val="24"/>
        </w:rPr>
        <w:t xml:space="preserve"> </w:t>
      </w:r>
      <w:r w:rsidRPr="008F486B">
        <w:rPr>
          <w:rFonts w:ascii="Times New Roman" w:hAnsi="Times New Roman" w:cs="Times New Roman"/>
          <w:sz w:val="24"/>
          <w:szCs w:val="24"/>
        </w:rPr>
        <w:t xml:space="preserve">So, </w:t>
      </w:r>
      <w:r w:rsidRPr="009D2927">
        <w:rPr>
          <w:rFonts w:ascii="Times New Roman" w:hAnsi="Times New Roman" w:cs="Times New Roman"/>
          <w:sz w:val="24"/>
          <w:szCs w:val="24"/>
        </w:rPr>
        <w:t>in order to promote</w:t>
      </w:r>
      <w:r w:rsidR="002629E3">
        <w:rPr>
          <w:rFonts w:ascii="Times New Roman" w:hAnsi="Times New Roman" w:cs="Times New Roman"/>
          <w:sz w:val="24"/>
          <w:szCs w:val="24"/>
        </w:rPr>
        <w:t xml:space="preserve"> </w:t>
      </w:r>
      <w:r w:rsidRPr="009D2927">
        <w:rPr>
          <w:rFonts w:ascii="Times New Roman" w:hAnsi="Times New Roman" w:cs="Times New Roman"/>
          <w:sz w:val="24"/>
          <w:szCs w:val="24"/>
        </w:rPr>
        <w:t>industrial development and improve the country’s industrial structure, the</w:t>
      </w:r>
      <w:r w:rsidR="002629E3">
        <w:rPr>
          <w:rFonts w:ascii="Times New Roman" w:hAnsi="Times New Roman" w:cs="Times New Roman"/>
          <w:sz w:val="24"/>
          <w:szCs w:val="24"/>
        </w:rPr>
        <w:t xml:space="preserve"> </w:t>
      </w:r>
      <w:r w:rsidRPr="009D2927">
        <w:rPr>
          <w:rFonts w:ascii="Times New Roman" w:hAnsi="Times New Roman" w:cs="Times New Roman"/>
          <w:sz w:val="24"/>
          <w:szCs w:val="24"/>
        </w:rPr>
        <w:t xml:space="preserve">concept of “strategic industries” </w:t>
      </w:r>
      <w:r w:rsidR="002629E3">
        <w:rPr>
          <w:rFonts w:ascii="Times New Roman" w:hAnsi="Times New Roman" w:cs="Times New Roman"/>
          <w:sz w:val="24"/>
          <w:szCs w:val="24"/>
        </w:rPr>
        <w:t>(</w:t>
      </w:r>
      <w:r w:rsidR="002629E3" w:rsidRPr="009D2927">
        <w:rPr>
          <w:rFonts w:ascii="Times New Roman" w:hAnsi="Times New Roman" w:cs="Times New Roman"/>
          <w:sz w:val="24"/>
          <w:szCs w:val="24"/>
        </w:rPr>
        <w:t>mechanical products, information, and electronics sectors</w:t>
      </w:r>
      <w:r w:rsidR="002629E3">
        <w:rPr>
          <w:rFonts w:ascii="Times New Roman" w:hAnsi="Times New Roman" w:cs="Times New Roman"/>
          <w:sz w:val="24"/>
          <w:szCs w:val="24"/>
        </w:rPr>
        <w:t>)</w:t>
      </w:r>
      <w:r w:rsidR="002629E3" w:rsidRPr="009D2927">
        <w:rPr>
          <w:rFonts w:ascii="Times New Roman" w:hAnsi="Times New Roman" w:cs="Times New Roman"/>
          <w:sz w:val="24"/>
          <w:szCs w:val="24"/>
        </w:rPr>
        <w:t xml:space="preserve"> </w:t>
      </w:r>
      <w:r w:rsidRPr="009D2927">
        <w:rPr>
          <w:rFonts w:ascii="Times New Roman" w:hAnsi="Times New Roman" w:cs="Times New Roman"/>
          <w:sz w:val="24"/>
          <w:szCs w:val="24"/>
        </w:rPr>
        <w:t xml:space="preserve">was adopted </w:t>
      </w:r>
      <w:r w:rsidR="002A3436">
        <w:rPr>
          <w:rFonts w:ascii="Times New Roman" w:hAnsi="Times New Roman" w:cs="Times New Roman"/>
          <w:sz w:val="24"/>
          <w:szCs w:val="24"/>
        </w:rPr>
        <w:t>(Kuo, 2015</w:t>
      </w:r>
      <w:r w:rsidRPr="009D2927">
        <w:rPr>
          <w:rFonts w:ascii="Times New Roman" w:hAnsi="Times New Roman" w:cs="Times New Roman"/>
          <w:sz w:val="24"/>
          <w:szCs w:val="24"/>
        </w:rPr>
        <w:t>)</w:t>
      </w:r>
      <w:r w:rsidR="002A3436">
        <w:rPr>
          <w:rFonts w:ascii="Times New Roman" w:hAnsi="Times New Roman" w:cs="Times New Roman"/>
          <w:sz w:val="24"/>
          <w:szCs w:val="24"/>
        </w:rPr>
        <w:t xml:space="preserve">. </w:t>
      </w:r>
      <w:r w:rsidR="00AF5B92">
        <w:rPr>
          <w:rFonts w:ascii="Times New Roman" w:hAnsi="Times New Roman" w:cs="Times New Roman"/>
          <w:sz w:val="24"/>
          <w:szCs w:val="24"/>
        </w:rPr>
        <w:t xml:space="preserve">The focus now shifted to high-technology industries: information, biotechnology, electro-optics, machinery and precision instruments. The shift to high-technology also necessitated close coordination of industrial, financial, science and technology, and human resource policies. </w:t>
      </w:r>
      <w:r w:rsidR="004A4B19">
        <w:rPr>
          <w:rFonts w:ascii="Times New Roman" w:hAnsi="Times New Roman" w:cs="Times New Roman"/>
          <w:sz w:val="24"/>
          <w:szCs w:val="24"/>
        </w:rPr>
        <w:t xml:space="preserve">The country </w:t>
      </w:r>
      <w:r w:rsidR="004F5716">
        <w:rPr>
          <w:rFonts w:ascii="Times New Roman" w:hAnsi="Times New Roman" w:cs="Times New Roman"/>
          <w:sz w:val="24"/>
          <w:szCs w:val="24"/>
        </w:rPr>
        <w:t xml:space="preserve">soon </w:t>
      </w:r>
      <w:r w:rsidR="004A4B19">
        <w:rPr>
          <w:rFonts w:ascii="Times New Roman" w:hAnsi="Times New Roman" w:cs="Times New Roman"/>
          <w:sz w:val="24"/>
          <w:szCs w:val="24"/>
        </w:rPr>
        <w:t xml:space="preserve">passed the stage where its companies merely imported high-tech components. </w:t>
      </w:r>
      <w:r w:rsidR="004F5716">
        <w:rPr>
          <w:rFonts w:ascii="Times New Roman" w:hAnsi="Times New Roman" w:cs="Times New Roman"/>
          <w:sz w:val="24"/>
          <w:szCs w:val="24"/>
        </w:rPr>
        <w:t>A</w:t>
      </w:r>
      <w:r w:rsidR="004A4B19">
        <w:rPr>
          <w:rFonts w:ascii="Times New Roman" w:hAnsi="Times New Roman" w:cs="Times New Roman"/>
          <w:sz w:val="24"/>
          <w:szCs w:val="24"/>
        </w:rPr>
        <w:t xml:space="preserve"> large number of high-tech firms </w:t>
      </w:r>
      <w:r w:rsidR="004F5716">
        <w:rPr>
          <w:rFonts w:ascii="Times New Roman" w:hAnsi="Times New Roman" w:cs="Times New Roman"/>
          <w:sz w:val="24"/>
          <w:szCs w:val="24"/>
        </w:rPr>
        <w:t xml:space="preserve">emerged </w:t>
      </w:r>
      <w:r w:rsidR="004A4B19">
        <w:rPr>
          <w:rFonts w:ascii="Times New Roman" w:hAnsi="Times New Roman" w:cs="Times New Roman"/>
          <w:sz w:val="24"/>
          <w:szCs w:val="24"/>
        </w:rPr>
        <w:t>producing increasingly sophisticated and higher-value added industrial products</w:t>
      </w:r>
      <w:r w:rsidR="004F5716">
        <w:rPr>
          <w:rFonts w:ascii="Times New Roman" w:hAnsi="Times New Roman" w:cs="Times New Roman"/>
          <w:sz w:val="24"/>
          <w:szCs w:val="24"/>
        </w:rPr>
        <w:t>.</w:t>
      </w:r>
      <w:r w:rsidR="004A4B19">
        <w:rPr>
          <w:rFonts w:ascii="Times New Roman" w:hAnsi="Times New Roman" w:cs="Times New Roman"/>
          <w:sz w:val="24"/>
          <w:szCs w:val="24"/>
        </w:rPr>
        <w:t xml:space="preserve"> </w:t>
      </w:r>
      <w:r w:rsidR="004F5716">
        <w:rPr>
          <w:rFonts w:ascii="Times New Roman" w:hAnsi="Times New Roman" w:cs="Times New Roman"/>
          <w:sz w:val="24"/>
          <w:szCs w:val="24"/>
        </w:rPr>
        <w:t>That trend has continued into the 21</w:t>
      </w:r>
      <w:r w:rsidR="004F5716" w:rsidRPr="008F486B">
        <w:rPr>
          <w:rFonts w:ascii="Times New Roman" w:hAnsi="Times New Roman" w:cs="Times New Roman"/>
          <w:sz w:val="24"/>
          <w:szCs w:val="24"/>
        </w:rPr>
        <w:t>st</w:t>
      </w:r>
      <w:r w:rsidR="004F5716">
        <w:rPr>
          <w:rFonts w:ascii="Times New Roman" w:hAnsi="Times New Roman" w:cs="Times New Roman"/>
          <w:sz w:val="24"/>
          <w:szCs w:val="24"/>
        </w:rPr>
        <w:t xml:space="preserve"> century with 98% of its exports being manufactured goods with high degree of sophistication. </w:t>
      </w:r>
      <w:r w:rsidR="006E4E3B" w:rsidRPr="008F486B">
        <w:rPr>
          <w:rFonts w:ascii="Times New Roman" w:hAnsi="Times New Roman" w:cs="Times New Roman"/>
          <w:sz w:val="24"/>
          <w:szCs w:val="24"/>
        </w:rPr>
        <w:t>Taiwan is the world's largest supplier of contract computer chip manufacturing (</w:t>
      </w:r>
      <w:hyperlink r:id="rId40" w:tooltip="Semiconductor fabrication plant" w:history="1">
        <w:r w:rsidR="006E4E3B" w:rsidRPr="008F486B">
          <w:rPr>
            <w:rFonts w:ascii="Times New Roman" w:hAnsi="Times New Roman" w:cs="Times New Roman"/>
            <w:sz w:val="24"/>
            <w:szCs w:val="24"/>
          </w:rPr>
          <w:t>foundry services</w:t>
        </w:r>
      </w:hyperlink>
      <w:r w:rsidR="006E4E3B" w:rsidRPr="008F486B">
        <w:rPr>
          <w:rFonts w:ascii="Times New Roman" w:hAnsi="Times New Roman" w:cs="Times New Roman"/>
          <w:sz w:val="24"/>
          <w:szCs w:val="24"/>
        </w:rPr>
        <w:t xml:space="preserve">) and is a leading </w:t>
      </w:r>
      <w:hyperlink r:id="rId41" w:tooltip="Liquid crystal display" w:history="1">
        <w:r w:rsidR="006E4E3B" w:rsidRPr="008F486B">
          <w:rPr>
            <w:rFonts w:ascii="Times New Roman" w:hAnsi="Times New Roman" w:cs="Times New Roman"/>
            <w:sz w:val="24"/>
            <w:szCs w:val="24"/>
          </w:rPr>
          <w:t>LCD panel</w:t>
        </w:r>
      </w:hyperlink>
      <w:r w:rsidR="006E4E3B" w:rsidRPr="008F486B">
        <w:rPr>
          <w:rFonts w:ascii="Times New Roman" w:hAnsi="Times New Roman" w:cs="Times New Roman"/>
          <w:sz w:val="24"/>
          <w:szCs w:val="24"/>
        </w:rPr>
        <w:t xml:space="preserve"> manufacturer, DRAM computer memory, networking equipment, and consumer electronics designer and manufacture</w:t>
      </w:r>
      <w:r w:rsidR="000422A4" w:rsidRPr="008F486B">
        <w:rPr>
          <w:rFonts w:ascii="Times New Roman" w:hAnsi="Times New Roman" w:cs="Times New Roman"/>
          <w:sz w:val="24"/>
          <w:szCs w:val="24"/>
        </w:rPr>
        <w:t xml:space="preserve">r. </w:t>
      </w:r>
      <w:r w:rsidR="00E70334">
        <w:rPr>
          <w:rFonts w:ascii="Times New Roman" w:hAnsi="Times New Roman" w:cs="Times New Roman"/>
          <w:sz w:val="24"/>
          <w:szCs w:val="24"/>
        </w:rPr>
        <w:t xml:space="preserve">All said and done, Taiwan is poised to reap the benefits of any forthcoming </w:t>
      </w:r>
      <w:r w:rsidR="004A4B19">
        <w:rPr>
          <w:rFonts w:ascii="Times New Roman" w:hAnsi="Times New Roman" w:cs="Times New Roman"/>
          <w:sz w:val="24"/>
          <w:szCs w:val="24"/>
        </w:rPr>
        <w:t>industrial revolution in the future</w:t>
      </w:r>
      <w:r w:rsidR="00E70334">
        <w:rPr>
          <w:rFonts w:ascii="Times New Roman" w:hAnsi="Times New Roman" w:cs="Times New Roman"/>
          <w:sz w:val="24"/>
          <w:szCs w:val="24"/>
        </w:rPr>
        <w:t xml:space="preserve">. </w:t>
      </w:r>
    </w:p>
    <w:p w14:paraId="0327060C" w14:textId="57859AC3" w:rsidR="004A4B19" w:rsidRPr="008F486B" w:rsidRDefault="008001B2" w:rsidP="008F486B">
      <w:pPr>
        <w:tabs>
          <w:tab w:val="left" w:pos="831"/>
        </w:tabs>
        <w:spacing w:after="240" w:line="276" w:lineRule="auto"/>
        <w:ind w:right="108"/>
        <w:jc w:val="both"/>
        <w:rPr>
          <w:rFonts w:ascii="Times New Roman" w:hAnsi="Times New Roman" w:cs="Times New Roman"/>
          <w:b/>
          <w:sz w:val="24"/>
          <w:szCs w:val="24"/>
        </w:rPr>
      </w:pPr>
      <w:r w:rsidRPr="008F486B">
        <w:rPr>
          <w:rFonts w:ascii="Times New Roman" w:hAnsi="Times New Roman" w:cs="Times New Roman"/>
          <w:b/>
          <w:sz w:val="24"/>
          <w:szCs w:val="24"/>
        </w:rPr>
        <w:t>MALAYSIA</w:t>
      </w:r>
    </w:p>
    <w:p w14:paraId="0B1F9C9B" w14:textId="77777777" w:rsidR="008001B2" w:rsidRPr="008F486B" w:rsidRDefault="009841C3" w:rsidP="008F486B">
      <w:pPr>
        <w:tabs>
          <w:tab w:val="left" w:pos="831"/>
        </w:tabs>
        <w:spacing w:after="240" w:line="276" w:lineRule="auto"/>
        <w:ind w:right="108"/>
        <w:jc w:val="both"/>
        <w:rPr>
          <w:rFonts w:ascii="Times New Roman" w:hAnsi="Times New Roman" w:cs="Times New Roman"/>
          <w:sz w:val="24"/>
          <w:szCs w:val="24"/>
        </w:rPr>
      </w:pPr>
      <w:r w:rsidRPr="008F486B">
        <w:rPr>
          <w:rFonts w:ascii="Times New Roman" w:hAnsi="Times New Roman" w:cs="Times New Roman"/>
          <w:sz w:val="24"/>
          <w:szCs w:val="24"/>
        </w:rPr>
        <w:t xml:space="preserve">Malaysia’s economy has evolved from a low-income, agriculture-based economy with gross national income (GNI) per capita of US$240 in 1962 to an upper middle-income manufacturing and services driven economy with US$9,850 GNI per capita in 2016. With the current high-income threshold of US$12,475 set by the World Bank Malaysia is on track to become a high-income nation by 2020. </w:t>
      </w:r>
    </w:p>
    <w:p w14:paraId="4271FC0A" w14:textId="77777777" w:rsidR="009841C3" w:rsidRPr="008F486B" w:rsidRDefault="009841C3" w:rsidP="008F486B">
      <w:pPr>
        <w:tabs>
          <w:tab w:val="left" w:pos="831"/>
        </w:tabs>
        <w:spacing w:after="240" w:line="276" w:lineRule="auto"/>
        <w:ind w:right="108"/>
        <w:jc w:val="both"/>
        <w:rPr>
          <w:rFonts w:ascii="Times New Roman" w:hAnsi="Times New Roman" w:cs="Times New Roman"/>
          <w:sz w:val="24"/>
          <w:szCs w:val="24"/>
        </w:rPr>
      </w:pPr>
      <w:r w:rsidRPr="008F486B">
        <w:rPr>
          <w:rFonts w:ascii="Times New Roman" w:hAnsi="Times New Roman" w:cs="Times New Roman"/>
          <w:sz w:val="24"/>
          <w:szCs w:val="24"/>
        </w:rPr>
        <w:t xml:space="preserve">Malaysia’s early transformation is attributed to strategic vision, bold policy decisions and ability to </w:t>
      </w:r>
      <w:r w:rsidR="00584BDB" w:rsidRPr="008F486B">
        <w:rPr>
          <w:rFonts w:ascii="Times New Roman" w:hAnsi="Times New Roman" w:cs="Times New Roman"/>
          <w:sz w:val="24"/>
          <w:szCs w:val="24"/>
        </w:rPr>
        <w:t>mobilize</w:t>
      </w:r>
      <w:r w:rsidRPr="008F486B">
        <w:rPr>
          <w:rFonts w:ascii="Times New Roman" w:hAnsi="Times New Roman" w:cs="Times New Roman"/>
          <w:sz w:val="24"/>
          <w:szCs w:val="24"/>
        </w:rPr>
        <w:t xml:space="preserve"> support from both public and private sectors. Malaysia’s industrial transformation </w:t>
      </w:r>
      <w:r w:rsidRPr="008F486B">
        <w:rPr>
          <w:rFonts w:ascii="Times New Roman" w:hAnsi="Times New Roman" w:cs="Times New Roman"/>
          <w:sz w:val="24"/>
          <w:szCs w:val="24"/>
        </w:rPr>
        <w:lastRenderedPageBreak/>
        <w:t xml:space="preserve">can be divided into three phases. </w:t>
      </w:r>
      <w:r w:rsidR="00683B22" w:rsidRPr="008F486B">
        <w:rPr>
          <w:rFonts w:ascii="Times New Roman" w:hAnsi="Times New Roman" w:cs="Times New Roman"/>
          <w:sz w:val="24"/>
          <w:szCs w:val="24"/>
        </w:rPr>
        <w:t>In t</w:t>
      </w:r>
      <w:r w:rsidRPr="008F486B">
        <w:rPr>
          <w:rFonts w:ascii="Times New Roman" w:hAnsi="Times New Roman" w:cs="Times New Roman"/>
          <w:sz w:val="24"/>
          <w:szCs w:val="24"/>
        </w:rPr>
        <w:t xml:space="preserve">he first phase, 1957-1970, the country’s mainstays were rubber and tin production, as well as entrepot trade </w:t>
      </w:r>
      <w:r w:rsidR="00974E94" w:rsidRPr="008F486B">
        <w:rPr>
          <w:rFonts w:ascii="Times New Roman" w:hAnsi="Times New Roman" w:cs="Times New Roman"/>
          <w:sz w:val="24"/>
          <w:szCs w:val="24"/>
        </w:rPr>
        <w:t>centers</w:t>
      </w:r>
      <w:r w:rsidRPr="008F486B">
        <w:rPr>
          <w:rFonts w:ascii="Times New Roman" w:hAnsi="Times New Roman" w:cs="Times New Roman"/>
          <w:sz w:val="24"/>
          <w:szCs w:val="24"/>
        </w:rPr>
        <w:t xml:space="preserve"> in Penang and Malacca.</w:t>
      </w:r>
      <w:r w:rsidR="00683B22" w:rsidRPr="008F486B">
        <w:rPr>
          <w:rFonts w:ascii="Times New Roman" w:hAnsi="Times New Roman" w:cs="Times New Roman"/>
          <w:sz w:val="24"/>
          <w:szCs w:val="24"/>
        </w:rPr>
        <w:t xml:space="preserve"> While the government protected import-substituting industries, protection was moderate, averaging only 7 percent, compared to a range of 25 to 90 percent for countries in the same level of income. This policy provided the initial spurt to manufacturing growth in the economy. </w:t>
      </w:r>
    </w:p>
    <w:p w14:paraId="6607F0C9" w14:textId="77777777" w:rsidR="00683B22" w:rsidRPr="008F486B" w:rsidRDefault="00683B22" w:rsidP="008F486B">
      <w:pPr>
        <w:tabs>
          <w:tab w:val="left" w:pos="831"/>
        </w:tabs>
        <w:spacing w:after="240" w:line="276" w:lineRule="auto"/>
        <w:ind w:right="108"/>
        <w:jc w:val="both"/>
        <w:rPr>
          <w:rFonts w:ascii="Times New Roman" w:hAnsi="Times New Roman" w:cs="Times New Roman"/>
          <w:sz w:val="24"/>
          <w:szCs w:val="24"/>
        </w:rPr>
      </w:pPr>
      <w:r w:rsidRPr="008F486B">
        <w:rPr>
          <w:rFonts w:ascii="Times New Roman" w:hAnsi="Times New Roman" w:cs="Times New Roman"/>
          <w:sz w:val="24"/>
          <w:szCs w:val="24"/>
        </w:rPr>
        <w:t xml:space="preserve">The second phase, from 1971 till 1990, saw growth </w:t>
      </w:r>
      <w:r w:rsidR="00974E94" w:rsidRPr="008F486B">
        <w:rPr>
          <w:rFonts w:ascii="Times New Roman" w:hAnsi="Times New Roman" w:cs="Times New Roman"/>
          <w:sz w:val="24"/>
          <w:szCs w:val="24"/>
        </w:rPr>
        <w:t>centered</w:t>
      </w:r>
      <w:r w:rsidRPr="008F486B">
        <w:rPr>
          <w:rFonts w:ascii="Times New Roman" w:hAnsi="Times New Roman" w:cs="Times New Roman"/>
          <w:sz w:val="24"/>
          <w:szCs w:val="24"/>
        </w:rPr>
        <w:t xml:space="preserve"> on the rise of construction and manufacturing, with focus on equitable distribution. Export-oriented manufacturing gained momentum and foreign direct investment was promoted. </w:t>
      </w:r>
      <w:r w:rsidR="00974E94" w:rsidRPr="008F486B">
        <w:rPr>
          <w:rFonts w:ascii="Times New Roman" w:hAnsi="Times New Roman" w:cs="Times New Roman"/>
          <w:sz w:val="24"/>
          <w:szCs w:val="24"/>
        </w:rPr>
        <w:t>Privatization</w:t>
      </w:r>
      <w:r w:rsidRPr="008F486B">
        <w:rPr>
          <w:rFonts w:ascii="Times New Roman" w:hAnsi="Times New Roman" w:cs="Times New Roman"/>
          <w:sz w:val="24"/>
          <w:szCs w:val="24"/>
        </w:rPr>
        <w:t xml:space="preserve"> took off and together with the development of the Multimedia Super Corridor (MSC) in 1990s were considered instrumental in achieving rapid </w:t>
      </w:r>
      <w:r w:rsidR="00974E94" w:rsidRPr="008F486B">
        <w:rPr>
          <w:rFonts w:ascii="Times New Roman" w:hAnsi="Times New Roman" w:cs="Times New Roman"/>
          <w:sz w:val="24"/>
          <w:szCs w:val="24"/>
        </w:rPr>
        <w:t>industrialization</w:t>
      </w:r>
      <w:r w:rsidRPr="008F486B">
        <w:rPr>
          <w:rFonts w:ascii="Times New Roman" w:hAnsi="Times New Roman" w:cs="Times New Roman"/>
          <w:sz w:val="24"/>
          <w:szCs w:val="24"/>
        </w:rPr>
        <w:t xml:space="preserve">. In trade policy, the government began more active promotion of natural resource exports, </w:t>
      </w:r>
      <w:r w:rsidR="00974E94" w:rsidRPr="008F486B">
        <w:rPr>
          <w:rFonts w:ascii="Times New Roman" w:hAnsi="Times New Roman" w:cs="Times New Roman"/>
          <w:sz w:val="24"/>
          <w:szCs w:val="24"/>
        </w:rPr>
        <w:t>particularly</w:t>
      </w:r>
      <w:r w:rsidRPr="008F486B">
        <w:rPr>
          <w:rFonts w:ascii="Times New Roman" w:hAnsi="Times New Roman" w:cs="Times New Roman"/>
          <w:sz w:val="24"/>
          <w:szCs w:val="24"/>
        </w:rPr>
        <w:t xml:space="preserve"> rubber, timber, palm oil, and light manufactured exports, particularly textiles, footwear, and garments. </w:t>
      </w:r>
      <w:r w:rsidR="00974E94" w:rsidRPr="008F486B">
        <w:rPr>
          <w:rFonts w:ascii="Times New Roman" w:hAnsi="Times New Roman" w:cs="Times New Roman"/>
          <w:sz w:val="24"/>
          <w:szCs w:val="24"/>
        </w:rPr>
        <w:t xml:space="preserve">Export processing zones, free trade zones, and licensed manufacturing warehouses that permitted duty-free import of materials to be assembled were crucial for the successful combination of import substitution and export promotion. Anti-export bias of policy was reduced as effective protection to industry declined from 31 per cent in 1979 to 17 per cent in 1987. </w:t>
      </w:r>
    </w:p>
    <w:p w14:paraId="6383CBE7" w14:textId="77777777" w:rsidR="00974E94" w:rsidRPr="008F486B" w:rsidRDefault="00974E94" w:rsidP="008F486B">
      <w:pPr>
        <w:tabs>
          <w:tab w:val="left" w:pos="831"/>
        </w:tabs>
        <w:spacing w:after="240" w:line="276" w:lineRule="auto"/>
        <w:ind w:right="108"/>
        <w:jc w:val="both"/>
        <w:rPr>
          <w:rFonts w:ascii="Times New Roman" w:hAnsi="Times New Roman" w:cs="Times New Roman"/>
          <w:sz w:val="24"/>
          <w:szCs w:val="24"/>
        </w:rPr>
      </w:pPr>
      <w:r w:rsidRPr="008F486B">
        <w:rPr>
          <w:rFonts w:ascii="Times New Roman" w:hAnsi="Times New Roman" w:cs="Times New Roman"/>
          <w:sz w:val="24"/>
          <w:szCs w:val="24"/>
        </w:rPr>
        <w:t xml:space="preserve">In the third phase, from 1991 till 2007, Vision 2020 was introduced, setting the goal for Malaysia to be a self-sufficient industrialized nation by 2020. Malaysia sought out new growth areas and pushed towards higher-value added and knowledge-based industries amid erosion in its comparative advantage in </w:t>
      </w:r>
      <w:r w:rsidR="00584BDB" w:rsidRPr="008F486B">
        <w:rPr>
          <w:rFonts w:ascii="Times New Roman" w:hAnsi="Times New Roman" w:cs="Times New Roman"/>
          <w:sz w:val="24"/>
          <w:szCs w:val="24"/>
        </w:rPr>
        <w:t>labor</w:t>
      </w:r>
      <w:r w:rsidRPr="008F486B">
        <w:rPr>
          <w:rFonts w:ascii="Times New Roman" w:hAnsi="Times New Roman" w:cs="Times New Roman"/>
          <w:sz w:val="24"/>
          <w:szCs w:val="24"/>
        </w:rPr>
        <w:t xml:space="preserve"> costs and </w:t>
      </w:r>
      <w:r w:rsidR="00584BDB" w:rsidRPr="008F486B">
        <w:rPr>
          <w:rFonts w:ascii="Times New Roman" w:hAnsi="Times New Roman" w:cs="Times New Roman"/>
          <w:sz w:val="24"/>
          <w:szCs w:val="24"/>
        </w:rPr>
        <w:t>labor-intensive</w:t>
      </w:r>
      <w:r w:rsidRPr="008F486B">
        <w:rPr>
          <w:rFonts w:ascii="Times New Roman" w:hAnsi="Times New Roman" w:cs="Times New Roman"/>
          <w:sz w:val="24"/>
          <w:szCs w:val="24"/>
        </w:rPr>
        <w:t xml:space="preserve"> manufacturing.</w:t>
      </w:r>
      <w:r w:rsidR="003A5211" w:rsidRPr="008F486B">
        <w:rPr>
          <w:rFonts w:ascii="Times New Roman" w:hAnsi="Times New Roman" w:cs="Times New Roman"/>
          <w:sz w:val="24"/>
          <w:szCs w:val="24"/>
        </w:rPr>
        <w:t xml:space="preserve"> Malaysia aggressively courted FDI to promote export-oriented industrialization. </w:t>
      </w:r>
    </w:p>
    <w:p w14:paraId="6CECB0D1" w14:textId="77777777" w:rsidR="00974E94" w:rsidRPr="008F486B" w:rsidRDefault="00974E94" w:rsidP="008F486B">
      <w:pPr>
        <w:tabs>
          <w:tab w:val="left" w:pos="831"/>
        </w:tabs>
        <w:spacing w:after="240" w:line="276" w:lineRule="auto"/>
        <w:ind w:right="108"/>
        <w:jc w:val="both"/>
        <w:rPr>
          <w:rFonts w:ascii="Times New Roman" w:hAnsi="Times New Roman" w:cs="Times New Roman"/>
          <w:sz w:val="24"/>
          <w:szCs w:val="24"/>
        </w:rPr>
      </w:pPr>
      <w:r w:rsidRPr="008F486B">
        <w:rPr>
          <w:rFonts w:ascii="Times New Roman" w:hAnsi="Times New Roman" w:cs="Times New Roman"/>
          <w:sz w:val="24"/>
          <w:szCs w:val="24"/>
        </w:rPr>
        <w:t xml:space="preserve">The fourth phase, from 2008 till the present, sees the country’s transformation into a high-income nation being challenged by the global crisis (2008-09), leading to the New Economic Model (NEM), unveiled in 2010. The NEM was designed to address concerns that the country was stuck in a middle-income trap with sub-par growth potential and lack of private sector dynamism. </w:t>
      </w:r>
      <w:r w:rsidR="002478C7" w:rsidRPr="008F486B">
        <w:rPr>
          <w:rFonts w:ascii="Times New Roman" w:hAnsi="Times New Roman" w:cs="Times New Roman"/>
          <w:sz w:val="24"/>
          <w:szCs w:val="24"/>
        </w:rPr>
        <w:t xml:space="preserve">Consequently, focus has shifted to </w:t>
      </w:r>
      <w:r w:rsidR="008A72F7" w:rsidRPr="008F486B">
        <w:rPr>
          <w:rFonts w:ascii="Times New Roman" w:hAnsi="Times New Roman" w:cs="Times New Roman"/>
          <w:sz w:val="24"/>
          <w:szCs w:val="24"/>
        </w:rPr>
        <w:t>seizing opportunities presented by</w:t>
      </w:r>
      <w:r w:rsidR="00584BDB" w:rsidRPr="008F486B">
        <w:rPr>
          <w:rFonts w:ascii="Times New Roman" w:hAnsi="Times New Roman" w:cs="Times New Roman"/>
          <w:sz w:val="24"/>
          <w:szCs w:val="24"/>
        </w:rPr>
        <w:t xml:space="preserve"> the fourth industrial revolution (Industry 4.0) to promote high-technology industries and minimize dependency on manpower. </w:t>
      </w:r>
      <w:r w:rsidR="008A72F7" w:rsidRPr="008F486B">
        <w:rPr>
          <w:rFonts w:ascii="Times New Roman" w:hAnsi="Times New Roman" w:cs="Times New Roman"/>
          <w:sz w:val="24"/>
          <w:szCs w:val="24"/>
        </w:rPr>
        <w:t>Priorities include</w:t>
      </w:r>
      <w:r w:rsidR="00584BDB" w:rsidRPr="008F486B">
        <w:rPr>
          <w:rFonts w:ascii="Times New Roman" w:hAnsi="Times New Roman" w:cs="Times New Roman"/>
          <w:sz w:val="24"/>
          <w:szCs w:val="24"/>
        </w:rPr>
        <w:t xml:space="preserve"> automation, digitalization, robotic development and big data. The country </w:t>
      </w:r>
      <w:r w:rsidR="008A72F7" w:rsidRPr="008F486B">
        <w:rPr>
          <w:rFonts w:ascii="Times New Roman" w:hAnsi="Times New Roman" w:cs="Times New Roman"/>
          <w:sz w:val="24"/>
          <w:szCs w:val="24"/>
        </w:rPr>
        <w:t>is nearing</w:t>
      </w:r>
      <w:r w:rsidRPr="008F486B">
        <w:rPr>
          <w:rFonts w:ascii="Times New Roman" w:hAnsi="Times New Roman" w:cs="Times New Roman"/>
          <w:sz w:val="24"/>
          <w:szCs w:val="24"/>
        </w:rPr>
        <w:t xml:space="preserve"> high-income status, inclusiveness with equitable distribution of wealth,</w:t>
      </w:r>
      <w:r w:rsidR="008A72F7" w:rsidRPr="008F486B">
        <w:rPr>
          <w:rFonts w:ascii="Times New Roman" w:hAnsi="Times New Roman" w:cs="Times New Roman"/>
          <w:sz w:val="24"/>
          <w:szCs w:val="24"/>
        </w:rPr>
        <w:t xml:space="preserve"> combined with</w:t>
      </w:r>
      <w:r w:rsidRPr="008F486B">
        <w:rPr>
          <w:rFonts w:ascii="Times New Roman" w:hAnsi="Times New Roman" w:cs="Times New Roman"/>
          <w:sz w:val="24"/>
          <w:szCs w:val="24"/>
        </w:rPr>
        <w:t xml:space="preserve"> financial and environmental sustainability.</w:t>
      </w:r>
    </w:p>
    <w:p w14:paraId="1FC7D8A3" w14:textId="77777777" w:rsidR="002478C7" w:rsidRPr="008F486B" w:rsidRDefault="00577A9A" w:rsidP="008F486B">
      <w:pPr>
        <w:tabs>
          <w:tab w:val="left" w:pos="831"/>
        </w:tabs>
        <w:spacing w:after="240" w:line="276" w:lineRule="auto"/>
        <w:ind w:right="108"/>
        <w:jc w:val="both"/>
        <w:rPr>
          <w:rFonts w:ascii="Times New Roman" w:hAnsi="Times New Roman" w:cs="Times New Roman"/>
          <w:b/>
          <w:sz w:val="24"/>
          <w:szCs w:val="24"/>
        </w:rPr>
      </w:pPr>
      <w:r w:rsidRPr="008F486B">
        <w:rPr>
          <w:rFonts w:ascii="Times New Roman" w:hAnsi="Times New Roman" w:cs="Times New Roman"/>
          <w:b/>
          <w:sz w:val="24"/>
          <w:szCs w:val="24"/>
        </w:rPr>
        <w:t>THAILAND</w:t>
      </w:r>
    </w:p>
    <w:p w14:paraId="50CEAC65" w14:textId="77777777" w:rsidR="00577A9A" w:rsidRPr="008F486B" w:rsidRDefault="00AE2D35" w:rsidP="008F486B">
      <w:pPr>
        <w:tabs>
          <w:tab w:val="left" w:pos="831"/>
        </w:tabs>
        <w:spacing w:after="240" w:line="276" w:lineRule="auto"/>
        <w:ind w:right="108"/>
        <w:jc w:val="both"/>
        <w:rPr>
          <w:rFonts w:ascii="Times New Roman" w:hAnsi="Times New Roman" w:cs="Times New Roman"/>
          <w:sz w:val="24"/>
          <w:szCs w:val="24"/>
        </w:rPr>
      </w:pPr>
      <w:r w:rsidRPr="008F486B">
        <w:rPr>
          <w:rFonts w:ascii="Times New Roman" w:hAnsi="Times New Roman" w:cs="Times New Roman"/>
          <w:sz w:val="24"/>
          <w:szCs w:val="24"/>
        </w:rPr>
        <w:t>In the 1970s and 1980s, Thailand economy averaged 7-8 per cent annual growth to be included among the high-performing economies of East Asia by the World Bank (World Bank, 1993). But, following the Asian financial crisis of 1997, the economy lost its growth momentum and analysts</w:t>
      </w:r>
      <w:r w:rsidR="0098127D" w:rsidRPr="008F486B">
        <w:rPr>
          <w:rFonts w:ascii="Times New Roman" w:hAnsi="Times New Roman" w:cs="Times New Roman"/>
          <w:sz w:val="24"/>
          <w:szCs w:val="24"/>
          <w:vertAlign w:val="superscript"/>
        </w:rPr>
        <w:footnoteReference w:id="1"/>
      </w:r>
      <w:r w:rsidR="0098127D" w:rsidRPr="008F486B">
        <w:rPr>
          <w:rFonts w:ascii="Times New Roman" w:hAnsi="Times New Roman" w:cs="Times New Roman"/>
          <w:sz w:val="24"/>
          <w:szCs w:val="24"/>
          <w:vertAlign w:val="superscript"/>
        </w:rPr>
        <w:t xml:space="preserve"> </w:t>
      </w:r>
      <w:r w:rsidRPr="008F486B">
        <w:rPr>
          <w:rFonts w:ascii="Times New Roman" w:hAnsi="Times New Roman" w:cs="Times New Roman"/>
          <w:sz w:val="24"/>
          <w:szCs w:val="24"/>
        </w:rPr>
        <w:t xml:space="preserve">contend that </w:t>
      </w:r>
      <w:r w:rsidR="0098127D" w:rsidRPr="008F486B">
        <w:rPr>
          <w:rFonts w:ascii="Times New Roman" w:hAnsi="Times New Roman" w:cs="Times New Roman"/>
          <w:sz w:val="24"/>
          <w:szCs w:val="24"/>
        </w:rPr>
        <w:t xml:space="preserve">not only has its medium- to long-term average growth declined by 2 percentage </w:t>
      </w:r>
      <w:r w:rsidR="0098127D" w:rsidRPr="008F486B">
        <w:rPr>
          <w:rFonts w:ascii="Times New Roman" w:hAnsi="Times New Roman" w:cs="Times New Roman"/>
          <w:sz w:val="24"/>
          <w:szCs w:val="24"/>
        </w:rPr>
        <w:lastRenderedPageBreak/>
        <w:t xml:space="preserve">points, Thailand is now in the grip of a “middle-income trap” that could last for two decades, unless it embarks on a restructuring program that focuses either on manufacturing or services, not both. </w:t>
      </w:r>
    </w:p>
    <w:p w14:paraId="23B88DF6" w14:textId="77777777" w:rsidR="00CC6605" w:rsidRPr="008F486B" w:rsidRDefault="00B541ED" w:rsidP="008F486B">
      <w:pPr>
        <w:tabs>
          <w:tab w:val="left" w:pos="831"/>
        </w:tabs>
        <w:spacing w:after="240" w:line="276" w:lineRule="auto"/>
        <w:ind w:right="108"/>
        <w:jc w:val="both"/>
        <w:rPr>
          <w:rFonts w:ascii="Times New Roman" w:hAnsi="Times New Roman" w:cs="Times New Roman"/>
          <w:sz w:val="24"/>
          <w:szCs w:val="24"/>
        </w:rPr>
      </w:pPr>
      <w:r w:rsidRPr="008F486B">
        <w:rPr>
          <w:rFonts w:ascii="Times New Roman" w:hAnsi="Times New Roman" w:cs="Times New Roman"/>
          <w:sz w:val="24"/>
          <w:szCs w:val="24"/>
        </w:rPr>
        <w:t>Like Malaysia, Thailand’s economy initially (1955-70) relied heavily on resource-based exports comprising primary and agricultural products, dominated by rice. It maintained industrial protection, modest by comparator standards, for specific industries. Effective protection for consumer goods manufactures were in the range of 25-30 per cent while machinery and intermediate inputs garnered 15-20 per cent. Import substitution strategies deepened somewhat during 1971-8</w:t>
      </w:r>
      <w:r w:rsidR="00DB6C67" w:rsidRPr="008F486B">
        <w:rPr>
          <w:rFonts w:ascii="Times New Roman" w:hAnsi="Times New Roman" w:cs="Times New Roman"/>
          <w:sz w:val="24"/>
          <w:szCs w:val="24"/>
        </w:rPr>
        <w:t xml:space="preserve">5 with tariffs on consumer goods raised to 30-55 per cent while those on capital and intermediate goods were reduced, thus raising effective protection levels in manufacturing (found to be 77% in 1981, 66% in 1985, according to Brimble, 1993). Textiles, pharmaceuticals, and automobile assembly were particularly favored, but domestic content requirement were established. Early in the 1980s, </w:t>
      </w:r>
      <w:r w:rsidR="007E4D57" w:rsidRPr="008F486B">
        <w:rPr>
          <w:rFonts w:ascii="Times New Roman" w:hAnsi="Times New Roman" w:cs="Times New Roman"/>
          <w:sz w:val="24"/>
          <w:szCs w:val="24"/>
        </w:rPr>
        <w:t xml:space="preserve">however, Thailand changed course, moving away from an import substitution stance as trade policy shifted explicitly in the direction of export promotion. Export taxes were eliminated and the exchange rate was devalued, eventually moving to a managed float. For much of the 1980s export-push incentives were specifically designed to offset remaining distortions from Thailand’s import substitution era. Export processing zones, duty-free imports, and tax rebates came into play. </w:t>
      </w:r>
    </w:p>
    <w:p w14:paraId="7A2AE616" w14:textId="77777777" w:rsidR="00AD3D49" w:rsidRPr="008F486B" w:rsidRDefault="00CC6605" w:rsidP="008F486B">
      <w:pPr>
        <w:tabs>
          <w:tab w:val="left" w:pos="831"/>
        </w:tabs>
        <w:spacing w:after="240" w:line="276" w:lineRule="auto"/>
        <w:ind w:right="108"/>
        <w:jc w:val="both"/>
        <w:rPr>
          <w:rFonts w:ascii="Times New Roman" w:hAnsi="Times New Roman" w:cs="Times New Roman"/>
          <w:sz w:val="24"/>
          <w:szCs w:val="24"/>
        </w:rPr>
      </w:pPr>
      <w:r w:rsidRPr="008F486B">
        <w:rPr>
          <w:rFonts w:ascii="Times New Roman" w:hAnsi="Times New Roman" w:cs="Times New Roman"/>
          <w:sz w:val="24"/>
          <w:szCs w:val="24"/>
        </w:rPr>
        <w:t xml:space="preserve">Until the Asian financial crisis of 1997, the Thai economy recorded average growth rates of 7.5 per cent per annum since 1982. That growth rate slipped to only 3.5 per cent in 2005-15, signaling the possibility of a middle-income trap, with a per capita GNI around $6000 in 2015. </w:t>
      </w:r>
      <w:r w:rsidR="00AD3D49" w:rsidRPr="008F486B">
        <w:rPr>
          <w:rFonts w:ascii="Times New Roman" w:hAnsi="Times New Roman" w:cs="Times New Roman"/>
          <w:sz w:val="24"/>
          <w:szCs w:val="24"/>
        </w:rPr>
        <w:t>Thailand faces the immediate challenge of avoiding the middle-income trap by identifying strategies to introduce new processes and find new markets to maintain export growth. Ramping up domestic demand is also important—an expanding middle class can use its increasing purchasing power to buy high-quality, innovative</w:t>
      </w:r>
      <w:r w:rsidR="0039653E" w:rsidRPr="008F486B">
        <w:rPr>
          <w:rFonts w:ascii="Times New Roman" w:hAnsi="Times New Roman" w:cs="Times New Roman"/>
          <w:sz w:val="24"/>
          <w:szCs w:val="24"/>
        </w:rPr>
        <w:t xml:space="preserve"> products and help drive growth. </w:t>
      </w:r>
    </w:p>
    <w:p w14:paraId="5AC9E462" w14:textId="7D1D060E" w:rsidR="009E1A8B" w:rsidRDefault="00EF12F9" w:rsidP="008F486B">
      <w:pPr>
        <w:pStyle w:val="NormalWeb"/>
        <w:spacing w:before="0" w:beforeAutospacing="0" w:after="240" w:afterAutospacing="0" w:line="276" w:lineRule="auto"/>
        <w:jc w:val="both"/>
        <w:rPr>
          <w:b/>
          <w:color w:val="333333"/>
          <w:lang w:val="en"/>
        </w:rPr>
      </w:pPr>
      <w:r>
        <w:rPr>
          <w:b/>
          <w:color w:val="333333"/>
          <w:lang w:val="en"/>
        </w:rPr>
        <w:t>LESSONS</w:t>
      </w:r>
    </w:p>
    <w:p w14:paraId="0E4B7053" w14:textId="77777777" w:rsidR="00B541ED" w:rsidRPr="003E2BED" w:rsidRDefault="0039653E" w:rsidP="008F486B">
      <w:pPr>
        <w:pStyle w:val="NormalWeb"/>
        <w:spacing w:before="0" w:beforeAutospacing="0" w:after="240" w:afterAutospacing="0" w:line="276" w:lineRule="auto"/>
        <w:jc w:val="both"/>
        <w:rPr>
          <w:lang w:val="en"/>
        </w:rPr>
      </w:pPr>
      <w:r w:rsidRPr="003E2BED">
        <w:rPr>
          <w:i/>
          <w:lang w:val="en"/>
        </w:rPr>
        <w:t>What lessons can Bangladesh draw from the transformative experience of the four East Asian economies</w:t>
      </w:r>
      <w:r w:rsidR="00EF12F9" w:rsidRPr="003E2BED">
        <w:rPr>
          <w:i/>
          <w:lang w:val="en"/>
        </w:rPr>
        <w:t xml:space="preserve"> reviewed</w:t>
      </w:r>
      <w:r w:rsidRPr="003E2BED">
        <w:rPr>
          <w:lang w:val="en"/>
        </w:rPr>
        <w:t xml:space="preserve">? </w:t>
      </w:r>
    </w:p>
    <w:p w14:paraId="31B9520C" w14:textId="77777777" w:rsidR="008F486B" w:rsidRPr="008F486B" w:rsidRDefault="00EF12F9" w:rsidP="008F486B">
      <w:pPr>
        <w:spacing w:after="240" w:line="276" w:lineRule="auto"/>
        <w:ind w:left="360"/>
        <w:jc w:val="both"/>
        <w:rPr>
          <w:rFonts w:ascii="Times New Roman" w:eastAsia="Times New Roman" w:hAnsi="Times New Roman" w:cs="Times New Roman"/>
          <w:bCs/>
          <w:sz w:val="24"/>
          <w:szCs w:val="24"/>
        </w:rPr>
      </w:pPr>
      <w:r w:rsidRPr="008F486B">
        <w:rPr>
          <w:rFonts w:ascii="Times New Roman" w:eastAsia="Times New Roman" w:hAnsi="Times New Roman" w:cs="Times New Roman"/>
          <w:bCs/>
          <w:sz w:val="24"/>
          <w:szCs w:val="24"/>
        </w:rPr>
        <w:t xml:space="preserve">The review of experience of these East Asian economies reveals some notable commonalities: </w:t>
      </w:r>
    </w:p>
    <w:p w14:paraId="7F20E921" w14:textId="5F7E30B6" w:rsidR="00EF12F9" w:rsidRPr="008F486B" w:rsidRDefault="00EF12F9" w:rsidP="00A42036">
      <w:pPr>
        <w:pStyle w:val="ListParagraph"/>
        <w:numPr>
          <w:ilvl w:val="0"/>
          <w:numId w:val="12"/>
        </w:numPr>
        <w:spacing w:after="240" w:line="276" w:lineRule="auto"/>
        <w:jc w:val="both"/>
        <w:rPr>
          <w:rFonts w:ascii="Times New Roman" w:eastAsia="Times New Roman" w:hAnsi="Times New Roman" w:cs="Times New Roman"/>
          <w:bCs/>
          <w:sz w:val="24"/>
          <w:szCs w:val="24"/>
        </w:rPr>
      </w:pPr>
      <w:r w:rsidRPr="008F486B">
        <w:rPr>
          <w:rFonts w:ascii="Times New Roman" w:eastAsia="Times New Roman" w:hAnsi="Times New Roman" w:cs="Times New Roman"/>
          <w:bCs/>
          <w:sz w:val="24"/>
          <w:szCs w:val="24"/>
        </w:rPr>
        <w:t>all countries began as low-income economies in the 1950s, relying on resource-based exports of primary and agricultural products;</w:t>
      </w:r>
    </w:p>
    <w:p w14:paraId="2C9C940C" w14:textId="4411D497" w:rsidR="00EF12F9" w:rsidRPr="008F486B" w:rsidRDefault="00EF12F9" w:rsidP="00A42036">
      <w:pPr>
        <w:pStyle w:val="ListParagraph"/>
        <w:numPr>
          <w:ilvl w:val="0"/>
          <w:numId w:val="12"/>
        </w:numPr>
        <w:spacing w:after="0"/>
        <w:jc w:val="both"/>
        <w:rPr>
          <w:rFonts w:ascii="Times New Roman" w:eastAsia="Times New Roman" w:hAnsi="Times New Roman" w:cs="Times New Roman"/>
          <w:bCs/>
          <w:sz w:val="24"/>
          <w:szCs w:val="24"/>
        </w:rPr>
      </w:pPr>
      <w:r w:rsidRPr="008F486B">
        <w:rPr>
          <w:rFonts w:ascii="Times New Roman" w:eastAsia="Times New Roman" w:hAnsi="Times New Roman" w:cs="Times New Roman"/>
          <w:bCs/>
          <w:sz w:val="24"/>
          <w:szCs w:val="24"/>
        </w:rPr>
        <w:t xml:space="preserve">in the early and middle phases of their development, all economies embraced import substitution </w:t>
      </w:r>
      <w:r w:rsidR="00D53C6F" w:rsidRPr="008F486B">
        <w:rPr>
          <w:rFonts w:ascii="Times New Roman" w:eastAsia="Times New Roman" w:hAnsi="Times New Roman" w:cs="Times New Roman"/>
          <w:bCs/>
          <w:sz w:val="24"/>
          <w:szCs w:val="24"/>
        </w:rPr>
        <w:t xml:space="preserve">industrialization </w:t>
      </w:r>
      <w:r w:rsidRPr="008F486B">
        <w:rPr>
          <w:rFonts w:ascii="Times New Roman" w:eastAsia="Times New Roman" w:hAnsi="Times New Roman" w:cs="Times New Roman"/>
          <w:bCs/>
          <w:sz w:val="24"/>
          <w:szCs w:val="24"/>
        </w:rPr>
        <w:t>with effective protection levels moderately lower than other developing economies;</w:t>
      </w:r>
    </w:p>
    <w:p w14:paraId="0DE849FC" w14:textId="62EAC444" w:rsidR="00D53C6F" w:rsidRPr="008F486B" w:rsidRDefault="00EF12F9" w:rsidP="00A42036">
      <w:pPr>
        <w:pStyle w:val="ListParagraph"/>
        <w:numPr>
          <w:ilvl w:val="0"/>
          <w:numId w:val="12"/>
        </w:numPr>
        <w:spacing w:after="0"/>
        <w:jc w:val="both"/>
        <w:rPr>
          <w:rFonts w:ascii="Times New Roman" w:eastAsia="Times New Roman" w:hAnsi="Times New Roman" w:cs="Times New Roman"/>
          <w:bCs/>
          <w:sz w:val="24"/>
          <w:szCs w:val="24"/>
        </w:rPr>
      </w:pPr>
      <w:r w:rsidRPr="008F486B">
        <w:rPr>
          <w:rFonts w:ascii="Times New Roman" w:eastAsia="Times New Roman" w:hAnsi="Times New Roman" w:cs="Times New Roman"/>
          <w:bCs/>
          <w:sz w:val="24"/>
          <w:szCs w:val="24"/>
        </w:rPr>
        <w:t>all instituted outward-looking export-push strategies</w:t>
      </w:r>
      <w:r w:rsidR="00D53C6F" w:rsidRPr="008F486B">
        <w:rPr>
          <w:rFonts w:ascii="Times New Roman" w:eastAsia="Times New Roman" w:hAnsi="Times New Roman" w:cs="Times New Roman"/>
          <w:bCs/>
          <w:sz w:val="24"/>
          <w:szCs w:val="24"/>
        </w:rPr>
        <w:t xml:space="preserve"> for manufactures</w:t>
      </w:r>
      <w:r w:rsidRPr="008F486B">
        <w:rPr>
          <w:rFonts w:ascii="Times New Roman" w:eastAsia="Times New Roman" w:hAnsi="Times New Roman" w:cs="Times New Roman"/>
          <w:bCs/>
          <w:sz w:val="24"/>
          <w:szCs w:val="24"/>
        </w:rPr>
        <w:t xml:space="preserve">, some more aggressively than others, without completely </w:t>
      </w:r>
      <w:r w:rsidR="00D53C6F" w:rsidRPr="008F486B">
        <w:rPr>
          <w:rFonts w:ascii="Times New Roman" w:eastAsia="Times New Roman" w:hAnsi="Times New Roman" w:cs="Times New Roman"/>
          <w:bCs/>
          <w:sz w:val="24"/>
          <w:szCs w:val="24"/>
        </w:rPr>
        <w:t>abandoning import-substitution policies;</w:t>
      </w:r>
    </w:p>
    <w:p w14:paraId="236AEFD0" w14:textId="59F552DF" w:rsidR="00EF12F9" w:rsidRPr="008F486B" w:rsidRDefault="00D53C6F" w:rsidP="00A42036">
      <w:pPr>
        <w:pStyle w:val="ListParagraph"/>
        <w:numPr>
          <w:ilvl w:val="0"/>
          <w:numId w:val="12"/>
        </w:numPr>
        <w:jc w:val="both"/>
        <w:rPr>
          <w:rFonts w:ascii="Times New Roman" w:eastAsia="Times New Roman" w:hAnsi="Times New Roman" w:cs="Times New Roman"/>
          <w:bCs/>
          <w:sz w:val="24"/>
          <w:szCs w:val="24"/>
        </w:rPr>
      </w:pPr>
      <w:r w:rsidRPr="008F486B">
        <w:rPr>
          <w:rFonts w:ascii="Times New Roman" w:eastAsia="Times New Roman" w:hAnsi="Times New Roman" w:cs="Times New Roman"/>
          <w:bCs/>
          <w:sz w:val="24"/>
          <w:szCs w:val="24"/>
        </w:rPr>
        <w:lastRenderedPageBreak/>
        <w:t xml:space="preserve">Korea countered anti-export bias of protection policies more effectively to achieve industrial modernization with high growth rates; Taiwan adopted a more liberal trade stance, moving away from labor-intensive manufacturing to technology-intensive industries, with rich dividends; Malaysia achieved moderate </w:t>
      </w:r>
      <w:r w:rsidR="001A5C35" w:rsidRPr="008F486B">
        <w:rPr>
          <w:rFonts w:ascii="Times New Roman" w:eastAsia="Times New Roman" w:hAnsi="Times New Roman" w:cs="Times New Roman"/>
          <w:bCs/>
          <w:sz w:val="24"/>
          <w:szCs w:val="24"/>
        </w:rPr>
        <w:t xml:space="preserve">success in its export-push with emphasis on technology-intensive products; Thailand economy however slowed down after the Asian financial crisis compared to </w:t>
      </w:r>
      <w:r w:rsidR="0017186D" w:rsidRPr="008F486B">
        <w:rPr>
          <w:rFonts w:ascii="Times New Roman" w:eastAsia="Times New Roman" w:hAnsi="Times New Roman" w:cs="Times New Roman"/>
          <w:bCs/>
          <w:sz w:val="24"/>
          <w:szCs w:val="24"/>
        </w:rPr>
        <w:t xml:space="preserve">the boom of 1975-96 period. </w:t>
      </w:r>
    </w:p>
    <w:p w14:paraId="587EB8EE" w14:textId="3242D934" w:rsidR="0017186D" w:rsidRPr="008F486B" w:rsidRDefault="0017186D" w:rsidP="00A42036">
      <w:pPr>
        <w:pStyle w:val="ListParagraph"/>
        <w:numPr>
          <w:ilvl w:val="0"/>
          <w:numId w:val="12"/>
        </w:numPr>
        <w:jc w:val="both"/>
        <w:rPr>
          <w:rFonts w:ascii="Times New Roman" w:eastAsia="Times New Roman" w:hAnsi="Times New Roman" w:cs="Times New Roman"/>
          <w:bCs/>
          <w:sz w:val="24"/>
          <w:szCs w:val="24"/>
        </w:rPr>
      </w:pPr>
      <w:r w:rsidRPr="008F486B">
        <w:rPr>
          <w:rFonts w:ascii="Times New Roman" w:eastAsia="Times New Roman" w:hAnsi="Times New Roman" w:cs="Times New Roman"/>
          <w:bCs/>
          <w:sz w:val="24"/>
          <w:szCs w:val="24"/>
        </w:rPr>
        <w:t xml:space="preserve">All </w:t>
      </w:r>
      <w:r w:rsidR="00D44565" w:rsidRPr="008F486B">
        <w:rPr>
          <w:rFonts w:ascii="Times New Roman" w:eastAsia="Times New Roman" w:hAnsi="Times New Roman" w:cs="Times New Roman"/>
          <w:bCs/>
          <w:sz w:val="24"/>
          <w:szCs w:val="24"/>
        </w:rPr>
        <w:t xml:space="preserve">countries sought to exploit the international market and </w:t>
      </w:r>
      <w:r w:rsidRPr="008F486B">
        <w:rPr>
          <w:rFonts w:ascii="Times New Roman" w:eastAsia="Times New Roman" w:hAnsi="Times New Roman" w:cs="Times New Roman"/>
          <w:bCs/>
          <w:sz w:val="24"/>
          <w:szCs w:val="24"/>
        </w:rPr>
        <w:t xml:space="preserve">adopted export-push strategies by the 1980s, or earlier, with active promotion of manufactured exports. Export push strategies have been by far the most successful combination of fundamentals and policy interventions and hold the most promise for other developing economies. </w:t>
      </w:r>
    </w:p>
    <w:p w14:paraId="10896F69" w14:textId="15F54C13" w:rsidR="0017186D" w:rsidRPr="008F486B" w:rsidRDefault="0017186D" w:rsidP="00A42036">
      <w:pPr>
        <w:pStyle w:val="ListParagraph"/>
        <w:numPr>
          <w:ilvl w:val="0"/>
          <w:numId w:val="12"/>
        </w:numPr>
        <w:jc w:val="both"/>
        <w:rPr>
          <w:rFonts w:ascii="Times New Roman" w:eastAsia="Times New Roman" w:hAnsi="Times New Roman" w:cs="Times New Roman"/>
          <w:bCs/>
          <w:sz w:val="24"/>
          <w:szCs w:val="24"/>
        </w:rPr>
      </w:pPr>
      <w:r w:rsidRPr="008F486B">
        <w:rPr>
          <w:rFonts w:ascii="Times New Roman" w:eastAsia="Times New Roman" w:hAnsi="Times New Roman" w:cs="Times New Roman"/>
          <w:bCs/>
          <w:sz w:val="24"/>
          <w:szCs w:val="24"/>
        </w:rPr>
        <w:t xml:space="preserve">As strategies for industrialization, the policy of promotion of specific industries (picking winners) generally did not work </w:t>
      </w:r>
      <w:r w:rsidR="00D44565" w:rsidRPr="008F486B">
        <w:rPr>
          <w:rFonts w:ascii="Times New Roman" w:eastAsia="Times New Roman" w:hAnsi="Times New Roman" w:cs="Times New Roman"/>
          <w:bCs/>
          <w:sz w:val="24"/>
          <w:szCs w:val="24"/>
        </w:rPr>
        <w:t>(</w:t>
      </w:r>
      <w:r w:rsidR="00FA7C70" w:rsidRPr="008F486B">
        <w:rPr>
          <w:rFonts w:ascii="Times New Roman" w:eastAsia="Times New Roman" w:hAnsi="Times New Roman" w:cs="Times New Roman"/>
          <w:bCs/>
          <w:sz w:val="24"/>
          <w:szCs w:val="24"/>
        </w:rPr>
        <w:t xml:space="preserve">Page and Petri, 1993) </w:t>
      </w:r>
      <w:r w:rsidRPr="008F486B">
        <w:rPr>
          <w:rFonts w:ascii="Times New Roman" w:eastAsia="Times New Roman" w:hAnsi="Times New Roman" w:cs="Times New Roman"/>
          <w:bCs/>
          <w:sz w:val="24"/>
          <w:szCs w:val="24"/>
        </w:rPr>
        <w:t xml:space="preserve">and therefore holds little promise for developing countries. Directed credit worked sometimes but carries high risk. It was export-push strategy that proved by far the most successful intervention and holds the most promise for developing economies. </w:t>
      </w:r>
    </w:p>
    <w:p w14:paraId="0227050A" w14:textId="40704CCE" w:rsidR="00434B64" w:rsidRPr="00974E94" w:rsidRDefault="0017186D" w:rsidP="0060738E">
      <w:pPr>
        <w:pStyle w:val="NormalWeb"/>
        <w:spacing w:before="0" w:beforeAutospacing="0" w:after="240" w:afterAutospacing="0" w:line="276" w:lineRule="auto"/>
        <w:jc w:val="both"/>
        <w:rPr>
          <w:color w:val="333333"/>
          <w:lang w:val="en"/>
        </w:rPr>
      </w:pPr>
      <w:r>
        <w:rPr>
          <w:bCs/>
        </w:rPr>
        <w:t>To sum up, all of these</w:t>
      </w:r>
      <w:r w:rsidR="0039653E">
        <w:rPr>
          <w:bCs/>
        </w:rPr>
        <w:t xml:space="preserve"> high performing economies</w:t>
      </w:r>
      <w:r>
        <w:rPr>
          <w:bCs/>
        </w:rPr>
        <w:t xml:space="preserve"> that eventually crossed </w:t>
      </w:r>
      <w:r w:rsidR="00434B64">
        <w:rPr>
          <w:bCs/>
        </w:rPr>
        <w:t xml:space="preserve">the high-income threshold (or approached HIC, like Malaysia, </w:t>
      </w:r>
      <w:r>
        <w:rPr>
          <w:bCs/>
        </w:rPr>
        <w:t>except Thailand</w:t>
      </w:r>
      <w:r w:rsidR="00434B64">
        <w:rPr>
          <w:bCs/>
        </w:rPr>
        <w:t>, which got caught in the middle-income trap</w:t>
      </w:r>
      <w:r>
        <w:rPr>
          <w:bCs/>
        </w:rPr>
        <w:t>) acquired the following characteristics</w:t>
      </w:r>
      <w:r w:rsidR="0039653E">
        <w:rPr>
          <w:bCs/>
        </w:rPr>
        <w:t>: macroeconomic stability, high shares of trade in GDP, heavy investment in people (skills development), and strong competition among firms. These features are the outcome of many diverse instru</w:t>
      </w:r>
      <w:r>
        <w:rPr>
          <w:bCs/>
        </w:rPr>
        <w:t xml:space="preserve">ments and public interventions, </w:t>
      </w:r>
      <w:r w:rsidR="0039653E">
        <w:rPr>
          <w:bCs/>
        </w:rPr>
        <w:t xml:space="preserve">leading to accumulation, efficient allocation, and rapid technological catch-up. </w:t>
      </w:r>
      <w:r w:rsidR="0095400E">
        <w:rPr>
          <w:bCs/>
        </w:rPr>
        <w:t xml:space="preserve">With all the </w:t>
      </w:r>
      <w:r w:rsidR="007D535C">
        <w:rPr>
          <w:bCs/>
        </w:rPr>
        <w:t xml:space="preserve">import-substitute </w:t>
      </w:r>
      <w:r w:rsidR="0095400E">
        <w:rPr>
          <w:bCs/>
        </w:rPr>
        <w:t xml:space="preserve">protection that </w:t>
      </w:r>
      <w:r w:rsidR="007D535C">
        <w:rPr>
          <w:bCs/>
        </w:rPr>
        <w:t xml:space="preserve">was imparted in these economies, research shows that their domestic prices were closer to international prices compared to other developing economies, suggesting that protection in these countries was more moderate. </w:t>
      </w:r>
      <w:r w:rsidR="00DB599E">
        <w:rPr>
          <w:bCs/>
        </w:rPr>
        <w:t xml:space="preserve">Two strategic policy prescriptions that emerge from their experience of dynamic export-oriented growth may be divided into </w:t>
      </w:r>
      <w:r w:rsidR="00DB599E" w:rsidRPr="00840ECB">
        <w:rPr>
          <w:b/>
          <w:bCs/>
        </w:rPr>
        <w:t>fundamental</w:t>
      </w:r>
      <w:r w:rsidR="00DB599E">
        <w:rPr>
          <w:bCs/>
        </w:rPr>
        <w:t xml:space="preserve">s, or </w:t>
      </w:r>
      <w:r w:rsidR="00DB599E" w:rsidRPr="00840ECB">
        <w:rPr>
          <w:b/>
          <w:bCs/>
        </w:rPr>
        <w:t>selective interventions</w:t>
      </w:r>
      <w:r w:rsidR="00DB599E">
        <w:rPr>
          <w:bCs/>
        </w:rPr>
        <w:t xml:space="preserve">. </w:t>
      </w:r>
      <w:r w:rsidR="00434B64">
        <w:rPr>
          <w:bCs/>
        </w:rPr>
        <w:t xml:space="preserve">Fundamentals are macroeconomic stability, high investments in human capital, stable and secure financial systems, limited price distortions, and open to foreign technology. Selective interventions include mild financial repression (keeping interest rates low but positive), directed credit, selective industrial promotion, and trade policies that push non-traditional exports. </w:t>
      </w:r>
      <w:r w:rsidR="00751A08">
        <w:rPr>
          <w:bCs/>
        </w:rPr>
        <w:t xml:space="preserve">Several leading economists (Westphal, 1978; Brimble, 1993; Kuo, 1983) have carefully studied the experience with regard to selective industrial promotion, </w:t>
      </w:r>
      <w:r w:rsidR="000F39B7">
        <w:rPr>
          <w:bCs/>
        </w:rPr>
        <w:t xml:space="preserve">such as </w:t>
      </w:r>
      <w:r w:rsidR="008D40E2">
        <w:rPr>
          <w:bCs/>
        </w:rPr>
        <w:t xml:space="preserve">HCI (heavy and chemical industries) in Korea, </w:t>
      </w:r>
      <w:r w:rsidR="00751A08">
        <w:rPr>
          <w:bCs/>
        </w:rPr>
        <w:t>“strategic industries” in</w:t>
      </w:r>
      <w:r w:rsidR="008D40E2">
        <w:rPr>
          <w:bCs/>
        </w:rPr>
        <w:t xml:space="preserve"> Taiwan, </w:t>
      </w:r>
      <w:r w:rsidR="000F39B7">
        <w:rPr>
          <w:bCs/>
        </w:rPr>
        <w:t xml:space="preserve">and the verdict is not clear that such selective promotion actually worked. That puts a damper on the Bangladesh approach of picking winners in the promotion of “thrust sectors” calling for a reassessment of this approach.  </w:t>
      </w:r>
    </w:p>
    <w:p w14:paraId="717314CF" w14:textId="7869E963" w:rsidR="00BB67E0" w:rsidRPr="00FB4E0B" w:rsidRDefault="003E595A" w:rsidP="00B54A48">
      <w:pPr>
        <w:pStyle w:val="Heading1"/>
      </w:pPr>
      <w:bookmarkStart w:id="23" w:name="_Toc496536518"/>
      <w:r w:rsidRPr="00886715">
        <w:t xml:space="preserve">BANGLADESH </w:t>
      </w:r>
      <w:r w:rsidR="004A78CD" w:rsidRPr="00886715">
        <w:t xml:space="preserve">EXPORT PERFORMANCE AND </w:t>
      </w:r>
      <w:r w:rsidR="002A7ACE" w:rsidRPr="00886715">
        <w:t xml:space="preserve">THE </w:t>
      </w:r>
      <w:r w:rsidR="00CD2FBB" w:rsidRPr="00886715">
        <w:t>TRADE REGIME</w:t>
      </w:r>
      <w:bookmarkEnd w:id="23"/>
      <w:r w:rsidR="00CD2FBB" w:rsidRPr="00886715">
        <w:t xml:space="preserve"> </w:t>
      </w:r>
    </w:p>
    <w:p w14:paraId="66F22BBA" w14:textId="77777777" w:rsidR="00EF7754" w:rsidRPr="0060738E" w:rsidRDefault="0082663A" w:rsidP="0060738E">
      <w:pPr>
        <w:pStyle w:val="NormalWeb"/>
        <w:spacing w:before="0" w:beforeAutospacing="0" w:after="240" w:afterAutospacing="0" w:line="276" w:lineRule="auto"/>
        <w:jc w:val="both"/>
        <w:rPr>
          <w:bCs/>
        </w:rPr>
      </w:pPr>
      <w:r w:rsidRPr="0060738E">
        <w:rPr>
          <w:bCs/>
        </w:rPr>
        <w:t xml:space="preserve">Bangladesh needs to accelerate its growth in an inclusive manner in order to have the maximum poverty reduction impact. The experiences of Taiwan and South Korea in the 1960’s, 1970’s, and 1980s, Malaysia, Thailand, and Singapore during 1970-90, China since 1980, and eventually India since the 1990’s, provide strong evidence that exports can play a leading role in supporting rapid </w:t>
      </w:r>
      <w:r w:rsidRPr="0060738E">
        <w:rPr>
          <w:bCs/>
        </w:rPr>
        <w:lastRenderedPageBreak/>
        <w:t xml:space="preserve">growth, boosting the emergence of a modern manufacturing sector, providing employment, and reducing poverty. </w:t>
      </w:r>
      <w:r w:rsidR="002D7662" w:rsidRPr="0060738E">
        <w:rPr>
          <w:bCs/>
        </w:rPr>
        <w:t xml:space="preserve">The challenge of creating good jobs for the two million labor that is added to the workforce every year can only met </w:t>
      </w:r>
      <w:r w:rsidR="00EF7754" w:rsidRPr="0060738E">
        <w:rPr>
          <w:bCs/>
        </w:rPr>
        <w:t xml:space="preserve">by </w:t>
      </w:r>
      <w:r w:rsidR="006D3A85" w:rsidRPr="0060738E">
        <w:rPr>
          <w:bCs/>
        </w:rPr>
        <w:t xml:space="preserve">sustained </w:t>
      </w:r>
      <w:r w:rsidR="00EF7754" w:rsidRPr="0060738E">
        <w:rPr>
          <w:bCs/>
        </w:rPr>
        <w:t>expan</w:t>
      </w:r>
      <w:r w:rsidR="006D3A85" w:rsidRPr="0060738E">
        <w:rPr>
          <w:bCs/>
        </w:rPr>
        <w:t xml:space="preserve">sion of </w:t>
      </w:r>
      <w:r w:rsidR="00EF7754" w:rsidRPr="0060738E">
        <w:rPr>
          <w:bCs/>
        </w:rPr>
        <w:t xml:space="preserve">exports </w:t>
      </w:r>
      <w:r w:rsidR="004E5370" w:rsidRPr="0060738E">
        <w:rPr>
          <w:bCs/>
        </w:rPr>
        <w:t xml:space="preserve">in </w:t>
      </w:r>
      <w:r w:rsidR="006D3A85" w:rsidRPr="0060738E">
        <w:rPr>
          <w:bCs/>
        </w:rPr>
        <w:t xml:space="preserve">the </w:t>
      </w:r>
      <w:r w:rsidR="00EF7754" w:rsidRPr="0060738E">
        <w:rPr>
          <w:bCs/>
        </w:rPr>
        <w:t xml:space="preserve">global marketplace, something the limited domestic market can hardly match. </w:t>
      </w:r>
    </w:p>
    <w:p w14:paraId="73847960" w14:textId="77777777" w:rsidR="00C066AD" w:rsidRPr="0060738E" w:rsidRDefault="00C066AD" w:rsidP="0060738E">
      <w:pPr>
        <w:pStyle w:val="NormalWeb"/>
        <w:spacing w:before="0" w:beforeAutospacing="0" w:after="240" w:afterAutospacing="0" w:line="276" w:lineRule="auto"/>
        <w:jc w:val="both"/>
        <w:rPr>
          <w:bCs/>
        </w:rPr>
      </w:pPr>
      <w:r w:rsidRPr="0060738E">
        <w:rPr>
          <w:bCs/>
        </w:rPr>
        <w:t>Moreover, to reach high-income status by 2041, the economy will hav</w:t>
      </w:r>
      <w:r w:rsidR="00914DF8" w:rsidRPr="0060738E">
        <w:rPr>
          <w:bCs/>
        </w:rPr>
        <w:t>e to record average growth of 8% in 2020s, and 9.5</w:t>
      </w:r>
      <w:r w:rsidRPr="0060738E">
        <w:rPr>
          <w:bCs/>
        </w:rPr>
        <w:t xml:space="preserve">% in the 2030s. Historically, we have seen that that kind of high growth has been driven by superior export performance in the East Asian economies, whose </w:t>
      </w:r>
      <w:r w:rsidR="0082663A" w:rsidRPr="0060738E">
        <w:rPr>
          <w:bCs/>
        </w:rPr>
        <w:t>development experience has been r</w:t>
      </w:r>
      <w:r w:rsidRPr="0060738E">
        <w:rPr>
          <w:bCs/>
        </w:rPr>
        <w:t>eviewed in the previous section. Besides,</w:t>
      </w:r>
      <w:r w:rsidR="0082663A" w:rsidRPr="0060738E">
        <w:rPr>
          <w:bCs/>
        </w:rPr>
        <w:t xml:space="preserve"> robust empirical evidence has been provided by many researchers on </w:t>
      </w:r>
      <w:r w:rsidR="00EF7754" w:rsidRPr="0060738E">
        <w:rPr>
          <w:bCs/>
        </w:rPr>
        <w:t xml:space="preserve">the positive relationship between </w:t>
      </w:r>
      <w:r w:rsidR="0082663A" w:rsidRPr="0060738E">
        <w:rPr>
          <w:bCs/>
        </w:rPr>
        <w:t>export and growth (Sachs and Warner, 1995; Srinivasan and Bhagwati, 1999). Export activity has also proved to be productivity enhancing and stimulates growth by transferring resources from lower productivity activities to the higher-productivity goods identified by the entrepreneurial cost-discovery process in export markets (Hausmann and Rodrik, 2003). Surveying the evidence</w:t>
      </w:r>
      <w:r w:rsidR="00C96722" w:rsidRPr="0060738E">
        <w:rPr>
          <w:bCs/>
        </w:rPr>
        <w:t xml:space="preserve"> in East Asia and other developing countries</w:t>
      </w:r>
      <w:r w:rsidR="0082663A" w:rsidRPr="0060738E">
        <w:rPr>
          <w:bCs/>
        </w:rPr>
        <w:t xml:space="preserve">, economists conclude that rapid and sustained GDP growth is closely associated with a fast pace of export growth (Brenton and Newfarmer, 2007). </w:t>
      </w:r>
    </w:p>
    <w:p w14:paraId="3C314CEA" w14:textId="77777777" w:rsidR="00C066AD" w:rsidRPr="0060738E" w:rsidRDefault="001C52C3" w:rsidP="0060738E">
      <w:pPr>
        <w:pStyle w:val="NormalWeb"/>
        <w:spacing w:before="0" w:beforeAutospacing="0" w:after="240" w:afterAutospacing="0" w:line="276" w:lineRule="auto"/>
        <w:jc w:val="both"/>
        <w:rPr>
          <w:bCs/>
        </w:rPr>
      </w:pPr>
      <w:r w:rsidRPr="0060738E">
        <w:rPr>
          <w:bCs/>
        </w:rPr>
        <w:t xml:space="preserve">Trade openness will be another critical factor in facilitating export success in an integrated world economy. </w:t>
      </w:r>
      <w:r w:rsidR="0082663A" w:rsidRPr="0060738E">
        <w:rPr>
          <w:bCs/>
        </w:rPr>
        <w:t>Nobel Laureate economist Michael Spence (2007) argued that sustained high growth of economies in the post Second World War period has been achieved by leveraging the demand and resources of the world economy through trade.</w:t>
      </w:r>
      <w:r w:rsidR="00526140" w:rsidRPr="0060738E">
        <w:rPr>
          <w:bCs/>
        </w:rPr>
        <w:t xml:space="preserve"> As developing and emerging economies strive to reach the level of developed and high-income countries, the sanguinary role of trade in their progress becomes all the more integral. </w:t>
      </w:r>
      <w:r w:rsidR="00C066AD" w:rsidRPr="0060738E">
        <w:rPr>
          <w:bCs/>
        </w:rPr>
        <w:t>Trade openness therefore is another lever of development that will have to be fully integrated with Bangladesh’s growth process. That is to say, o</w:t>
      </w:r>
      <w:r w:rsidR="00EF7754" w:rsidRPr="0060738E">
        <w:rPr>
          <w:bCs/>
        </w:rPr>
        <w:t xml:space="preserve">ver the next 25 years, Bangladesh’s progress to middle-income and high-income status will have to be largely driven by a high performing export sector that is competitive in a highly globalized world. </w:t>
      </w:r>
    </w:p>
    <w:p w14:paraId="4A607C5B" w14:textId="77777777" w:rsidR="00A26318" w:rsidRPr="0060738E" w:rsidRDefault="00A26318" w:rsidP="0060738E">
      <w:pPr>
        <w:pStyle w:val="NormalWeb"/>
        <w:spacing w:before="0" w:beforeAutospacing="0" w:after="240" w:afterAutospacing="0" w:line="276" w:lineRule="auto"/>
        <w:jc w:val="both"/>
        <w:rPr>
          <w:bCs/>
        </w:rPr>
      </w:pPr>
      <w:r w:rsidRPr="0060738E">
        <w:rPr>
          <w:bCs/>
        </w:rPr>
        <w:t xml:space="preserve">With the labor cost advantage that Bangladesh enjoys, at least for another decade there seems to exist good prospects for extending into exports of labor intensive products other than RMG such as agro-processed industry, food products, other manufactures and assembly operations. By broadening the export base, diversification can stabilize and expand export revenues, enhance value added, and boost economic growth. </w:t>
      </w:r>
    </w:p>
    <w:p w14:paraId="728F969B" w14:textId="77777777" w:rsidR="00A26318" w:rsidRPr="0060738E" w:rsidRDefault="00C066AD" w:rsidP="0060738E">
      <w:pPr>
        <w:pStyle w:val="NormalWeb"/>
        <w:spacing w:before="0" w:beforeAutospacing="0" w:after="240" w:afterAutospacing="0" w:line="276" w:lineRule="auto"/>
        <w:jc w:val="both"/>
        <w:rPr>
          <w:bCs/>
        </w:rPr>
      </w:pPr>
      <w:r w:rsidRPr="0060738E">
        <w:rPr>
          <w:bCs/>
        </w:rPr>
        <w:t xml:space="preserve">Earlier, it has been clarified in Section </w:t>
      </w:r>
      <w:r w:rsidR="003B1C46" w:rsidRPr="0060738E">
        <w:rPr>
          <w:bCs/>
        </w:rPr>
        <w:t>D</w:t>
      </w:r>
      <w:r w:rsidRPr="0060738E">
        <w:rPr>
          <w:bCs/>
        </w:rPr>
        <w:t xml:space="preserve"> what the implications are of a changing landscape of competitive advantage. </w:t>
      </w:r>
      <w:r w:rsidR="003B1C46" w:rsidRPr="0060738E">
        <w:rPr>
          <w:bCs/>
        </w:rPr>
        <w:t>W</w:t>
      </w:r>
      <w:r w:rsidR="00EF7754" w:rsidRPr="0060738E">
        <w:rPr>
          <w:bCs/>
        </w:rPr>
        <w:t xml:space="preserve">ith the kind of rapid transformation taking place in global manufacturing today (and projected for the future), Bangladesh can ill afford to cling to the current factor-intensity </w:t>
      </w:r>
      <w:r w:rsidR="003B1C46" w:rsidRPr="0060738E">
        <w:rPr>
          <w:bCs/>
        </w:rPr>
        <w:t xml:space="preserve">(labor-intensive) </w:t>
      </w:r>
      <w:r w:rsidR="00EF7754" w:rsidRPr="0060738E">
        <w:rPr>
          <w:bCs/>
        </w:rPr>
        <w:t>of its exports. Like Korea</w:t>
      </w:r>
      <w:r w:rsidR="007D73CA" w:rsidRPr="0060738E">
        <w:rPr>
          <w:bCs/>
        </w:rPr>
        <w:t xml:space="preserve">, </w:t>
      </w:r>
      <w:r w:rsidR="00EF7754" w:rsidRPr="0060738E">
        <w:rPr>
          <w:bCs/>
        </w:rPr>
        <w:t>Taiwan</w:t>
      </w:r>
      <w:r w:rsidR="007D73CA" w:rsidRPr="0060738E">
        <w:rPr>
          <w:bCs/>
        </w:rPr>
        <w:t>, and Malaysia, it can be surmised that by 2030</w:t>
      </w:r>
      <w:r w:rsidR="003B1C46" w:rsidRPr="0060738E">
        <w:rPr>
          <w:bCs/>
        </w:rPr>
        <w:t>,</w:t>
      </w:r>
      <w:r w:rsidR="007D73CA" w:rsidRPr="0060738E">
        <w:rPr>
          <w:bCs/>
        </w:rPr>
        <w:t xml:space="preserve"> if not earlier, Bangladesh will have to move towards technology-intensive exports and requisite investment in developing appropriate skills and logistics to ensure </w:t>
      </w:r>
      <w:r w:rsidR="003B1C46" w:rsidRPr="0060738E">
        <w:rPr>
          <w:bCs/>
        </w:rPr>
        <w:t xml:space="preserve">the future competitive </w:t>
      </w:r>
      <w:r w:rsidR="007D73CA" w:rsidRPr="0060738E">
        <w:rPr>
          <w:bCs/>
        </w:rPr>
        <w:t xml:space="preserve">advantage </w:t>
      </w:r>
      <w:r w:rsidR="003B1C46" w:rsidRPr="0060738E">
        <w:rPr>
          <w:bCs/>
        </w:rPr>
        <w:t xml:space="preserve">of Bangladeshi firms </w:t>
      </w:r>
      <w:r w:rsidR="007D73CA" w:rsidRPr="0060738E">
        <w:rPr>
          <w:bCs/>
        </w:rPr>
        <w:t xml:space="preserve">will have to begin now. </w:t>
      </w:r>
      <w:r w:rsidR="00A26318" w:rsidRPr="0060738E">
        <w:rPr>
          <w:bCs/>
        </w:rPr>
        <w:t>The Perspective Plan (2021-41) could provide the road map for making that happen.</w:t>
      </w:r>
    </w:p>
    <w:p w14:paraId="0991B990" w14:textId="751A2927" w:rsidR="006C2DD4" w:rsidRPr="0060738E" w:rsidRDefault="0082663A" w:rsidP="0060738E">
      <w:pPr>
        <w:pStyle w:val="NormalWeb"/>
        <w:spacing w:before="0" w:beforeAutospacing="0" w:after="240" w:afterAutospacing="0" w:line="276" w:lineRule="auto"/>
        <w:jc w:val="both"/>
        <w:rPr>
          <w:bCs/>
        </w:rPr>
      </w:pPr>
      <w:r w:rsidRPr="0060738E">
        <w:rPr>
          <w:bCs/>
        </w:rPr>
        <w:lastRenderedPageBreak/>
        <w:t xml:space="preserve">Leveraging the </w:t>
      </w:r>
      <w:r w:rsidR="00526140" w:rsidRPr="0060738E">
        <w:rPr>
          <w:bCs/>
        </w:rPr>
        <w:t xml:space="preserve">growing </w:t>
      </w:r>
      <w:r w:rsidRPr="0060738E">
        <w:rPr>
          <w:bCs/>
        </w:rPr>
        <w:t>global demand for commodities as well as services through export-oriented development should then be a strategic goal for the Bangladesh economy in its quest to achi</w:t>
      </w:r>
      <w:r w:rsidR="004F3484" w:rsidRPr="0060738E">
        <w:rPr>
          <w:bCs/>
        </w:rPr>
        <w:t>eve middle income status by 2030, and high-income status by 2041</w:t>
      </w:r>
      <w:r w:rsidRPr="0060738E">
        <w:rPr>
          <w:bCs/>
        </w:rPr>
        <w:t xml:space="preserve">. Bangladesh’s export performance so far presents signs of strength as well as weakness in its export basket. </w:t>
      </w:r>
      <w:r w:rsidR="006C2DD4" w:rsidRPr="0060738E">
        <w:rPr>
          <w:bCs/>
        </w:rPr>
        <w:t xml:space="preserve">Although the total number of distinct export products (HS-6 code) </w:t>
      </w:r>
      <w:r w:rsidR="00A26318" w:rsidRPr="0060738E">
        <w:rPr>
          <w:bCs/>
        </w:rPr>
        <w:t xml:space="preserve">in FY2016 </w:t>
      </w:r>
      <w:r w:rsidR="006C2DD4" w:rsidRPr="0060738E">
        <w:rPr>
          <w:bCs/>
        </w:rPr>
        <w:t xml:space="preserve">reached 1575, the vast number of them (about 900) recorded export volumes of under $1 million. </w:t>
      </w:r>
      <w:r w:rsidRPr="0060738E">
        <w:rPr>
          <w:bCs/>
        </w:rPr>
        <w:t xml:space="preserve">Export concentration </w:t>
      </w:r>
      <w:r w:rsidR="006C2DD4" w:rsidRPr="0060738E">
        <w:rPr>
          <w:bCs/>
        </w:rPr>
        <w:t xml:space="preserve">(RMG share at 82% of $34.5 billion in FY2017) </w:t>
      </w:r>
      <w:r w:rsidRPr="0060738E">
        <w:rPr>
          <w:bCs/>
        </w:rPr>
        <w:t xml:space="preserve">has emerged as a formidable challenge to address and overcome. </w:t>
      </w:r>
      <w:r w:rsidR="001420C4" w:rsidRPr="0060738E">
        <w:rPr>
          <w:bCs/>
        </w:rPr>
        <w:t xml:space="preserve">Furthermore, the structure of exports show concentration of final consumer goods without much diversity from intermediate and capital goods (Table </w:t>
      </w:r>
      <w:r w:rsidR="00700C57" w:rsidRPr="0060738E">
        <w:rPr>
          <w:bCs/>
        </w:rPr>
        <w:t>3</w:t>
      </w:r>
      <w:r w:rsidR="001420C4" w:rsidRPr="0060738E">
        <w:rPr>
          <w:bCs/>
        </w:rPr>
        <w:t xml:space="preserve">). </w:t>
      </w:r>
    </w:p>
    <w:p w14:paraId="1988A9D6" w14:textId="4AF408A2" w:rsidR="00480AAD" w:rsidRPr="00785BB5" w:rsidRDefault="00480AAD" w:rsidP="008654DB">
      <w:pPr>
        <w:pStyle w:val="Heading4"/>
      </w:pPr>
      <w:bookmarkStart w:id="24" w:name="_Toc438114033"/>
      <w:bookmarkStart w:id="25" w:name="_Toc496536527"/>
      <w:r w:rsidRPr="00785BB5">
        <w:t xml:space="preserve">Table </w:t>
      </w:r>
      <w:r w:rsidR="00700C57" w:rsidRPr="00785BB5">
        <w:t>3</w:t>
      </w:r>
      <w:r w:rsidRPr="00785BB5">
        <w:t>: Structure of Imports and Exports FY201</w:t>
      </w:r>
      <w:bookmarkEnd w:id="24"/>
      <w:r w:rsidRPr="00785BB5">
        <w:t>6</w:t>
      </w:r>
      <w:bookmarkEnd w:id="25"/>
    </w:p>
    <w:tbl>
      <w:tblPr>
        <w:tblW w:w="6907" w:type="dxa"/>
        <w:jc w:val="center"/>
        <w:tblLook w:val="04A0" w:firstRow="1" w:lastRow="0" w:firstColumn="1" w:lastColumn="0" w:noHBand="0" w:noVBand="1"/>
      </w:tblPr>
      <w:tblGrid>
        <w:gridCol w:w="2407"/>
        <w:gridCol w:w="990"/>
        <w:gridCol w:w="1260"/>
        <w:gridCol w:w="990"/>
        <w:gridCol w:w="1260"/>
      </w:tblGrid>
      <w:tr w:rsidR="00480AAD" w:rsidRPr="00AA6619" w14:paraId="2E9ED1F1" w14:textId="77777777" w:rsidTr="00172E36">
        <w:trPr>
          <w:trHeight w:val="276"/>
          <w:jc w:val="center"/>
        </w:trPr>
        <w:tc>
          <w:tcPr>
            <w:tcW w:w="2407"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14:paraId="2AE82B6B" w14:textId="77777777" w:rsidR="00480AAD" w:rsidRPr="00313DCE" w:rsidRDefault="00480AAD" w:rsidP="00172E36">
            <w:pPr>
              <w:spacing w:after="0" w:line="240" w:lineRule="auto"/>
              <w:rPr>
                <w:rFonts w:ascii="Times New Roman" w:eastAsia="Times New Roman" w:hAnsi="Times New Roman" w:cs="Times New Roman"/>
                <w:b/>
                <w:bCs/>
              </w:rPr>
            </w:pPr>
            <w:r w:rsidRPr="00313DCE">
              <w:rPr>
                <w:rFonts w:ascii="Times New Roman" w:eastAsia="Times New Roman" w:hAnsi="Times New Roman" w:cs="Times New Roman"/>
                <w:b/>
                <w:bCs/>
              </w:rPr>
              <w:t>Product Categories</w:t>
            </w:r>
          </w:p>
        </w:tc>
        <w:tc>
          <w:tcPr>
            <w:tcW w:w="2250" w:type="dxa"/>
            <w:gridSpan w:val="2"/>
            <w:tcBorders>
              <w:top w:val="double" w:sz="6" w:space="0" w:color="auto"/>
              <w:left w:val="nil"/>
              <w:bottom w:val="single" w:sz="4" w:space="0" w:color="auto"/>
              <w:right w:val="single" w:sz="4" w:space="0" w:color="auto"/>
            </w:tcBorders>
            <w:shd w:val="clear" w:color="auto" w:fill="auto"/>
            <w:noWrap/>
            <w:vAlign w:val="center"/>
            <w:hideMark/>
          </w:tcPr>
          <w:p w14:paraId="27D675F3" w14:textId="77777777" w:rsidR="00480AAD" w:rsidRPr="00313DCE" w:rsidRDefault="00480AAD" w:rsidP="00172E36">
            <w:pPr>
              <w:spacing w:after="0" w:line="240" w:lineRule="auto"/>
              <w:jc w:val="center"/>
              <w:rPr>
                <w:rFonts w:ascii="Times New Roman" w:eastAsia="Times New Roman" w:hAnsi="Times New Roman" w:cs="Times New Roman"/>
                <w:b/>
                <w:bCs/>
              </w:rPr>
            </w:pPr>
            <w:r w:rsidRPr="00313DCE">
              <w:rPr>
                <w:rFonts w:ascii="Times New Roman" w:eastAsia="Times New Roman" w:hAnsi="Times New Roman" w:cs="Times New Roman"/>
                <w:b/>
                <w:bCs/>
              </w:rPr>
              <w:t>Imports</w:t>
            </w:r>
          </w:p>
        </w:tc>
        <w:tc>
          <w:tcPr>
            <w:tcW w:w="2250" w:type="dxa"/>
            <w:gridSpan w:val="2"/>
            <w:tcBorders>
              <w:top w:val="double" w:sz="6" w:space="0" w:color="auto"/>
              <w:left w:val="nil"/>
              <w:bottom w:val="single" w:sz="4" w:space="0" w:color="auto"/>
              <w:right w:val="single" w:sz="4" w:space="0" w:color="auto"/>
            </w:tcBorders>
            <w:shd w:val="clear" w:color="auto" w:fill="auto"/>
            <w:noWrap/>
            <w:vAlign w:val="center"/>
            <w:hideMark/>
          </w:tcPr>
          <w:p w14:paraId="6977A917" w14:textId="77777777" w:rsidR="00480AAD" w:rsidRPr="00313DCE" w:rsidRDefault="00480AAD" w:rsidP="00172E36">
            <w:pPr>
              <w:spacing w:after="0" w:line="240" w:lineRule="auto"/>
              <w:jc w:val="center"/>
              <w:rPr>
                <w:rFonts w:ascii="Times New Roman" w:eastAsia="Times New Roman" w:hAnsi="Times New Roman" w:cs="Times New Roman"/>
                <w:b/>
                <w:bCs/>
              </w:rPr>
            </w:pPr>
            <w:r w:rsidRPr="00313DCE">
              <w:rPr>
                <w:rFonts w:ascii="Times New Roman" w:eastAsia="Times New Roman" w:hAnsi="Times New Roman" w:cs="Times New Roman"/>
                <w:b/>
                <w:bCs/>
              </w:rPr>
              <w:t>Exports</w:t>
            </w:r>
          </w:p>
        </w:tc>
      </w:tr>
      <w:tr w:rsidR="00480AAD" w:rsidRPr="00AA6619" w14:paraId="2AB0F9A1" w14:textId="77777777" w:rsidTr="00172E36">
        <w:trPr>
          <w:trHeight w:val="276"/>
          <w:jc w:val="center"/>
        </w:trPr>
        <w:tc>
          <w:tcPr>
            <w:tcW w:w="2407" w:type="dxa"/>
            <w:vMerge/>
            <w:tcBorders>
              <w:top w:val="double" w:sz="6" w:space="0" w:color="auto"/>
              <w:left w:val="double" w:sz="6" w:space="0" w:color="auto"/>
              <w:bottom w:val="double" w:sz="6" w:space="0" w:color="000000"/>
              <w:right w:val="single" w:sz="4" w:space="0" w:color="auto"/>
            </w:tcBorders>
            <w:vAlign w:val="center"/>
            <w:hideMark/>
          </w:tcPr>
          <w:p w14:paraId="1DE8C453" w14:textId="77777777" w:rsidR="00480AAD" w:rsidRPr="00313DCE" w:rsidRDefault="00480AAD" w:rsidP="00172E36">
            <w:pPr>
              <w:spacing w:after="0" w:line="240" w:lineRule="auto"/>
              <w:rPr>
                <w:rFonts w:ascii="Times New Roman" w:eastAsia="Times New Roman" w:hAnsi="Times New Roman" w:cs="Times New Roman"/>
                <w:b/>
                <w:bCs/>
              </w:rPr>
            </w:pPr>
          </w:p>
        </w:tc>
        <w:tc>
          <w:tcPr>
            <w:tcW w:w="990" w:type="dxa"/>
            <w:tcBorders>
              <w:top w:val="nil"/>
              <w:left w:val="nil"/>
              <w:bottom w:val="double" w:sz="6" w:space="0" w:color="auto"/>
              <w:right w:val="single" w:sz="4" w:space="0" w:color="auto"/>
            </w:tcBorders>
            <w:shd w:val="clear" w:color="auto" w:fill="auto"/>
            <w:noWrap/>
            <w:vAlign w:val="center"/>
            <w:hideMark/>
          </w:tcPr>
          <w:p w14:paraId="05C0595B" w14:textId="77777777" w:rsidR="00480AAD" w:rsidRPr="00313DCE" w:rsidRDefault="00480AAD" w:rsidP="00172E36">
            <w:pPr>
              <w:spacing w:after="0" w:line="240" w:lineRule="auto"/>
              <w:jc w:val="center"/>
              <w:rPr>
                <w:rFonts w:ascii="Times New Roman" w:eastAsia="Times New Roman" w:hAnsi="Times New Roman" w:cs="Times New Roman"/>
                <w:b/>
                <w:bCs/>
              </w:rPr>
            </w:pPr>
            <w:r w:rsidRPr="00313DCE">
              <w:rPr>
                <w:rFonts w:ascii="Times New Roman" w:eastAsia="Times New Roman" w:hAnsi="Times New Roman" w:cs="Times New Roman"/>
                <w:b/>
                <w:bCs/>
              </w:rPr>
              <w:t>$billion</w:t>
            </w:r>
          </w:p>
        </w:tc>
        <w:tc>
          <w:tcPr>
            <w:tcW w:w="1260" w:type="dxa"/>
            <w:tcBorders>
              <w:top w:val="nil"/>
              <w:left w:val="nil"/>
              <w:bottom w:val="double" w:sz="6" w:space="0" w:color="auto"/>
              <w:right w:val="single" w:sz="4" w:space="0" w:color="auto"/>
            </w:tcBorders>
            <w:shd w:val="clear" w:color="auto" w:fill="auto"/>
            <w:noWrap/>
            <w:vAlign w:val="center"/>
            <w:hideMark/>
          </w:tcPr>
          <w:p w14:paraId="3F30AA30" w14:textId="77777777" w:rsidR="00480AAD" w:rsidRPr="00313DCE" w:rsidRDefault="00480AAD" w:rsidP="00172E36">
            <w:pPr>
              <w:spacing w:after="0" w:line="240" w:lineRule="auto"/>
              <w:jc w:val="center"/>
              <w:rPr>
                <w:rFonts w:ascii="Times New Roman" w:eastAsia="Times New Roman" w:hAnsi="Times New Roman" w:cs="Times New Roman"/>
                <w:b/>
                <w:bCs/>
              </w:rPr>
            </w:pPr>
            <w:r w:rsidRPr="00313DCE">
              <w:rPr>
                <w:rFonts w:ascii="Times New Roman" w:eastAsia="Times New Roman" w:hAnsi="Times New Roman" w:cs="Times New Roman"/>
                <w:b/>
                <w:bCs/>
              </w:rPr>
              <w:t>Share (%)</w:t>
            </w:r>
          </w:p>
        </w:tc>
        <w:tc>
          <w:tcPr>
            <w:tcW w:w="990" w:type="dxa"/>
            <w:tcBorders>
              <w:top w:val="nil"/>
              <w:left w:val="nil"/>
              <w:bottom w:val="double" w:sz="6" w:space="0" w:color="auto"/>
              <w:right w:val="single" w:sz="4" w:space="0" w:color="auto"/>
            </w:tcBorders>
            <w:shd w:val="clear" w:color="auto" w:fill="auto"/>
            <w:noWrap/>
            <w:vAlign w:val="center"/>
            <w:hideMark/>
          </w:tcPr>
          <w:p w14:paraId="48FDBAC5" w14:textId="77777777" w:rsidR="00480AAD" w:rsidRPr="00313DCE" w:rsidRDefault="00480AAD" w:rsidP="00172E36">
            <w:pPr>
              <w:spacing w:after="0" w:line="240" w:lineRule="auto"/>
              <w:jc w:val="center"/>
              <w:rPr>
                <w:rFonts w:ascii="Times New Roman" w:eastAsia="Times New Roman" w:hAnsi="Times New Roman" w:cs="Times New Roman"/>
                <w:b/>
                <w:bCs/>
              </w:rPr>
            </w:pPr>
            <w:r w:rsidRPr="00313DCE">
              <w:rPr>
                <w:rFonts w:ascii="Times New Roman" w:eastAsia="Times New Roman" w:hAnsi="Times New Roman" w:cs="Times New Roman"/>
                <w:b/>
                <w:bCs/>
              </w:rPr>
              <w:t>$billion</w:t>
            </w:r>
          </w:p>
        </w:tc>
        <w:tc>
          <w:tcPr>
            <w:tcW w:w="1260" w:type="dxa"/>
            <w:tcBorders>
              <w:top w:val="nil"/>
              <w:left w:val="nil"/>
              <w:bottom w:val="double" w:sz="6" w:space="0" w:color="auto"/>
              <w:right w:val="single" w:sz="4" w:space="0" w:color="auto"/>
            </w:tcBorders>
            <w:shd w:val="clear" w:color="auto" w:fill="auto"/>
            <w:noWrap/>
            <w:vAlign w:val="center"/>
            <w:hideMark/>
          </w:tcPr>
          <w:p w14:paraId="48F2EE68" w14:textId="77777777" w:rsidR="00480AAD" w:rsidRPr="00313DCE" w:rsidRDefault="00480AAD" w:rsidP="00172E36">
            <w:pPr>
              <w:spacing w:after="0" w:line="240" w:lineRule="auto"/>
              <w:jc w:val="center"/>
              <w:rPr>
                <w:rFonts w:ascii="Times New Roman" w:eastAsia="Times New Roman" w:hAnsi="Times New Roman" w:cs="Times New Roman"/>
                <w:b/>
                <w:bCs/>
              </w:rPr>
            </w:pPr>
            <w:r w:rsidRPr="00313DCE">
              <w:rPr>
                <w:rFonts w:ascii="Times New Roman" w:eastAsia="Times New Roman" w:hAnsi="Times New Roman" w:cs="Times New Roman"/>
                <w:b/>
                <w:bCs/>
              </w:rPr>
              <w:t>Share (%)</w:t>
            </w:r>
          </w:p>
        </w:tc>
      </w:tr>
      <w:tr w:rsidR="00480AAD" w:rsidRPr="00AA6619" w14:paraId="6FEA0E16" w14:textId="77777777" w:rsidTr="00172E36">
        <w:trPr>
          <w:trHeight w:val="276"/>
          <w:jc w:val="center"/>
        </w:trPr>
        <w:tc>
          <w:tcPr>
            <w:tcW w:w="2407" w:type="dxa"/>
            <w:tcBorders>
              <w:top w:val="nil"/>
              <w:left w:val="double" w:sz="6" w:space="0" w:color="auto"/>
              <w:bottom w:val="single" w:sz="4" w:space="0" w:color="auto"/>
              <w:right w:val="single" w:sz="4" w:space="0" w:color="auto"/>
            </w:tcBorders>
            <w:shd w:val="clear" w:color="auto" w:fill="auto"/>
            <w:noWrap/>
            <w:vAlign w:val="center"/>
            <w:hideMark/>
          </w:tcPr>
          <w:p w14:paraId="626553E7" w14:textId="77777777" w:rsidR="00480AAD" w:rsidRPr="00313DCE" w:rsidRDefault="00480AAD" w:rsidP="00172E36">
            <w:pPr>
              <w:spacing w:after="0" w:line="240" w:lineRule="auto"/>
              <w:rPr>
                <w:rFonts w:ascii="Times New Roman" w:eastAsia="Times New Roman" w:hAnsi="Times New Roman" w:cs="Times New Roman"/>
                <w:b/>
                <w:bCs/>
              </w:rPr>
            </w:pPr>
            <w:r w:rsidRPr="00313DCE">
              <w:rPr>
                <w:rFonts w:ascii="Times New Roman" w:eastAsia="Times New Roman" w:hAnsi="Times New Roman" w:cs="Times New Roman"/>
                <w:b/>
                <w:bCs/>
              </w:rPr>
              <w:t>Basic raw materials</w:t>
            </w:r>
          </w:p>
        </w:tc>
        <w:tc>
          <w:tcPr>
            <w:tcW w:w="990" w:type="dxa"/>
            <w:tcBorders>
              <w:top w:val="nil"/>
              <w:left w:val="nil"/>
              <w:bottom w:val="single" w:sz="4" w:space="0" w:color="auto"/>
              <w:right w:val="single" w:sz="4" w:space="0" w:color="auto"/>
            </w:tcBorders>
            <w:shd w:val="clear" w:color="auto" w:fill="auto"/>
            <w:noWrap/>
            <w:vAlign w:val="bottom"/>
            <w:hideMark/>
          </w:tcPr>
          <w:p w14:paraId="6450AA85" w14:textId="77777777" w:rsidR="00480AAD" w:rsidRPr="00742F24" w:rsidRDefault="00480AAD" w:rsidP="00172E36">
            <w:pPr>
              <w:spacing w:after="0" w:line="240" w:lineRule="auto"/>
              <w:jc w:val="center"/>
              <w:rPr>
                <w:rFonts w:ascii="Times New Roman" w:eastAsia="Times New Roman" w:hAnsi="Times New Roman" w:cs="Times New Roman"/>
                <w:lang w:bidi="bn-BD"/>
              </w:rPr>
            </w:pPr>
            <w:r w:rsidRPr="00742F24">
              <w:rPr>
                <w:rFonts w:ascii="Times New Roman" w:eastAsia="Times New Roman" w:hAnsi="Times New Roman" w:cs="Times New Roman"/>
                <w:lang w:bidi="bn-BD"/>
              </w:rPr>
              <w:t>5.98</w:t>
            </w:r>
          </w:p>
        </w:tc>
        <w:tc>
          <w:tcPr>
            <w:tcW w:w="1260" w:type="dxa"/>
            <w:tcBorders>
              <w:top w:val="nil"/>
              <w:left w:val="nil"/>
              <w:bottom w:val="single" w:sz="4" w:space="0" w:color="auto"/>
              <w:right w:val="single" w:sz="4" w:space="0" w:color="auto"/>
            </w:tcBorders>
            <w:shd w:val="clear" w:color="auto" w:fill="auto"/>
            <w:noWrap/>
            <w:vAlign w:val="bottom"/>
            <w:hideMark/>
          </w:tcPr>
          <w:p w14:paraId="05AA95D9" w14:textId="77777777" w:rsidR="00480AAD" w:rsidRPr="00742F24" w:rsidRDefault="00480AAD" w:rsidP="00172E36">
            <w:pPr>
              <w:spacing w:after="0" w:line="240" w:lineRule="auto"/>
              <w:jc w:val="center"/>
              <w:rPr>
                <w:rFonts w:ascii="Times New Roman" w:eastAsia="Times New Roman" w:hAnsi="Times New Roman" w:cs="Times New Roman"/>
                <w:lang w:bidi="bn-BD"/>
              </w:rPr>
            </w:pPr>
            <w:r w:rsidRPr="00742F24">
              <w:rPr>
                <w:rFonts w:ascii="Times New Roman" w:eastAsia="Times New Roman" w:hAnsi="Times New Roman" w:cs="Times New Roman"/>
                <w:lang w:bidi="bn-BD"/>
              </w:rPr>
              <w:t>13.10</w:t>
            </w:r>
          </w:p>
        </w:tc>
        <w:tc>
          <w:tcPr>
            <w:tcW w:w="990" w:type="dxa"/>
            <w:tcBorders>
              <w:top w:val="nil"/>
              <w:left w:val="nil"/>
              <w:bottom w:val="single" w:sz="4" w:space="0" w:color="auto"/>
              <w:right w:val="single" w:sz="4" w:space="0" w:color="auto"/>
            </w:tcBorders>
            <w:shd w:val="clear" w:color="auto" w:fill="auto"/>
            <w:noWrap/>
            <w:vAlign w:val="bottom"/>
          </w:tcPr>
          <w:p w14:paraId="7C435E06" w14:textId="77777777" w:rsidR="00480AAD" w:rsidRPr="00742F24" w:rsidRDefault="00480AAD" w:rsidP="00172E36">
            <w:pPr>
              <w:spacing w:after="0" w:line="240" w:lineRule="auto"/>
              <w:jc w:val="center"/>
              <w:rPr>
                <w:rFonts w:ascii="Times New Roman" w:eastAsia="Times New Roman" w:hAnsi="Times New Roman" w:cs="Times New Roman"/>
                <w:lang w:bidi="bn-BD"/>
              </w:rPr>
            </w:pPr>
            <w:r w:rsidRPr="00742F24">
              <w:rPr>
                <w:rFonts w:ascii="Times New Roman" w:eastAsia="Times New Roman" w:hAnsi="Times New Roman" w:cs="Times New Roman"/>
                <w:lang w:bidi="bn-BD"/>
              </w:rPr>
              <w:t>0.32</w:t>
            </w:r>
          </w:p>
        </w:tc>
        <w:tc>
          <w:tcPr>
            <w:tcW w:w="1260" w:type="dxa"/>
            <w:tcBorders>
              <w:top w:val="nil"/>
              <w:left w:val="nil"/>
              <w:bottom w:val="single" w:sz="4" w:space="0" w:color="auto"/>
              <w:right w:val="single" w:sz="4" w:space="0" w:color="auto"/>
            </w:tcBorders>
            <w:shd w:val="clear" w:color="auto" w:fill="auto"/>
            <w:noWrap/>
            <w:vAlign w:val="bottom"/>
            <w:hideMark/>
          </w:tcPr>
          <w:p w14:paraId="3F7B1539" w14:textId="77777777" w:rsidR="00480AAD" w:rsidRPr="00742F24" w:rsidRDefault="00480AAD" w:rsidP="00172E36">
            <w:pPr>
              <w:spacing w:after="0" w:line="240" w:lineRule="auto"/>
              <w:jc w:val="center"/>
              <w:rPr>
                <w:rFonts w:ascii="Times New Roman" w:eastAsia="Times New Roman" w:hAnsi="Times New Roman" w:cs="Times New Roman"/>
                <w:lang w:bidi="bn-BD"/>
              </w:rPr>
            </w:pPr>
            <w:r w:rsidRPr="00742F24">
              <w:rPr>
                <w:rFonts w:ascii="Times New Roman" w:eastAsia="Times New Roman" w:hAnsi="Times New Roman" w:cs="Times New Roman"/>
                <w:lang w:bidi="bn-BD"/>
              </w:rPr>
              <w:t>0.96</w:t>
            </w:r>
          </w:p>
        </w:tc>
      </w:tr>
      <w:tr w:rsidR="00480AAD" w:rsidRPr="00AA6619" w14:paraId="5587778F" w14:textId="77777777" w:rsidTr="00172E36">
        <w:trPr>
          <w:trHeight w:val="264"/>
          <w:jc w:val="center"/>
        </w:trPr>
        <w:tc>
          <w:tcPr>
            <w:tcW w:w="2407" w:type="dxa"/>
            <w:tcBorders>
              <w:top w:val="nil"/>
              <w:left w:val="double" w:sz="6" w:space="0" w:color="auto"/>
              <w:bottom w:val="single" w:sz="4" w:space="0" w:color="auto"/>
              <w:right w:val="single" w:sz="4" w:space="0" w:color="auto"/>
            </w:tcBorders>
            <w:shd w:val="clear" w:color="auto" w:fill="auto"/>
            <w:noWrap/>
            <w:vAlign w:val="center"/>
            <w:hideMark/>
          </w:tcPr>
          <w:p w14:paraId="012B4ECB" w14:textId="77777777" w:rsidR="00480AAD" w:rsidRPr="00313DCE" w:rsidRDefault="00480AAD" w:rsidP="00172E36">
            <w:pPr>
              <w:spacing w:after="0" w:line="240" w:lineRule="auto"/>
              <w:rPr>
                <w:rFonts w:ascii="Times New Roman" w:eastAsia="Times New Roman" w:hAnsi="Times New Roman" w:cs="Times New Roman"/>
                <w:b/>
                <w:bCs/>
              </w:rPr>
            </w:pPr>
            <w:r w:rsidRPr="00313DCE">
              <w:rPr>
                <w:rFonts w:ascii="Times New Roman" w:eastAsia="Times New Roman" w:hAnsi="Times New Roman" w:cs="Times New Roman"/>
                <w:b/>
                <w:bCs/>
              </w:rPr>
              <w:t>Intermediate goods</w:t>
            </w:r>
          </w:p>
        </w:tc>
        <w:tc>
          <w:tcPr>
            <w:tcW w:w="990" w:type="dxa"/>
            <w:tcBorders>
              <w:top w:val="nil"/>
              <w:left w:val="nil"/>
              <w:bottom w:val="single" w:sz="4" w:space="0" w:color="auto"/>
              <w:right w:val="single" w:sz="4" w:space="0" w:color="auto"/>
            </w:tcBorders>
            <w:shd w:val="clear" w:color="auto" w:fill="auto"/>
            <w:noWrap/>
            <w:vAlign w:val="bottom"/>
            <w:hideMark/>
          </w:tcPr>
          <w:p w14:paraId="757A6B54" w14:textId="77777777" w:rsidR="00480AAD" w:rsidRPr="00742F24" w:rsidRDefault="00480AAD" w:rsidP="00172E36">
            <w:pPr>
              <w:spacing w:after="0" w:line="240" w:lineRule="auto"/>
              <w:jc w:val="center"/>
              <w:rPr>
                <w:rFonts w:ascii="Times New Roman" w:eastAsia="Times New Roman" w:hAnsi="Times New Roman" w:cs="Times New Roman"/>
                <w:lang w:bidi="bn-BD"/>
              </w:rPr>
            </w:pPr>
            <w:r w:rsidRPr="00742F24">
              <w:rPr>
                <w:rFonts w:ascii="Times New Roman" w:eastAsia="Times New Roman" w:hAnsi="Times New Roman" w:cs="Times New Roman"/>
                <w:lang w:bidi="bn-BD"/>
              </w:rPr>
              <w:t>16.37</w:t>
            </w:r>
          </w:p>
        </w:tc>
        <w:tc>
          <w:tcPr>
            <w:tcW w:w="1260" w:type="dxa"/>
            <w:tcBorders>
              <w:top w:val="nil"/>
              <w:left w:val="nil"/>
              <w:bottom w:val="single" w:sz="4" w:space="0" w:color="auto"/>
              <w:right w:val="single" w:sz="4" w:space="0" w:color="auto"/>
            </w:tcBorders>
            <w:shd w:val="clear" w:color="auto" w:fill="auto"/>
            <w:noWrap/>
            <w:vAlign w:val="bottom"/>
            <w:hideMark/>
          </w:tcPr>
          <w:p w14:paraId="74746E73" w14:textId="77777777" w:rsidR="00480AAD" w:rsidRPr="00742F24" w:rsidRDefault="00480AAD" w:rsidP="00172E36">
            <w:pPr>
              <w:spacing w:after="0" w:line="240" w:lineRule="auto"/>
              <w:jc w:val="center"/>
              <w:rPr>
                <w:rFonts w:ascii="Times New Roman" w:eastAsia="Times New Roman" w:hAnsi="Times New Roman" w:cs="Times New Roman"/>
                <w:lang w:bidi="bn-BD"/>
              </w:rPr>
            </w:pPr>
            <w:r w:rsidRPr="00742F24">
              <w:rPr>
                <w:rFonts w:ascii="Times New Roman" w:eastAsia="Times New Roman" w:hAnsi="Times New Roman" w:cs="Times New Roman"/>
                <w:lang w:bidi="bn-BD"/>
              </w:rPr>
              <w:t>35.86</w:t>
            </w:r>
          </w:p>
        </w:tc>
        <w:tc>
          <w:tcPr>
            <w:tcW w:w="990" w:type="dxa"/>
            <w:tcBorders>
              <w:top w:val="nil"/>
              <w:left w:val="nil"/>
              <w:bottom w:val="single" w:sz="4" w:space="0" w:color="auto"/>
              <w:right w:val="single" w:sz="4" w:space="0" w:color="auto"/>
            </w:tcBorders>
            <w:shd w:val="clear" w:color="auto" w:fill="auto"/>
            <w:noWrap/>
            <w:vAlign w:val="bottom"/>
          </w:tcPr>
          <w:p w14:paraId="31BE1D9A" w14:textId="77777777" w:rsidR="00480AAD" w:rsidRPr="00742F24" w:rsidRDefault="00480AAD" w:rsidP="00172E36">
            <w:pPr>
              <w:spacing w:after="0" w:line="240" w:lineRule="auto"/>
              <w:jc w:val="center"/>
              <w:rPr>
                <w:rFonts w:ascii="Times New Roman" w:eastAsia="Times New Roman" w:hAnsi="Times New Roman" w:cs="Times New Roman"/>
                <w:lang w:bidi="bn-BD"/>
              </w:rPr>
            </w:pPr>
            <w:r w:rsidRPr="00742F24">
              <w:rPr>
                <w:rFonts w:ascii="Times New Roman" w:eastAsia="Times New Roman" w:hAnsi="Times New Roman" w:cs="Times New Roman"/>
                <w:lang w:bidi="bn-BD"/>
              </w:rPr>
              <w:t>1.37</w:t>
            </w:r>
          </w:p>
        </w:tc>
        <w:tc>
          <w:tcPr>
            <w:tcW w:w="1260" w:type="dxa"/>
            <w:tcBorders>
              <w:top w:val="nil"/>
              <w:left w:val="nil"/>
              <w:bottom w:val="single" w:sz="4" w:space="0" w:color="auto"/>
              <w:right w:val="single" w:sz="4" w:space="0" w:color="auto"/>
            </w:tcBorders>
            <w:shd w:val="clear" w:color="auto" w:fill="auto"/>
            <w:noWrap/>
            <w:vAlign w:val="bottom"/>
            <w:hideMark/>
          </w:tcPr>
          <w:p w14:paraId="65825F1B" w14:textId="77777777" w:rsidR="00480AAD" w:rsidRPr="00742F24" w:rsidRDefault="00480AAD" w:rsidP="00172E36">
            <w:pPr>
              <w:spacing w:after="0" w:line="240" w:lineRule="auto"/>
              <w:jc w:val="center"/>
              <w:rPr>
                <w:rFonts w:ascii="Times New Roman" w:eastAsia="Times New Roman" w:hAnsi="Times New Roman" w:cs="Times New Roman"/>
                <w:lang w:bidi="bn-BD"/>
              </w:rPr>
            </w:pPr>
            <w:r w:rsidRPr="00742F24">
              <w:rPr>
                <w:rFonts w:ascii="Times New Roman" w:eastAsia="Times New Roman" w:hAnsi="Times New Roman" w:cs="Times New Roman"/>
                <w:lang w:bidi="bn-BD"/>
              </w:rPr>
              <w:t>4.06</w:t>
            </w:r>
          </w:p>
        </w:tc>
      </w:tr>
      <w:tr w:rsidR="00480AAD" w:rsidRPr="00AA6619" w14:paraId="4CB8E915" w14:textId="77777777" w:rsidTr="00172E36">
        <w:trPr>
          <w:trHeight w:val="264"/>
          <w:jc w:val="center"/>
        </w:trPr>
        <w:tc>
          <w:tcPr>
            <w:tcW w:w="2407" w:type="dxa"/>
            <w:tcBorders>
              <w:top w:val="nil"/>
              <w:left w:val="double" w:sz="6" w:space="0" w:color="auto"/>
              <w:bottom w:val="single" w:sz="4" w:space="0" w:color="auto"/>
              <w:right w:val="single" w:sz="4" w:space="0" w:color="auto"/>
            </w:tcBorders>
            <w:shd w:val="clear" w:color="auto" w:fill="auto"/>
            <w:noWrap/>
            <w:vAlign w:val="center"/>
            <w:hideMark/>
          </w:tcPr>
          <w:p w14:paraId="4902803E" w14:textId="77777777" w:rsidR="00480AAD" w:rsidRPr="00313DCE" w:rsidRDefault="00480AAD" w:rsidP="00172E36">
            <w:pPr>
              <w:spacing w:after="0" w:line="240" w:lineRule="auto"/>
              <w:rPr>
                <w:rFonts w:ascii="Times New Roman" w:eastAsia="Times New Roman" w:hAnsi="Times New Roman" w:cs="Times New Roman"/>
                <w:b/>
                <w:bCs/>
              </w:rPr>
            </w:pPr>
            <w:r w:rsidRPr="00313DCE">
              <w:rPr>
                <w:rFonts w:ascii="Times New Roman" w:eastAsia="Times New Roman" w:hAnsi="Times New Roman" w:cs="Times New Roman"/>
                <w:b/>
                <w:bCs/>
              </w:rPr>
              <w:t>Capital goods</w:t>
            </w:r>
          </w:p>
        </w:tc>
        <w:tc>
          <w:tcPr>
            <w:tcW w:w="990" w:type="dxa"/>
            <w:tcBorders>
              <w:top w:val="nil"/>
              <w:left w:val="nil"/>
              <w:bottom w:val="single" w:sz="4" w:space="0" w:color="auto"/>
              <w:right w:val="single" w:sz="4" w:space="0" w:color="auto"/>
            </w:tcBorders>
            <w:shd w:val="clear" w:color="auto" w:fill="auto"/>
            <w:noWrap/>
            <w:vAlign w:val="bottom"/>
          </w:tcPr>
          <w:p w14:paraId="7FFE9573" w14:textId="77777777" w:rsidR="00480AAD" w:rsidRPr="00742F24" w:rsidRDefault="00480AAD" w:rsidP="00172E36">
            <w:pPr>
              <w:spacing w:after="0" w:line="240" w:lineRule="auto"/>
              <w:jc w:val="center"/>
              <w:rPr>
                <w:rFonts w:ascii="Times New Roman" w:eastAsia="Times New Roman" w:hAnsi="Times New Roman" w:cs="Times New Roman"/>
                <w:lang w:bidi="bn-BD"/>
              </w:rPr>
            </w:pPr>
            <w:r w:rsidRPr="00742F24">
              <w:rPr>
                <w:rFonts w:ascii="Times New Roman" w:eastAsia="Times New Roman" w:hAnsi="Times New Roman" w:cs="Times New Roman"/>
                <w:lang w:bidi="bn-BD"/>
              </w:rPr>
              <w:t>9.00</w:t>
            </w:r>
          </w:p>
        </w:tc>
        <w:tc>
          <w:tcPr>
            <w:tcW w:w="1260" w:type="dxa"/>
            <w:tcBorders>
              <w:top w:val="nil"/>
              <w:left w:val="nil"/>
              <w:bottom w:val="single" w:sz="4" w:space="0" w:color="auto"/>
              <w:right w:val="single" w:sz="4" w:space="0" w:color="auto"/>
            </w:tcBorders>
            <w:shd w:val="clear" w:color="auto" w:fill="auto"/>
            <w:noWrap/>
            <w:vAlign w:val="bottom"/>
          </w:tcPr>
          <w:p w14:paraId="64B84F31" w14:textId="77777777" w:rsidR="00480AAD" w:rsidRPr="00742F24" w:rsidRDefault="00480AAD" w:rsidP="00172E36">
            <w:pPr>
              <w:spacing w:after="0" w:line="240" w:lineRule="auto"/>
              <w:jc w:val="center"/>
              <w:rPr>
                <w:rFonts w:ascii="Times New Roman" w:eastAsia="Times New Roman" w:hAnsi="Times New Roman" w:cs="Times New Roman"/>
                <w:lang w:bidi="bn-BD"/>
              </w:rPr>
            </w:pPr>
            <w:r w:rsidRPr="00742F24">
              <w:rPr>
                <w:rFonts w:ascii="Times New Roman" w:eastAsia="Times New Roman" w:hAnsi="Times New Roman" w:cs="Times New Roman"/>
                <w:lang w:bidi="bn-BD"/>
              </w:rPr>
              <w:t>19.71</w:t>
            </w:r>
          </w:p>
        </w:tc>
        <w:tc>
          <w:tcPr>
            <w:tcW w:w="990" w:type="dxa"/>
            <w:tcBorders>
              <w:top w:val="nil"/>
              <w:left w:val="nil"/>
              <w:bottom w:val="single" w:sz="4" w:space="0" w:color="auto"/>
              <w:right w:val="single" w:sz="4" w:space="0" w:color="auto"/>
            </w:tcBorders>
            <w:shd w:val="clear" w:color="auto" w:fill="auto"/>
            <w:noWrap/>
            <w:vAlign w:val="bottom"/>
          </w:tcPr>
          <w:p w14:paraId="0DC2F2BB" w14:textId="77777777" w:rsidR="00480AAD" w:rsidRPr="00742F24" w:rsidRDefault="00480AAD" w:rsidP="00172E36">
            <w:pPr>
              <w:spacing w:after="0" w:line="240" w:lineRule="auto"/>
              <w:jc w:val="center"/>
              <w:rPr>
                <w:rFonts w:ascii="Times New Roman" w:eastAsia="Times New Roman" w:hAnsi="Times New Roman" w:cs="Times New Roman"/>
                <w:lang w:bidi="bn-BD"/>
              </w:rPr>
            </w:pPr>
            <w:r w:rsidRPr="00742F24">
              <w:rPr>
                <w:rFonts w:ascii="Times New Roman" w:eastAsia="Times New Roman" w:hAnsi="Times New Roman" w:cs="Times New Roman"/>
                <w:lang w:bidi="bn-BD"/>
              </w:rPr>
              <w:t>0.10</w:t>
            </w:r>
          </w:p>
        </w:tc>
        <w:tc>
          <w:tcPr>
            <w:tcW w:w="1260" w:type="dxa"/>
            <w:tcBorders>
              <w:top w:val="nil"/>
              <w:left w:val="nil"/>
              <w:bottom w:val="single" w:sz="4" w:space="0" w:color="auto"/>
              <w:right w:val="single" w:sz="4" w:space="0" w:color="auto"/>
            </w:tcBorders>
            <w:shd w:val="clear" w:color="auto" w:fill="auto"/>
            <w:noWrap/>
            <w:vAlign w:val="bottom"/>
          </w:tcPr>
          <w:p w14:paraId="0AE6A0F1" w14:textId="77777777" w:rsidR="00480AAD" w:rsidRPr="00742F24" w:rsidRDefault="00480AAD" w:rsidP="00172E36">
            <w:pPr>
              <w:spacing w:after="0" w:line="240" w:lineRule="auto"/>
              <w:jc w:val="center"/>
              <w:rPr>
                <w:rFonts w:ascii="Times New Roman" w:eastAsia="Times New Roman" w:hAnsi="Times New Roman" w:cs="Times New Roman"/>
                <w:lang w:bidi="bn-BD"/>
              </w:rPr>
            </w:pPr>
            <w:r w:rsidRPr="00742F24">
              <w:rPr>
                <w:rFonts w:ascii="Times New Roman" w:eastAsia="Times New Roman" w:hAnsi="Times New Roman" w:cs="Times New Roman"/>
                <w:lang w:bidi="bn-BD"/>
              </w:rPr>
              <w:t>0.29</w:t>
            </w:r>
          </w:p>
        </w:tc>
      </w:tr>
      <w:tr w:rsidR="00480AAD" w:rsidRPr="00AA6619" w14:paraId="35594B86" w14:textId="77777777" w:rsidTr="00172E36">
        <w:trPr>
          <w:trHeight w:val="276"/>
          <w:jc w:val="center"/>
        </w:trPr>
        <w:tc>
          <w:tcPr>
            <w:tcW w:w="2407" w:type="dxa"/>
            <w:tcBorders>
              <w:top w:val="nil"/>
              <w:left w:val="double" w:sz="6" w:space="0" w:color="auto"/>
              <w:bottom w:val="nil"/>
              <w:right w:val="single" w:sz="4" w:space="0" w:color="auto"/>
            </w:tcBorders>
            <w:shd w:val="clear" w:color="auto" w:fill="auto"/>
            <w:noWrap/>
            <w:vAlign w:val="center"/>
            <w:hideMark/>
          </w:tcPr>
          <w:p w14:paraId="6CD2B8EC" w14:textId="77777777" w:rsidR="00480AAD" w:rsidRPr="00313DCE" w:rsidRDefault="00480AAD" w:rsidP="00172E36">
            <w:pPr>
              <w:spacing w:after="0" w:line="240" w:lineRule="auto"/>
              <w:rPr>
                <w:rFonts w:ascii="Times New Roman" w:eastAsia="Times New Roman" w:hAnsi="Times New Roman" w:cs="Times New Roman"/>
                <w:b/>
                <w:bCs/>
              </w:rPr>
            </w:pPr>
            <w:r w:rsidRPr="00313DCE">
              <w:rPr>
                <w:rFonts w:ascii="Times New Roman" w:eastAsia="Times New Roman" w:hAnsi="Times New Roman" w:cs="Times New Roman"/>
                <w:b/>
                <w:bCs/>
              </w:rPr>
              <w:t>Final Consumer Goods</w:t>
            </w:r>
          </w:p>
        </w:tc>
        <w:tc>
          <w:tcPr>
            <w:tcW w:w="990" w:type="dxa"/>
            <w:tcBorders>
              <w:top w:val="nil"/>
              <w:left w:val="nil"/>
              <w:bottom w:val="nil"/>
              <w:right w:val="single" w:sz="4" w:space="0" w:color="auto"/>
            </w:tcBorders>
            <w:shd w:val="clear" w:color="auto" w:fill="auto"/>
            <w:noWrap/>
            <w:vAlign w:val="bottom"/>
          </w:tcPr>
          <w:p w14:paraId="6B0D1DF5" w14:textId="77777777" w:rsidR="00480AAD" w:rsidRPr="00742F24" w:rsidRDefault="00480AAD" w:rsidP="00172E36">
            <w:pPr>
              <w:spacing w:after="0" w:line="240" w:lineRule="auto"/>
              <w:jc w:val="center"/>
              <w:rPr>
                <w:rFonts w:ascii="Times New Roman" w:eastAsia="Times New Roman" w:hAnsi="Times New Roman" w:cs="Times New Roman"/>
                <w:lang w:bidi="bn-BD"/>
              </w:rPr>
            </w:pPr>
            <w:r w:rsidRPr="00742F24">
              <w:rPr>
                <w:rFonts w:ascii="Times New Roman" w:eastAsia="Times New Roman" w:hAnsi="Times New Roman" w:cs="Times New Roman"/>
                <w:lang w:bidi="bn-BD"/>
              </w:rPr>
              <w:t>14.30</w:t>
            </w:r>
          </w:p>
        </w:tc>
        <w:tc>
          <w:tcPr>
            <w:tcW w:w="1260" w:type="dxa"/>
            <w:tcBorders>
              <w:top w:val="nil"/>
              <w:left w:val="nil"/>
              <w:bottom w:val="nil"/>
              <w:right w:val="single" w:sz="4" w:space="0" w:color="auto"/>
            </w:tcBorders>
            <w:shd w:val="clear" w:color="auto" w:fill="auto"/>
            <w:noWrap/>
            <w:vAlign w:val="bottom"/>
          </w:tcPr>
          <w:p w14:paraId="71433351" w14:textId="77777777" w:rsidR="00480AAD" w:rsidRPr="00742F24" w:rsidRDefault="00480AAD" w:rsidP="00172E36">
            <w:pPr>
              <w:spacing w:after="0" w:line="240" w:lineRule="auto"/>
              <w:jc w:val="center"/>
              <w:rPr>
                <w:rFonts w:ascii="Times New Roman" w:eastAsia="Times New Roman" w:hAnsi="Times New Roman" w:cs="Times New Roman"/>
                <w:lang w:bidi="bn-BD"/>
              </w:rPr>
            </w:pPr>
            <w:r w:rsidRPr="00742F24">
              <w:rPr>
                <w:rFonts w:ascii="Times New Roman" w:eastAsia="Times New Roman" w:hAnsi="Times New Roman" w:cs="Times New Roman"/>
                <w:lang w:bidi="bn-BD"/>
              </w:rPr>
              <w:t>31.33</w:t>
            </w:r>
          </w:p>
        </w:tc>
        <w:tc>
          <w:tcPr>
            <w:tcW w:w="990" w:type="dxa"/>
            <w:tcBorders>
              <w:top w:val="nil"/>
              <w:left w:val="nil"/>
              <w:bottom w:val="nil"/>
              <w:right w:val="single" w:sz="4" w:space="0" w:color="auto"/>
            </w:tcBorders>
            <w:shd w:val="clear" w:color="auto" w:fill="auto"/>
            <w:noWrap/>
            <w:vAlign w:val="bottom"/>
          </w:tcPr>
          <w:p w14:paraId="3A14993F" w14:textId="77777777" w:rsidR="00480AAD" w:rsidRPr="00742F24" w:rsidRDefault="00480AAD" w:rsidP="00172E36">
            <w:pPr>
              <w:spacing w:after="0" w:line="240" w:lineRule="auto"/>
              <w:jc w:val="center"/>
              <w:rPr>
                <w:rFonts w:ascii="Times New Roman" w:eastAsia="Times New Roman" w:hAnsi="Times New Roman" w:cs="Times New Roman"/>
                <w:lang w:bidi="bn-BD"/>
              </w:rPr>
            </w:pPr>
            <w:r w:rsidRPr="00742F24">
              <w:rPr>
                <w:rFonts w:ascii="Times New Roman" w:eastAsia="Times New Roman" w:hAnsi="Times New Roman" w:cs="Times New Roman"/>
                <w:lang w:bidi="bn-BD"/>
              </w:rPr>
              <w:t>31.82</w:t>
            </w:r>
          </w:p>
        </w:tc>
        <w:tc>
          <w:tcPr>
            <w:tcW w:w="1260" w:type="dxa"/>
            <w:tcBorders>
              <w:top w:val="nil"/>
              <w:left w:val="nil"/>
              <w:bottom w:val="nil"/>
              <w:right w:val="single" w:sz="4" w:space="0" w:color="auto"/>
            </w:tcBorders>
            <w:shd w:val="clear" w:color="auto" w:fill="auto"/>
            <w:noWrap/>
            <w:vAlign w:val="bottom"/>
          </w:tcPr>
          <w:p w14:paraId="4347D23D" w14:textId="77777777" w:rsidR="00480AAD" w:rsidRPr="00742F24" w:rsidRDefault="00480AAD" w:rsidP="00172E36">
            <w:pPr>
              <w:spacing w:after="0" w:line="240" w:lineRule="auto"/>
              <w:jc w:val="center"/>
              <w:rPr>
                <w:rFonts w:ascii="Times New Roman" w:eastAsia="Times New Roman" w:hAnsi="Times New Roman" w:cs="Times New Roman"/>
                <w:lang w:bidi="bn-BD"/>
              </w:rPr>
            </w:pPr>
            <w:r w:rsidRPr="00742F24">
              <w:rPr>
                <w:rFonts w:ascii="Times New Roman" w:eastAsia="Times New Roman" w:hAnsi="Times New Roman" w:cs="Times New Roman"/>
                <w:lang w:bidi="bn-BD"/>
              </w:rPr>
              <w:t>94.68</w:t>
            </w:r>
          </w:p>
        </w:tc>
      </w:tr>
      <w:tr w:rsidR="00480AAD" w:rsidRPr="00AA6619" w14:paraId="6CDA5781" w14:textId="77777777" w:rsidTr="00172E36">
        <w:trPr>
          <w:trHeight w:val="288"/>
          <w:jc w:val="center"/>
        </w:trPr>
        <w:tc>
          <w:tcPr>
            <w:tcW w:w="2407" w:type="dxa"/>
            <w:tcBorders>
              <w:top w:val="double" w:sz="6" w:space="0" w:color="auto"/>
              <w:left w:val="double" w:sz="6" w:space="0" w:color="auto"/>
              <w:bottom w:val="double" w:sz="6" w:space="0" w:color="auto"/>
              <w:right w:val="single" w:sz="4" w:space="0" w:color="auto"/>
            </w:tcBorders>
            <w:shd w:val="clear" w:color="000000" w:fill="99CCFF"/>
            <w:noWrap/>
            <w:vAlign w:val="center"/>
            <w:hideMark/>
          </w:tcPr>
          <w:p w14:paraId="3DB31398" w14:textId="77777777" w:rsidR="00480AAD" w:rsidRPr="00313DCE" w:rsidRDefault="00480AAD" w:rsidP="00172E36">
            <w:pPr>
              <w:spacing w:after="0" w:line="240" w:lineRule="auto"/>
              <w:rPr>
                <w:rFonts w:ascii="Times New Roman" w:eastAsia="Times New Roman" w:hAnsi="Times New Roman" w:cs="Times New Roman"/>
                <w:b/>
                <w:bCs/>
              </w:rPr>
            </w:pPr>
            <w:r w:rsidRPr="00313DCE">
              <w:rPr>
                <w:rFonts w:ascii="Times New Roman" w:eastAsia="Times New Roman" w:hAnsi="Times New Roman" w:cs="Times New Roman"/>
                <w:b/>
                <w:bCs/>
              </w:rPr>
              <w:t>Total</w:t>
            </w:r>
          </w:p>
        </w:tc>
        <w:tc>
          <w:tcPr>
            <w:tcW w:w="990" w:type="dxa"/>
            <w:tcBorders>
              <w:top w:val="double" w:sz="6" w:space="0" w:color="auto"/>
              <w:left w:val="nil"/>
              <w:bottom w:val="double" w:sz="6" w:space="0" w:color="auto"/>
              <w:right w:val="single" w:sz="4" w:space="0" w:color="auto"/>
            </w:tcBorders>
            <w:shd w:val="clear" w:color="000000" w:fill="99CCFF"/>
            <w:noWrap/>
            <w:vAlign w:val="bottom"/>
            <w:hideMark/>
          </w:tcPr>
          <w:p w14:paraId="1A0385BD" w14:textId="77777777" w:rsidR="00480AAD" w:rsidRPr="00742F24" w:rsidRDefault="00480AAD" w:rsidP="00172E36">
            <w:pPr>
              <w:spacing w:after="0" w:line="240" w:lineRule="auto"/>
              <w:jc w:val="center"/>
              <w:rPr>
                <w:rFonts w:ascii="Times New Roman" w:eastAsia="Times New Roman" w:hAnsi="Times New Roman" w:cs="Times New Roman"/>
                <w:lang w:bidi="bn-BD"/>
              </w:rPr>
            </w:pPr>
            <w:r w:rsidRPr="00742F24">
              <w:rPr>
                <w:rFonts w:ascii="Times New Roman" w:eastAsia="Times New Roman" w:hAnsi="Times New Roman" w:cs="Times New Roman"/>
                <w:lang w:bidi="bn-BD"/>
              </w:rPr>
              <w:t>45.66</w:t>
            </w:r>
          </w:p>
        </w:tc>
        <w:tc>
          <w:tcPr>
            <w:tcW w:w="1260" w:type="dxa"/>
            <w:tcBorders>
              <w:top w:val="double" w:sz="6" w:space="0" w:color="auto"/>
              <w:left w:val="nil"/>
              <w:bottom w:val="double" w:sz="6" w:space="0" w:color="auto"/>
              <w:right w:val="single" w:sz="4" w:space="0" w:color="auto"/>
            </w:tcBorders>
            <w:shd w:val="clear" w:color="000000" w:fill="99CCFF"/>
            <w:noWrap/>
            <w:vAlign w:val="bottom"/>
            <w:hideMark/>
          </w:tcPr>
          <w:p w14:paraId="142E5D22" w14:textId="77777777" w:rsidR="00480AAD" w:rsidRPr="00742F24" w:rsidRDefault="00480AAD" w:rsidP="00172E36">
            <w:pPr>
              <w:spacing w:after="0" w:line="240" w:lineRule="auto"/>
              <w:jc w:val="center"/>
              <w:rPr>
                <w:rFonts w:ascii="Times New Roman" w:eastAsia="Times New Roman" w:hAnsi="Times New Roman" w:cs="Times New Roman"/>
                <w:lang w:bidi="bn-BD"/>
              </w:rPr>
            </w:pPr>
          </w:p>
        </w:tc>
        <w:tc>
          <w:tcPr>
            <w:tcW w:w="990" w:type="dxa"/>
            <w:tcBorders>
              <w:top w:val="double" w:sz="6" w:space="0" w:color="auto"/>
              <w:left w:val="nil"/>
              <w:bottom w:val="double" w:sz="6" w:space="0" w:color="auto"/>
              <w:right w:val="single" w:sz="4" w:space="0" w:color="auto"/>
            </w:tcBorders>
            <w:shd w:val="clear" w:color="000000" w:fill="99CCFF"/>
            <w:noWrap/>
            <w:vAlign w:val="bottom"/>
          </w:tcPr>
          <w:p w14:paraId="51B7A10A" w14:textId="77777777" w:rsidR="00480AAD" w:rsidRPr="00742F24" w:rsidRDefault="00480AAD" w:rsidP="00172E36">
            <w:pPr>
              <w:spacing w:after="0" w:line="240" w:lineRule="auto"/>
              <w:jc w:val="center"/>
              <w:rPr>
                <w:rFonts w:ascii="Times New Roman" w:eastAsia="Times New Roman" w:hAnsi="Times New Roman" w:cs="Times New Roman"/>
                <w:lang w:bidi="bn-BD"/>
              </w:rPr>
            </w:pPr>
            <w:r w:rsidRPr="00742F24">
              <w:rPr>
                <w:rFonts w:ascii="Times New Roman" w:eastAsia="Times New Roman" w:hAnsi="Times New Roman" w:cs="Times New Roman"/>
                <w:lang w:bidi="bn-BD"/>
              </w:rPr>
              <w:t>33.60</w:t>
            </w:r>
          </w:p>
        </w:tc>
        <w:tc>
          <w:tcPr>
            <w:tcW w:w="1260" w:type="dxa"/>
            <w:tcBorders>
              <w:top w:val="double" w:sz="6" w:space="0" w:color="auto"/>
              <w:left w:val="nil"/>
              <w:bottom w:val="double" w:sz="6" w:space="0" w:color="auto"/>
              <w:right w:val="single" w:sz="4" w:space="0" w:color="auto"/>
            </w:tcBorders>
            <w:shd w:val="clear" w:color="000000" w:fill="99CCFF"/>
            <w:noWrap/>
            <w:vAlign w:val="bottom"/>
          </w:tcPr>
          <w:p w14:paraId="0CA9E59C" w14:textId="77777777" w:rsidR="00480AAD" w:rsidRPr="00742F24" w:rsidRDefault="00480AAD" w:rsidP="00172E36">
            <w:pPr>
              <w:spacing w:after="0" w:line="240" w:lineRule="auto"/>
              <w:jc w:val="center"/>
              <w:rPr>
                <w:rFonts w:ascii="Times New Roman" w:eastAsia="Times New Roman" w:hAnsi="Times New Roman" w:cs="Times New Roman"/>
                <w:lang w:bidi="bn-BD"/>
              </w:rPr>
            </w:pPr>
          </w:p>
        </w:tc>
      </w:tr>
    </w:tbl>
    <w:p w14:paraId="0F5BD4CC" w14:textId="77777777" w:rsidR="00480AAD" w:rsidRDefault="00480AAD" w:rsidP="00480AAD">
      <w:pPr>
        <w:spacing w:after="240"/>
        <w:ind w:left="1080" w:firstLine="360"/>
        <w:rPr>
          <w:rFonts w:ascii="Times New Roman" w:hAnsi="Times New Roman" w:cs="Times New Roman"/>
          <w:b/>
          <w:i/>
        </w:rPr>
      </w:pPr>
      <w:r w:rsidRPr="00AA6619">
        <w:rPr>
          <w:rFonts w:ascii="Times New Roman" w:hAnsi="Times New Roman" w:cs="Times New Roman"/>
          <w:b/>
          <w:i/>
        </w:rPr>
        <w:t>Source: NBR ASYCUDA database</w:t>
      </w:r>
      <w:r>
        <w:rPr>
          <w:rFonts w:ascii="Times New Roman" w:hAnsi="Times New Roman" w:cs="Times New Roman"/>
          <w:b/>
          <w:i/>
        </w:rPr>
        <w:t xml:space="preserve"> and PRI staff estimates</w:t>
      </w:r>
    </w:p>
    <w:p w14:paraId="51893036" w14:textId="21AF8834" w:rsidR="00350DF0" w:rsidRPr="0060738E" w:rsidRDefault="00D5065F" w:rsidP="0060738E">
      <w:pPr>
        <w:pStyle w:val="NormalWeb"/>
        <w:spacing w:before="0" w:beforeAutospacing="0" w:after="240" w:afterAutospacing="0" w:line="276" w:lineRule="auto"/>
        <w:jc w:val="both"/>
        <w:rPr>
          <w:bCs/>
        </w:rPr>
      </w:pPr>
      <w:r w:rsidRPr="0060738E">
        <w:rPr>
          <w:b/>
          <w:bCs/>
          <w:i/>
        </w:rPr>
        <w:t>Export performance.</w:t>
      </w:r>
      <w:r w:rsidRPr="0060738E">
        <w:rPr>
          <w:bCs/>
        </w:rPr>
        <w:t xml:space="preserve"> </w:t>
      </w:r>
      <w:r w:rsidR="00480AAD" w:rsidRPr="0060738E">
        <w:rPr>
          <w:bCs/>
        </w:rPr>
        <w:t xml:space="preserve">There is growing consensus in economic literature that countries achieving structural change in exports through increased export diversification also grew rapidly and inclusively. </w:t>
      </w:r>
      <w:r w:rsidR="00BD47A2" w:rsidRPr="0060738E">
        <w:rPr>
          <w:bCs/>
        </w:rPr>
        <w:t xml:space="preserve">To chart out an export strategy for the future it would be good to review Bangladesh’s recent and past export performance. Bangladesh exports gathered pace since the early 1990s, as a direct outcome of trade liberalization. </w:t>
      </w:r>
      <w:r w:rsidR="00350DF0" w:rsidRPr="0060738E">
        <w:rPr>
          <w:bCs/>
        </w:rPr>
        <w:t xml:space="preserve">Compared to the decades of the 1970s and 1980s, export performance was exemplary, averaging double digit growth rates annually for nearly 25 years since 1990. </w:t>
      </w:r>
      <w:r w:rsidR="00234A12" w:rsidRPr="0060738E">
        <w:rPr>
          <w:bCs/>
        </w:rPr>
        <w:t xml:space="preserve">Between 2000 and 2010, exports tripled (from $5 billion to $15 billion). </w:t>
      </w:r>
      <w:r w:rsidR="00350DF0" w:rsidRPr="0060738E">
        <w:rPr>
          <w:bCs/>
        </w:rPr>
        <w:t>In FY2017, total exports of US$34.</w:t>
      </w:r>
      <w:r w:rsidR="008874C2" w:rsidRPr="0060738E">
        <w:rPr>
          <w:bCs/>
        </w:rPr>
        <w:t xml:space="preserve">8 </w:t>
      </w:r>
      <w:r w:rsidR="00350DF0" w:rsidRPr="0060738E">
        <w:rPr>
          <w:bCs/>
        </w:rPr>
        <w:t>billion was nearly seven times exports of FY2000 (Figure</w:t>
      </w:r>
      <w:r w:rsidR="00A07134" w:rsidRPr="0060738E">
        <w:rPr>
          <w:bCs/>
        </w:rPr>
        <w:t>.</w:t>
      </w:r>
      <w:r w:rsidR="0010020F" w:rsidRPr="0060738E">
        <w:rPr>
          <w:bCs/>
        </w:rPr>
        <w:t>3</w:t>
      </w:r>
      <w:r w:rsidR="00350DF0" w:rsidRPr="0060738E">
        <w:rPr>
          <w:bCs/>
        </w:rPr>
        <w:t xml:space="preserve">). Over 95% of exports comprised manufactures making Bangladesh unique among LDCs </w:t>
      </w:r>
      <w:r w:rsidR="0075744C" w:rsidRPr="0060738E">
        <w:rPr>
          <w:bCs/>
        </w:rPr>
        <w:t xml:space="preserve">in its export composition. </w:t>
      </w:r>
    </w:p>
    <w:p w14:paraId="170B58B1" w14:textId="4F471C55" w:rsidR="00350DF0" w:rsidRPr="008654DB" w:rsidRDefault="00350DF0" w:rsidP="00562120">
      <w:pPr>
        <w:pStyle w:val="Heading5"/>
        <w:rPr>
          <w:rStyle w:val="Heading5Char"/>
          <w:b/>
        </w:rPr>
      </w:pPr>
      <w:bookmarkStart w:id="26" w:name="_Toc404442115"/>
      <w:bookmarkStart w:id="27" w:name="_Toc496536537"/>
      <w:r w:rsidRPr="008654DB">
        <w:rPr>
          <w:rStyle w:val="Heading5Char"/>
          <w:b/>
        </w:rPr>
        <w:t>Figure</w:t>
      </w:r>
      <w:r w:rsidR="008654DB">
        <w:rPr>
          <w:rStyle w:val="Heading5Char"/>
          <w:b/>
        </w:rPr>
        <w:t xml:space="preserve"> </w:t>
      </w:r>
      <w:r w:rsidR="0010020F" w:rsidRPr="008654DB">
        <w:rPr>
          <w:rStyle w:val="Heading5Char"/>
          <w:b/>
        </w:rPr>
        <w:t>3</w:t>
      </w:r>
      <w:r w:rsidRPr="008654DB">
        <w:rPr>
          <w:rStyle w:val="Heading5Char"/>
          <w:b/>
        </w:rPr>
        <w:t>: Export performance since 1990</w:t>
      </w:r>
      <w:bookmarkEnd w:id="26"/>
      <w:bookmarkEnd w:id="27"/>
    </w:p>
    <w:p w14:paraId="2956464F" w14:textId="23320386" w:rsidR="00350DF0" w:rsidRPr="00350DF0" w:rsidRDefault="001533B7" w:rsidP="0075744C">
      <w:pPr>
        <w:shd w:val="clear" w:color="auto" w:fill="FFFFFF"/>
        <w:spacing w:after="0" w:line="240" w:lineRule="auto"/>
        <w:jc w:val="center"/>
        <w:rPr>
          <w:rFonts w:ascii="Times New Roman" w:eastAsia="Times New Roman" w:hAnsi="Times New Roman" w:cs="Times New Roman"/>
          <w:color w:val="000000"/>
          <w:sz w:val="24"/>
          <w:szCs w:val="24"/>
        </w:rPr>
      </w:pPr>
      <w:r>
        <w:rPr>
          <w:noProof/>
        </w:rPr>
        <w:drawing>
          <wp:inline distT="0" distB="0" distL="0" distR="0" wp14:anchorId="50BDFC4D" wp14:editId="1E28C73B">
            <wp:extent cx="4314825" cy="1764000"/>
            <wp:effectExtent l="0" t="0" r="9525" b="825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DD40D87" w14:textId="77777777" w:rsidR="00350DF0" w:rsidRPr="0075744C" w:rsidRDefault="0075744C" w:rsidP="0075744C">
      <w:pPr>
        <w:ind w:left="1080" w:firstLine="360"/>
        <w:jc w:val="both"/>
        <w:rPr>
          <w:rFonts w:ascii="Times New Roman" w:eastAsia="Times New Roman" w:hAnsi="Times New Roman" w:cs="Times New Roman"/>
          <w:b/>
          <w:i/>
          <w:color w:val="000000"/>
        </w:rPr>
      </w:pPr>
      <w:r w:rsidRPr="0075744C">
        <w:rPr>
          <w:rFonts w:ascii="Times New Roman" w:eastAsia="Times New Roman" w:hAnsi="Times New Roman" w:cs="Times New Roman"/>
          <w:b/>
          <w:i/>
          <w:color w:val="000000"/>
        </w:rPr>
        <w:t>Source: EPB</w:t>
      </w:r>
    </w:p>
    <w:p w14:paraId="7B17E329" w14:textId="07FF4511" w:rsidR="0075744C" w:rsidRPr="0060738E" w:rsidRDefault="0075744C" w:rsidP="0060738E">
      <w:pPr>
        <w:pStyle w:val="NormalWeb"/>
        <w:spacing w:before="0" w:beforeAutospacing="0" w:after="240" w:afterAutospacing="0" w:line="276" w:lineRule="auto"/>
        <w:jc w:val="both"/>
        <w:rPr>
          <w:bCs/>
        </w:rPr>
      </w:pPr>
      <w:r w:rsidRPr="0060738E">
        <w:rPr>
          <w:bCs/>
        </w:rPr>
        <w:lastRenderedPageBreak/>
        <w:t xml:space="preserve">Progress in trade openness since the early 1990s clearly had a positive impact on a superior export performance. </w:t>
      </w:r>
      <w:r w:rsidR="00BD47A2" w:rsidRPr="0060738E">
        <w:rPr>
          <w:bCs/>
        </w:rPr>
        <w:t>The share of trade in GDP has been rising since 1990 when it was only at 19%. As Figure</w:t>
      </w:r>
      <w:r w:rsidR="008874C2" w:rsidRPr="0060738E">
        <w:rPr>
          <w:bCs/>
        </w:rPr>
        <w:t>.4</w:t>
      </w:r>
      <w:r w:rsidR="00BD47A2" w:rsidRPr="0060738E">
        <w:rPr>
          <w:bCs/>
        </w:rPr>
        <w:t xml:space="preserve"> reveals, exports, imports, and overall merchandise trade has been rising to support the contention that Bangladesh has become a trading nation with its rising dependence on international trade for jobs and income. </w:t>
      </w:r>
      <w:r w:rsidRPr="0060738E">
        <w:rPr>
          <w:bCs/>
        </w:rPr>
        <w:t xml:space="preserve">But progress in trade openness slowed down since the mid-1990s, leaving Bangladesh well behind the average trade-GDP ratio of East Asia and Emerging Asia, but close to the average of South Asia (Table </w:t>
      </w:r>
      <w:r w:rsidR="0010020F" w:rsidRPr="0060738E">
        <w:rPr>
          <w:bCs/>
        </w:rPr>
        <w:t>4</w:t>
      </w:r>
      <w:r w:rsidRPr="0060738E">
        <w:rPr>
          <w:bCs/>
        </w:rPr>
        <w:t>).</w:t>
      </w:r>
      <w:r w:rsidR="00DB399E" w:rsidRPr="0060738E">
        <w:rPr>
          <w:bCs/>
        </w:rPr>
        <w:t xml:space="preserve"> </w:t>
      </w:r>
    </w:p>
    <w:p w14:paraId="413DC944" w14:textId="5032042B" w:rsidR="00425FBA" w:rsidRDefault="008654DB" w:rsidP="00083025">
      <w:pPr>
        <w:pStyle w:val="Heading5"/>
        <w:rPr>
          <w:noProof/>
        </w:rPr>
      </w:pPr>
      <w:bookmarkStart w:id="28" w:name="_Toc404442114"/>
      <w:bookmarkStart w:id="29" w:name="_Toc496536538"/>
      <w:r w:rsidRPr="00083025">
        <w:t xml:space="preserve">Figure </w:t>
      </w:r>
      <w:r w:rsidR="00016C7A" w:rsidRPr="00083025">
        <w:t>4</w:t>
      </w:r>
      <w:r w:rsidR="00BD47A2" w:rsidRPr="00083025">
        <w:t>: Rising share of trade in GDP</w:t>
      </w:r>
      <w:bookmarkEnd w:id="28"/>
      <w:bookmarkEnd w:id="29"/>
      <w:r w:rsidR="00BD47A2" w:rsidRPr="008654DB">
        <w:rPr>
          <w:rFonts w:eastAsia="Times New Roman"/>
          <w:sz w:val="32"/>
        </w:rPr>
        <w:t xml:space="preserve"> </w:t>
      </w:r>
    </w:p>
    <w:p w14:paraId="0C8663AE" w14:textId="3497F0B8" w:rsidR="00083025" w:rsidRPr="00083025" w:rsidRDefault="00083025" w:rsidP="00083025">
      <w:pPr>
        <w:spacing w:after="0"/>
        <w:jc w:val="center"/>
      </w:pPr>
      <w:r>
        <w:rPr>
          <w:noProof/>
        </w:rPr>
        <w:drawing>
          <wp:inline distT="0" distB="0" distL="0" distR="0" wp14:anchorId="43FA8ED2" wp14:editId="5AEEAC11">
            <wp:extent cx="3990975" cy="2160000"/>
            <wp:effectExtent l="0" t="0" r="9525" b="1206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5BD71EA" w14:textId="33B7CD0E" w:rsidR="00C544C8" w:rsidRPr="003B66DB" w:rsidRDefault="00C544C8" w:rsidP="00083025">
      <w:pPr>
        <w:spacing w:after="240"/>
        <w:ind w:left="1440"/>
        <w:rPr>
          <w:rFonts w:ascii="Times New Roman" w:hAnsi="Times New Roman" w:cs="Times New Roman"/>
          <w:b/>
          <w:i/>
        </w:rPr>
      </w:pPr>
      <w:r w:rsidRPr="003B66DB">
        <w:rPr>
          <w:rFonts w:ascii="Times New Roman" w:hAnsi="Times New Roman" w:cs="Times New Roman"/>
          <w:b/>
          <w:i/>
        </w:rPr>
        <w:t>Source: EPB; Bangladesh Bank; BBS</w:t>
      </w:r>
    </w:p>
    <w:tbl>
      <w:tblPr>
        <w:tblW w:w="6500" w:type="dxa"/>
        <w:jc w:val="center"/>
        <w:tblLook w:val="04A0" w:firstRow="1" w:lastRow="0" w:firstColumn="1" w:lastColumn="0" w:noHBand="0" w:noVBand="1"/>
      </w:tblPr>
      <w:tblGrid>
        <w:gridCol w:w="3006"/>
        <w:gridCol w:w="271"/>
        <w:gridCol w:w="1071"/>
        <w:gridCol w:w="1071"/>
        <w:gridCol w:w="1083"/>
      </w:tblGrid>
      <w:tr w:rsidR="007333AE" w:rsidRPr="00640972" w14:paraId="4D461DFA" w14:textId="77777777" w:rsidTr="00825B79">
        <w:trPr>
          <w:trHeight w:val="315"/>
          <w:jc w:val="center"/>
        </w:trPr>
        <w:tc>
          <w:tcPr>
            <w:tcW w:w="6500" w:type="dxa"/>
            <w:gridSpan w:val="5"/>
            <w:tcBorders>
              <w:top w:val="single" w:sz="8" w:space="0" w:color="auto"/>
              <w:left w:val="single" w:sz="8" w:space="0" w:color="auto"/>
              <w:bottom w:val="nil"/>
              <w:right w:val="single" w:sz="8" w:space="0" w:color="000000"/>
            </w:tcBorders>
            <w:shd w:val="clear" w:color="auto" w:fill="auto"/>
            <w:vAlign w:val="center"/>
            <w:hideMark/>
          </w:tcPr>
          <w:p w14:paraId="059C03B0" w14:textId="726E17C9" w:rsidR="007333AE" w:rsidRPr="00640972" w:rsidRDefault="007333AE" w:rsidP="008654DB">
            <w:pPr>
              <w:pStyle w:val="Heading4"/>
            </w:pPr>
            <w:bookmarkStart w:id="30" w:name="RANGE!A2"/>
            <w:bookmarkStart w:id="31" w:name="_Toc496536528"/>
            <w:r w:rsidRPr="00785BB5">
              <w:t xml:space="preserve">Table </w:t>
            </w:r>
            <w:r w:rsidR="0010020F" w:rsidRPr="00785BB5">
              <w:t>4</w:t>
            </w:r>
            <w:r w:rsidRPr="00785BB5">
              <w:t>: Bangladesh: 2016 Trade Openness in Asia</w:t>
            </w:r>
            <w:bookmarkEnd w:id="30"/>
            <w:bookmarkEnd w:id="31"/>
          </w:p>
        </w:tc>
      </w:tr>
      <w:tr w:rsidR="007333AE" w:rsidRPr="00083025" w14:paraId="04A97241" w14:textId="77777777" w:rsidTr="00083025">
        <w:trPr>
          <w:trHeight w:val="20"/>
          <w:jc w:val="center"/>
        </w:trPr>
        <w:tc>
          <w:tcPr>
            <w:tcW w:w="6500" w:type="dxa"/>
            <w:gridSpan w:val="5"/>
            <w:tcBorders>
              <w:top w:val="nil"/>
              <w:left w:val="single" w:sz="8" w:space="0" w:color="auto"/>
              <w:bottom w:val="single" w:sz="8" w:space="0" w:color="auto"/>
              <w:right w:val="single" w:sz="8" w:space="0" w:color="000000"/>
            </w:tcBorders>
            <w:shd w:val="clear" w:color="auto" w:fill="auto"/>
            <w:vAlign w:val="center"/>
            <w:hideMark/>
          </w:tcPr>
          <w:p w14:paraId="15F8CBA7" w14:textId="77777777" w:rsidR="007333AE" w:rsidRPr="00083025" w:rsidRDefault="007333AE" w:rsidP="00825B79">
            <w:pPr>
              <w:spacing w:after="0" w:line="240" w:lineRule="auto"/>
              <w:jc w:val="center"/>
              <w:rPr>
                <w:rFonts w:ascii="Times New Roman" w:eastAsia="Times New Roman" w:hAnsi="Times New Roman" w:cs="Times New Roman"/>
                <w:b/>
                <w:bCs/>
                <w:color w:val="000000"/>
                <w:sz w:val="22"/>
                <w:szCs w:val="22"/>
              </w:rPr>
            </w:pPr>
            <w:r w:rsidRPr="003E2BED">
              <w:rPr>
                <w:rFonts w:ascii="Times New Roman" w:eastAsia="Times New Roman" w:hAnsi="Times New Roman" w:cs="Times New Roman"/>
                <w:b/>
                <w:bCs/>
                <w:color w:val="000000"/>
                <w:szCs w:val="22"/>
              </w:rPr>
              <w:t xml:space="preserve"> (Trade-GDP ratio)</w:t>
            </w:r>
          </w:p>
        </w:tc>
      </w:tr>
      <w:tr w:rsidR="007333AE" w:rsidRPr="00083025" w14:paraId="06DE2EEE" w14:textId="77777777" w:rsidTr="00083025">
        <w:trPr>
          <w:trHeight w:val="20"/>
          <w:jc w:val="center"/>
        </w:trPr>
        <w:tc>
          <w:tcPr>
            <w:tcW w:w="3006" w:type="dxa"/>
            <w:tcBorders>
              <w:top w:val="nil"/>
              <w:left w:val="single" w:sz="8" w:space="0" w:color="auto"/>
              <w:bottom w:val="single" w:sz="8" w:space="0" w:color="auto"/>
              <w:right w:val="nil"/>
            </w:tcBorders>
            <w:shd w:val="clear" w:color="auto" w:fill="auto"/>
            <w:noWrap/>
            <w:vAlign w:val="center"/>
            <w:hideMark/>
          </w:tcPr>
          <w:p w14:paraId="7390DE02" w14:textId="77777777" w:rsidR="007333AE" w:rsidRPr="00083025" w:rsidRDefault="007333AE" w:rsidP="00825B79">
            <w:pPr>
              <w:spacing w:after="0" w:line="240" w:lineRule="auto"/>
              <w:rPr>
                <w:rFonts w:ascii="Times New Roman" w:eastAsia="Times New Roman" w:hAnsi="Times New Roman" w:cs="Times New Roman"/>
                <w:color w:val="000000"/>
                <w:sz w:val="22"/>
                <w:szCs w:val="22"/>
              </w:rPr>
            </w:pPr>
            <w:r w:rsidRPr="00083025">
              <w:rPr>
                <w:rFonts w:ascii="Times New Roman" w:eastAsia="Times New Roman" w:hAnsi="Times New Roman" w:cs="Times New Roman"/>
                <w:color w:val="000000"/>
                <w:sz w:val="22"/>
                <w:szCs w:val="22"/>
              </w:rPr>
              <w:t> </w:t>
            </w:r>
          </w:p>
        </w:tc>
        <w:tc>
          <w:tcPr>
            <w:tcW w:w="269" w:type="dxa"/>
            <w:tcBorders>
              <w:top w:val="nil"/>
              <w:left w:val="nil"/>
              <w:bottom w:val="single" w:sz="8" w:space="0" w:color="auto"/>
              <w:right w:val="nil"/>
            </w:tcBorders>
            <w:shd w:val="clear" w:color="auto" w:fill="auto"/>
            <w:noWrap/>
            <w:vAlign w:val="center"/>
            <w:hideMark/>
          </w:tcPr>
          <w:p w14:paraId="17A1EDFD" w14:textId="77777777" w:rsidR="007333AE" w:rsidRPr="00083025" w:rsidRDefault="007333AE" w:rsidP="00825B79">
            <w:pPr>
              <w:spacing w:after="0" w:line="240" w:lineRule="auto"/>
              <w:rPr>
                <w:rFonts w:ascii="Times New Roman" w:eastAsia="Times New Roman" w:hAnsi="Times New Roman" w:cs="Times New Roman"/>
                <w:color w:val="000000"/>
                <w:sz w:val="22"/>
                <w:szCs w:val="22"/>
              </w:rPr>
            </w:pPr>
            <w:r w:rsidRPr="00083025">
              <w:rPr>
                <w:rFonts w:ascii="Times New Roman" w:eastAsia="Times New Roman" w:hAnsi="Times New Roman" w:cs="Times New Roman"/>
                <w:color w:val="000000"/>
                <w:sz w:val="22"/>
                <w:szCs w:val="22"/>
              </w:rPr>
              <w:t> </w:t>
            </w:r>
          </w:p>
        </w:tc>
        <w:tc>
          <w:tcPr>
            <w:tcW w:w="1071" w:type="dxa"/>
            <w:tcBorders>
              <w:top w:val="nil"/>
              <w:left w:val="nil"/>
              <w:bottom w:val="single" w:sz="8" w:space="0" w:color="auto"/>
              <w:right w:val="nil"/>
            </w:tcBorders>
            <w:shd w:val="clear" w:color="auto" w:fill="auto"/>
            <w:noWrap/>
            <w:vAlign w:val="center"/>
            <w:hideMark/>
          </w:tcPr>
          <w:p w14:paraId="3A33AEBE" w14:textId="77777777" w:rsidR="007333AE" w:rsidRPr="00083025" w:rsidRDefault="007333AE" w:rsidP="00825B79">
            <w:pPr>
              <w:spacing w:after="0" w:line="240" w:lineRule="auto"/>
              <w:jc w:val="center"/>
              <w:rPr>
                <w:rFonts w:ascii="Times New Roman" w:eastAsia="Times New Roman" w:hAnsi="Times New Roman" w:cs="Times New Roman"/>
                <w:b/>
                <w:color w:val="000000"/>
                <w:sz w:val="22"/>
                <w:szCs w:val="22"/>
              </w:rPr>
            </w:pPr>
            <w:r w:rsidRPr="00083025">
              <w:rPr>
                <w:rFonts w:ascii="Times New Roman" w:eastAsia="Times New Roman" w:hAnsi="Times New Roman" w:cs="Times New Roman"/>
                <w:b/>
                <w:color w:val="000000"/>
                <w:sz w:val="22"/>
                <w:szCs w:val="22"/>
              </w:rPr>
              <w:t>Exports</w:t>
            </w:r>
          </w:p>
        </w:tc>
        <w:tc>
          <w:tcPr>
            <w:tcW w:w="1071" w:type="dxa"/>
            <w:tcBorders>
              <w:top w:val="nil"/>
              <w:left w:val="nil"/>
              <w:bottom w:val="single" w:sz="8" w:space="0" w:color="auto"/>
              <w:right w:val="nil"/>
            </w:tcBorders>
            <w:shd w:val="clear" w:color="auto" w:fill="auto"/>
            <w:noWrap/>
            <w:vAlign w:val="center"/>
            <w:hideMark/>
          </w:tcPr>
          <w:p w14:paraId="6BC392D3" w14:textId="77777777" w:rsidR="007333AE" w:rsidRPr="00083025" w:rsidRDefault="007333AE" w:rsidP="00825B79">
            <w:pPr>
              <w:spacing w:after="0" w:line="240" w:lineRule="auto"/>
              <w:jc w:val="center"/>
              <w:rPr>
                <w:rFonts w:ascii="Times New Roman" w:eastAsia="Times New Roman" w:hAnsi="Times New Roman" w:cs="Times New Roman"/>
                <w:b/>
                <w:color w:val="000000"/>
                <w:sz w:val="22"/>
                <w:szCs w:val="22"/>
              </w:rPr>
            </w:pPr>
            <w:r w:rsidRPr="00083025">
              <w:rPr>
                <w:rFonts w:ascii="Times New Roman" w:eastAsia="Times New Roman" w:hAnsi="Times New Roman" w:cs="Times New Roman"/>
                <w:b/>
                <w:color w:val="000000"/>
                <w:sz w:val="22"/>
                <w:szCs w:val="22"/>
              </w:rPr>
              <w:t>Imports</w:t>
            </w:r>
          </w:p>
        </w:tc>
        <w:tc>
          <w:tcPr>
            <w:tcW w:w="1083" w:type="dxa"/>
            <w:tcBorders>
              <w:top w:val="nil"/>
              <w:left w:val="nil"/>
              <w:bottom w:val="single" w:sz="8" w:space="0" w:color="auto"/>
              <w:right w:val="single" w:sz="8" w:space="0" w:color="auto"/>
            </w:tcBorders>
            <w:shd w:val="clear" w:color="auto" w:fill="auto"/>
            <w:noWrap/>
            <w:vAlign w:val="center"/>
            <w:hideMark/>
          </w:tcPr>
          <w:p w14:paraId="48E4A6C2" w14:textId="77777777" w:rsidR="007333AE" w:rsidRPr="00083025" w:rsidRDefault="007333AE" w:rsidP="00825B79">
            <w:pPr>
              <w:spacing w:after="0" w:line="240" w:lineRule="auto"/>
              <w:jc w:val="center"/>
              <w:rPr>
                <w:rFonts w:ascii="Times New Roman" w:eastAsia="Times New Roman" w:hAnsi="Times New Roman" w:cs="Times New Roman"/>
                <w:b/>
                <w:color w:val="000000"/>
                <w:sz w:val="22"/>
                <w:szCs w:val="22"/>
              </w:rPr>
            </w:pPr>
            <w:r w:rsidRPr="00083025">
              <w:rPr>
                <w:rFonts w:ascii="Times New Roman" w:eastAsia="Times New Roman" w:hAnsi="Times New Roman" w:cs="Times New Roman"/>
                <w:b/>
                <w:color w:val="000000"/>
                <w:sz w:val="22"/>
                <w:szCs w:val="22"/>
              </w:rPr>
              <w:t>Total</w:t>
            </w:r>
          </w:p>
        </w:tc>
      </w:tr>
      <w:tr w:rsidR="007333AE" w:rsidRPr="00083025" w14:paraId="2AAE528D" w14:textId="77777777" w:rsidTr="00083025">
        <w:trPr>
          <w:trHeight w:val="20"/>
          <w:jc w:val="center"/>
        </w:trPr>
        <w:tc>
          <w:tcPr>
            <w:tcW w:w="3006" w:type="dxa"/>
            <w:tcBorders>
              <w:top w:val="nil"/>
              <w:left w:val="single" w:sz="8" w:space="0" w:color="auto"/>
              <w:bottom w:val="nil"/>
              <w:right w:val="nil"/>
            </w:tcBorders>
            <w:shd w:val="clear" w:color="auto" w:fill="auto"/>
            <w:noWrap/>
            <w:vAlign w:val="center"/>
            <w:hideMark/>
          </w:tcPr>
          <w:p w14:paraId="14BB1AC2" w14:textId="77777777" w:rsidR="007333AE" w:rsidRPr="00083025" w:rsidRDefault="007333AE" w:rsidP="00825B79">
            <w:pPr>
              <w:spacing w:after="0" w:line="240" w:lineRule="auto"/>
              <w:rPr>
                <w:rFonts w:ascii="Times New Roman" w:eastAsia="Times New Roman" w:hAnsi="Times New Roman" w:cs="Times New Roman"/>
                <w:b/>
                <w:color w:val="000000"/>
                <w:sz w:val="22"/>
                <w:szCs w:val="22"/>
              </w:rPr>
            </w:pPr>
            <w:r w:rsidRPr="00083025">
              <w:rPr>
                <w:rFonts w:ascii="Times New Roman" w:eastAsia="Times New Roman" w:hAnsi="Times New Roman" w:cs="Times New Roman"/>
                <w:b/>
                <w:color w:val="000000"/>
                <w:sz w:val="22"/>
                <w:szCs w:val="22"/>
              </w:rPr>
              <w:t>Bangladesh*</w:t>
            </w:r>
          </w:p>
        </w:tc>
        <w:tc>
          <w:tcPr>
            <w:tcW w:w="269" w:type="dxa"/>
            <w:tcBorders>
              <w:top w:val="nil"/>
              <w:left w:val="nil"/>
              <w:bottom w:val="nil"/>
              <w:right w:val="nil"/>
            </w:tcBorders>
            <w:shd w:val="clear" w:color="auto" w:fill="auto"/>
            <w:noWrap/>
            <w:vAlign w:val="bottom"/>
            <w:hideMark/>
          </w:tcPr>
          <w:p w14:paraId="68FE4417" w14:textId="77777777" w:rsidR="007333AE" w:rsidRPr="00083025" w:rsidRDefault="007333AE" w:rsidP="00825B79">
            <w:pPr>
              <w:spacing w:after="0" w:line="240" w:lineRule="auto"/>
              <w:rPr>
                <w:rFonts w:ascii="Calibri" w:eastAsia="Times New Roman" w:hAnsi="Calibri" w:cs="Calibri"/>
                <w:color w:val="000000"/>
                <w:sz w:val="22"/>
                <w:szCs w:val="22"/>
              </w:rPr>
            </w:pPr>
          </w:p>
        </w:tc>
        <w:tc>
          <w:tcPr>
            <w:tcW w:w="1071" w:type="dxa"/>
            <w:tcBorders>
              <w:top w:val="nil"/>
              <w:left w:val="nil"/>
              <w:bottom w:val="nil"/>
              <w:right w:val="nil"/>
            </w:tcBorders>
            <w:shd w:val="clear" w:color="auto" w:fill="auto"/>
            <w:noWrap/>
            <w:vAlign w:val="center"/>
            <w:hideMark/>
          </w:tcPr>
          <w:p w14:paraId="7D87085C" w14:textId="77777777" w:rsidR="007333AE" w:rsidRPr="00083025" w:rsidRDefault="007333AE" w:rsidP="00825B79">
            <w:pPr>
              <w:spacing w:after="0" w:line="240" w:lineRule="auto"/>
              <w:jc w:val="center"/>
              <w:rPr>
                <w:rFonts w:ascii="Times New Roman" w:eastAsia="Times New Roman" w:hAnsi="Times New Roman" w:cs="Times New Roman"/>
                <w:color w:val="000000"/>
                <w:sz w:val="22"/>
                <w:szCs w:val="22"/>
              </w:rPr>
            </w:pPr>
            <w:r w:rsidRPr="00083025">
              <w:rPr>
                <w:rFonts w:ascii="Times New Roman" w:eastAsia="Times New Roman" w:hAnsi="Times New Roman" w:cs="Times New Roman"/>
                <w:color w:val="000000"/>
                <w:sz w:val="22"/>
                <w:szCs w:val="22"/>
              </w:rPr>
              <w:t>14.1</w:t>
            </w:r>
          </w:p>
        </w:tc>
        <w:tc>
          <w:tcPr>
            <w:tcW w:w="1071" w:type="dxa"/>
            <w:tcBorders>
              <w:top w:val="nil"/>
              <w:left w:val="nil"/>
              <w:bottom w:val="nil"/>
              <w:right w:val="nil"/>
            </w:tcBorders>
            <w:shd w:val="clear" w:color="auto" w:fill="auto"/>
            <w:noWrap/>
            <w:vAlign w:val="center"/>
            <w:hideMark/>
          </w:tcPr>
          <w:p w14:paraId="4058A1BD" w14:textId="77777777" w:rsidR="007333AE" w:rsidRPr="00083025" w:rsidRDefault="007333AE" w:rsidP="00825B79">
            <w:pPr>
              <w:spacing w:after="0" w:line="240" w:lineRule="auto"/>
              <w:jc w:val="center"/>
              <w:rPr>
                <w:rFonts w:ascii="Times New Roman" w:eastAsia="Times New Roman" w:hAnsi="Times New Roman" w:cs="Times New Roman"/>
                <w:color w:val="000000"/>
                <w:sz w:val="22"/>
                <w:szCs w:val="22"/>
              </w:rPr>
            </w:pPr>
            <w:r w:rsidRPr="00083025">
              <w:rPr>
                <w:rFonts w:ascii="Times New Roman" w:eastAsia="Times New Roman" w:hAnsi="Times New Roman" w:cs="Times New Roman"/>
                <w:color w:val="000000"/>
                <w:sz w:val="22"/>
                <w:szCs w:val="22"/>
              </w:rPr>
              <w:t>17.6</w:t>
            </w:r>
          </w:p>
        </w:tc>
        <w:tc>
          <w:tcPr>
            <w:tcW w:w="1083" w:type="dxa"/>
            <w:tcBorders>
              <w:top w:val="nil"/>
              <w:left w:val="nil"/>
              <w:bottom w:val="nil"/>
              <w:right w:val="single" w:sz="8" w:space="0" w:color="auto"/>
            </w:tcBorders>
            <w:shd w:val="clear" w:color="auto" w:fill="auto"/>
            <w:noWrap/>
            <w:vAlign w:val="center"/>
            <w:hideMark/>
          </w:tcPr>
          <w:p w14:paraId="2341B44A" w14:textId="77777777" w:rsidR="007333AE" w:rsidRPr="00083025" w:rsidRDefault="007333AE" w:rsidP="00825B79">
            <w:pPr>
              <w:spacing w:after="0" w:line="240" w:lineRule="auto"/>
              <w:jc w:val="center"/>
              <w:rPr>
                <w:rFonts w:ascii="Times New Roman" w:eastAsia="Times New Roman" w:hAnsi="Times New Roman" w:cs="Times New Roman"/>
                <w:color w:val="000000"/>
                <w:sz w:val="22"/>
                <w:szCs w:val="22"/>
              </w:rPr>
            </w:pPr>
            <w:r w:rsidRPr="00083025">
              <w:rPr>
                <w:rFonts w:ascii="Times New Roman" w:eastAsia="Times New Roman" w:hAnsi="Times New Roman" w:cs="Times New Roman"/>
                <w:color w:val="000000"/>
                <w:sz w:val="22"/>
                <w:szCs w:val="22"/>
              </w:rPr>
              <w:t>31.7</w:t>
            </w:r>
          </w:p>
        </w:tc>
      </w:tr>
      <w:tr w:rsidR="007333AE" w:rsidRPr="00083025" w14:paraId="7A789992" w14:textId="77777777" w:rsidTr="00083025">
        <w:trPr>
          <w:trHeight w:val="20"/>
          <w:jc w:val="center"/>
        </w:trPr>
        <w:tc>
          <w:tcPr>
            <w:tcW w:w="3006" w:type="dxa"/>
            <w:tcBorders>
              <w:top w:val="nil"/>
              <w:left w:val="single" w:sz="8" w:space="0" w:color="auto"/>
              <w:bottom w:val="nil"/>
              <w:right w:val="nil"/>
            </w:tcBorders>
            <w:shd w:val="clear" w:color="auto" w:fill="auto"/>
            <w:noWrap/>
            <w:vAlign w:val="center"/>
            <w:hideMark/>
          </w:tcPr>
          <w:p w14:paraId="7CA1B2A0" w14:textId="77777777" w:rsidR="007333AE" w:rsidRPr="00083025" w:rsidRDefault="007333AE" w:rsidP="00825B79">
            <w:pPr>
              <w:spacing w:after="0" w:line="240" w:lineRule="auto"/>
              <w:rPr>
                <w:rFonts w:ascii="Times New Roman" w:eastAsia="Times New Roman" w:hAnsi="Times New Roman" w:cs="Times New Roman"/>
                <w:b/>
                <w:color w:val="000000"/>
                <w:sz w:val="22"/>
                <w:szCs w:val="22"/>
              </w:rPr>
            </w:pPr>
            <w:r w:rsidRPr="00083025">
              <w:rPr>
                <w:rFonts w:ascii="Times New Roman" w:eastAsia="Times New Roman" w:hAnsi="Times New Roman" w:cs="Times New Roman"/>
                <w:b/>
                <w:color w:val="000000"/>
                <w:sz w:val="22"/>
                <w:szCs w:val="22"/>
              </w:rPr>
              <w:t> </w:t>
            </w:r>
          </w:p>
        </w:tc>
        <w:tc>
          <w:tcPr>
            <w:tcW w:w="269" w:type="dxa"/>
            <w:tcBorders>
              <w:top w:val="nil"/>
              <w:left w:val="nil"/>
              <w:bottom w:val="nil"/>
              <w:right w:val="nil"/>
            </w:tcBorders>
            <w:shd w:val="clear" w:color="auto" w:fill="auto"/>
            <w:noWrap/>
            <w:vAlign w:val="bottom"/>
            <w:hideMark/>
          </w:tcPr>
          <w:p w14:paraId="624EA84C" w14:textId="77777777" w:rsidR="007333AE" w:rsidRPr="00083025" w:rsidRDefault="007333AE" w:rsidP="00825B79">
            <w:pPr>
              <w:spacing w:after="0" w:line="240" w:lineRule="auto"/>
              <w:rPr>
                <w:rFonts w:ascii="Calibri" w:eastAsia="Times New Roman"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7E9B5554" w14:textId="77777777" w:rsidR="007333AE" w:rsidRPr="00083025" w:rsidRDefault="007333AE" w:rsidP="00825B79">
            <w:pPr>
              <w:spacing w:after="0" w:line="240" w:lineRule="auto"/>
              <w:rPr>
                <w:rFonts w:ascii="Calibri" w:eastAsia="Times New Roman" w:hAnsi="Calibri" w:cs="Calibri"/>
                <w:color w:val="000000"/>
                <w:sz w:val="22"/>
                <w:szCs w:val="22"/>
              </w:rPr>
            </w:pPr>
          </w:p>
        </w:tc>
        <w:tc>
          <w:tcPr>
            <w:tcW w:w="1071" w:type="dxa"/>
            <w:tcBorders>
              <w:top w:val="nil"/>
              <w:left w:val="nil"/>
              <w:bottom w:val="nil"/>
              <w:right w:val="nil"/>
            </w:tcBorders>
            <w:shd w:val="clear" w:color="auto" w:fill="auto"/>
            <w:noWrap/>
            <w:vAlign w:val="bottom"/>
            <w:hideMark/>
          </w:tcPr>
          <w:p w14:paraId="28258309" w14:textId="77777777" w:rsidR="007333AE" w:rsidRPr="00083025" w:rsidRDefault="007333AE" w:rsidP="00825B79">
            <w:pPr>
              <w:spacing w:after="0" w:line="240" w:lineRule="auto"/>
              <w:rPr>
                <w:rFonts w:ascii="Calibri" w:eastAsia="Times New Roman" w:hAnsi="Calibri" w:cs="Calibri"/>
                <w:color w:val="000000"/>
                <w:sz w:val="22"/>
                <w:szCs w:val="22"/>
              </w:rPr>
            </w:pPr>
          </w:p>
        </w:tc>
        <w:tc>
          <w:tcPr>
            <w:tcW w:w="1083" w:type="dxa"/>
            <w:tcBorders>
              <w:top w:val="nil"/>
              <w:left w:val="nil"/>
              <w:bottom w:val="nil"/>
              <w:right w:val="single" w:sz="8" w:space="0" w:color="auto"/>
            </w:tcBorders>
            <w:shd w:val="clear" w:color="auto" w:fill="auto"/>
            <w:noWrap/>
            <w:vAlign w:val="bottom"/>
            <w:hideMark/>
          </w:tcPr>
          <w:p w14:paraId="4220AC23" w14:textId="77777777" w:rsidR="007333AE" w:rsidRPr="00083025" w:rsidRDefault="007333AE" w:rsidP="00825B79">
            <w:pPr>
              <w:spacing w:after="0" w:line="240" w:lineRule="auto"/>
              <w:rPr>
                <w:rFonts w:ascii="Calibri" w:eastAsia="Times New Roman" w:hAnsi="Calibri" w:cs="Calibri"/>
                <w:color w:val="000000"/>
                <w:sz w:val="22"/>
                <w:szCs w:val="22"/>
              </w:rPr>
            </w:pPr>
            <w:r w:rsidRPr="00083025">
              <w:rPr>
                <w:rFonts w:ascii="Calibri" w:eastAsia="Times New Roman" w:hAnsi="Calibri" w:cs="Calibri"/>
                <w:color w:val="000000"/>
                <w:sz w:val="22"/>
                <w:szCs w:val="22"/>
              </w:rPr>
              <w:t> </w:t>
            </w:r>
          </w:p>
        </w:tc>
      </w:tr>
      <w:tr w:rsidR="007333AE" w:rsidRPr="00083025" w14:paraId="1EB4C5ED" w14:textId="77777777" w:rsidTr="00083025">
        <w:trPr>
          <w:trHeight w:val="20"/>
          <w:jc w:val="center"/>
        </w:trPr>
        <w:tc>
          <w:tcPr>
            <w:tcW w:w="3006" w:type="dxa"/>
            <w:tcBorders>
              <w:top w:val="nil"/>
              <w:left w:val="single" w:sz="8" w:space="0" w:color="auto"/>
              <w:bottom w:val="nil"/>
              <w:right w:val="nil"/>
            </w:tcBorders>
            <w:shd w:val="clear" w:color="auto" w:fill="auto"/>
            <w:noWrap/>
            <w:vAlign w:val="center"/>
            <w:hideMark/>
          </w:tcPr>
          <w:p w14:paraId="7FA87497" w14:textId="77777777" w:rsidR="007333AE" w:rsidRPr="00083025" w:rsidRDefault="007333AE" w:rsidP="00825B79">
            <w:pPr>
              <w:spacing w:after="0" w:line="240" w:lineRule="auto"/>
              <w:rPr>
                <w:rFonts w:ascii="Times New Roman" w:eastAsia="Times New Roman" w:hAnsi="Times New Roman" w:cs="Times New Roman"/>
                <w:b/>
                <w:color w:val="000000"/>
                <w:sz w:val="22"/>
                <w:szCs w:val="22"/>
              </w:rPr>
            </w:pPr>
            <w:r w:rsidRPr="00083025">
              <w:rPr>
                <w:rFonts w:ascii="Times New Roman" w:eastAsia="Times New Roman" w:hAnsi="Times New Roman" w:cs="Times New Roman"/>
                <w:b/>
                <w:color w:val="000000"/>
                <w:sz w:val="22"/>
                <w:szCs w:val="22"/>
              </w:rPr>
              <w:t>South Asia</w:t>
            </w:r>
          </w:p>
        </w:tc>
        <w:tc>
          <w:tcPr>
            <w:tcW w:w="269" w:type="dxa"/>
            <w:tcBorders>
              <w:top w:val="nil"/>
              <w:left w:val="nil"/>
              <w:bottom w:val="nil"/>
              <w:right w:val="nil"/>
            </w:tcBorders>
            <w:shd w:val="clear" w:color="auto" w:fill="auto"/>
            <w:noWrap/>
            <w:vAlign w:val="bottom"/>
            <w:hideMark/>
          </w:tcPr>
          <w:p w14:paraId="7C8DBD1D" w14:textId="77777777" w:rsidR="007333AE" w:rsidRPr="00083025" w:rsidRDefault="007333AE" w:rsidP="00825B79">
            <w:pPr>
              <w:spacing w:after="0" w:line="240" w:lineRule="auto"/>
              <w:rPr>
                <w:rFonts w:ascii="Calibri" w:eastAsia="Times New Roman" w:hAnsi="Calibri" w:cs="Calibri"/>
                <w:color w:val="000000"/>
                <w:sz w:val="22"/>
                <w:szCs w:val="22"/>
              </w:rPr>
            </w:pPr>
          </w:p>
        </w:tc>
        <w:tc>
          <w:tcPr>
            <w:tcW w:w="1071" w:type="dxa"/>
            <w:tcBorders>
              <w:top w:val="nil"/>
              <w:left w:val="nil"/>
              <w:bottom w:val="nil"/>
              <w:right w:val="nil"/>
            </w:tcBorders>
            <w:shd w:val="clear" w:color="auto" w:fill="auto"/>
            <w:noWrap/>
            <w:vAlign w:val="center"/>
            <w:hideMark/>
          </w:tcPr>
          <w:p w14:paraId="649CEFE7" w14:textId="77777777" w:rsidR="007333AE" w:rsidRPr="00083025" w:rsidRDefault="007333AE" w:rsidP="00825B79">
            <w:pPr>
              <w:spacing w:after="0" w:line="240" w:lineRule="auto"/>
              <w:jc w:val="center"/>
              <w:rPr>
                <w:rFonts w:ascii="Times New Roman" w:eastAsia="Times New Roman" w:hAnsi="Times New Roman" w:cs="Times New Roman"/>
                <w:color w:val="000000"/>
                <w:sz w:val="22"/>
                <w:szCs w:val="22"/>
              </w:rPr>
            </w:pPr>
            <w:r w:rsidRPr="00083025">
              <w:rPr>
                <w:rFonts w:ascii="Times New Roman" w:eastAsia="Times New Roman" w:hAnsi="Times New Roman" w:cs="Times New Roman"/>
                <w:color w:val="000000"/>
                <w:sz w:val="22"/>
                <w:szCs w:val="22"/>
              </w:rPr>
              <w:t>11.5</w:t>
            </w:r>
          </w:p>
        </w:tc>
        <w:tc>
          <w:tcPr>
            <w:tcW w:w="1071" w:type="dxa"/>
            <w:tcBorders>
              <w:top w:val="nil"/>
              <w:left w:val="nil"/>
              <w:bottom w:val="nil"/>
              <w:right w:val="nil"/>
            </w:tcBorders>
            <w:shd w:val="clear" w:color="auto" w:fill="auto"/>
            <w:noWrap/>
            <w:vAlign w:val="center"/>
            <w:hideMark/>
          </w:tcPr>
          <w:p w14:paraId="73AC602F" w14:textId="77777777" w:rsidR="007333AE" w:rsidRPr="00083025" w:rsidRDefault="007333AE" w:rsidP="00825B79">
            <w:pPr>
              <w:spacing w:after="0" w:line="240" w:lineRule="auto"/>
              <w:jc w:val="center"/>
              <w:rPr>
                <w:rFonts w:ascii="Times New Roman" w:eastAsia="Times New Roman" w:hAnsi="Times New Roman" w:cs="Times New Roman"/>
                <w:color w:val="000000"/>
                <w:sz w:val="22"/>
                <w:szCs w:val="22"/>
              </w:rPr>
            </w:pPr>
            <w:r w:rsidRPr="00083025">
              <w:rPr>
                <w:rFonts w:ascii="Times New Roman" w:eastAsia="Times New Roman" w:hAnsi="Times New Roman" w:cs="Times New Roman"/>
                <w:color w:val="000000"/>
                <w:sz w:val="22"/>
                <w:szCs w:val="22"/>
              </w:rPr>
              <w:t>16.9</w:t>
            </w:r>
          </w:p>
        </w:tc>
        <w:tc>
          <w:tcPr>
            <w:tcW w:w="1083" w:type="dxa"/>
            <w:tcBorders>
              <w:top w:val="nil"/>
              <w:left w:val="nil"/>
              <w:bottom w:val="nil"/>
              <w:right w:val="single" w:sz="8" w:space="0" w:color="auto"/>
            </w:tcBorders>
            <w:shd w:val="clear" w:color="auto" w:fill="auto"/>
            <w:noWrap/>
            <w:vAlign w:val="center"/>
            <w:hideMark/>
          </w:tcPr>
          <w:p w14:paraId="36F2E129" w14:textId="77777777" w:rsidR="007333AE" w:rsidRPr="00083025" w:rsidRDefault="007333AE" w:rsidP="00825B79">
            <w:pPr>
              <w:spacing w:after="0" w:line="240" w:lineRule="auto"/>
              <w:jc w:val="center"/>
              <w:rPr>
                <w:rFonts w:ascii="Times New Roman" w:eastAsia="Times New Roman" w:hAnsi="Times New Roman" w:cs="Times New Roman"/>
                <w:color w:val="000000"/>
                <w:sz w:val="22"/>
                <w:szCs w:val="22"/>
              </w:rPr>
            </w:pPr>
            <w:r w:rsidRPr="00083025">
              <w:rPr>
                <w:rFonts w:ascii="Times New Roman" w:eastAsia="Times New Roman" w:hAnsi="Times New Roman" w:cs="Times New Roman"/>
                <w:color w:val="000000"/>
                <w:sz w:val="22"/>
                <w:szCs w:val="22"/>
              </w:rPr>
              <w:t>28.4</w:t>
            </w:r>
          </w:p>
        </w:tc>
      </w:tr>
      <w:tr w:rsidR="007333AE" w:rsidRPr="00083025" w14:paraId="3FB7127B" w14:textId="77777777" w:rsidTr="00083025">
        <w:trPr>
          <w:trHeight w:val="20"/>
          <w:jc w:val="center"/>
        </w:trPr>
        <w:tc>
          <w:tcPr>
            <w:tcW w:w="3006" w:type="dxa"/>
            <w:tcBorders>
              <w:top w:val="nil"/>
              <w:left w:val="single" w:sz="8" w:space="0" w:color="auto"/>
              <w:bottom w:val="nil"/>
              <w:right w:val="nil"/>
            </w:tcBorders>
            <w:shd w:val="clear" w:color="auto" w:fill="auto"/>
            <w:noWrap/>
            <w:vAlign w:val="center"/>
            <w:hideMark/>
          </w:tcPr>
          <w:p w14:paraId="1819DB62" w14:textId="77777777" w:rsidR="007333AE" w:rsidRPr="00083025" w:rsidRDefault="007333AE" w:rsidP="00825B79">
            <w:pPr>
              <w:spacing w:after="0" w:line="240" w:lineRule="auto"/>
              <w:rPr>
                <w:rFonts w:ascii="Times New Roman" w:eastAsia="Times New Roman" w:hAnsi="Times New Roman" w:cs="Times New Roman"/>
                <w:b/>
                <w:color w:val="000000"/>
                <w:sz w:val="22"/>
                <w:szCs w:val="22"/>
              </w:rPr>
            </w:pPr>
            <w:r w:rsidRPr="00083025">
              <w:rPr>
                <w:rFonts w:ascii="Times New Roman" w:eastAsia="Times New Roman" w:hAnsi="Times New Roman" w:cs="Times New Roman"/>
                <w:b/>
                <w:color w:val="000000"/>
                <w:sz w:val="22"/>
                <w:szCs w:val="22"/>
              </w:rPr>
              <w:t>Southeast Asia**</w:t>
            </w:r>
          </w:p>
        </w:tc>
        <w:tc>
          <w:tcPr>
            <w:tcW w:w="269" w:type="dxa"/>
            <w:tcBorders>
              <w:top w:val="nil"/>
              <w:left w:val="nil"/>
              <w:bottom w:val="nil"/>
              <w:right w:val="nil"/>
            </w:tcBorders>
            <w:shd w:val="clear" w:color="auto" w:fill="auto"/>
            <w:noWrap/>
            <w:vAlign w:val="bottom"/>
            <w:hideMark/>
          </w:tcPr>
          <w:p w14:paraId="3302009D" w14:textId="77777777" w:rsidR="007333AE" w:rsidRPr="00083025" w:rsidRDefault="007333AE" w:rsidP="00825B79">
            <w:pPr>
              <w:spacing w:after="0" w:line="240" w:lineRule="auto"/>
              <w:rPr>
                <w:rFonts w:ascii="Calibri" w:eastAsia="Times New Roman" w:hAnsi="Calibri" w:cs="Calibri"/>
                <w:color w:val="000000"/>
                <w:sz w:val="22"/>
                <w:szCs w:val="22"/>
              </w:rPr>
            </w:pPr>
          </w:p>
        </w:tc>
        <w:tc>
          <w:tcPr>
            <w:tcW w:w="1071" w:type="dxa"/>
            <w:tcBorders>
              <w:top w:val="nil"/>
              <w:left w:val="nil"/>
              <w:bottom w:val="nil"/>
              <w:right w:val="nil"/>
            </w:tcBorders>
            <w:shd w:val="clear" w:color="auto" w:fill="auto"/>
            <w:noWrap/>
            <w:vAlign w:val="center"/>
            <w:hideMark/>
          </w:tcPr>
          <w:p w14:paraId="6EDE61D9" w14:textId="77777777" w:rsidR="007333AE" w:rsidRPr="00083025" w:rsidRDefault="007333AE" w:rsidP="00825B79">
            <w:pPr>
              <w:spacing w:after="0" w:line="240" w:lineRule="auto"/>
              <w:jc w:val="center"/>
              <w:rPr>
                <w:rFonts w:ascii="Times New Roman" w:eastAsia="Times New Roman" w:hAnsi="Times New Roman" w:cs="Times New Roman"/>
                <w:color w:val="000000"/>
                <w:sz w:val="22"/>
                <w:szCs w:val="22"/>
              </w:rPr>
            </w:pPr>
            <w:r w:rsidRPr="00083025">
              <w:rPr>
                <w:rFonts w:ascii="Times New Roman" w:eastAsia="Times New Roman" w:hAnsi="Times New Roman" w:cs="Times New Roman"/>
                <w:color w:val="000000"/>
                <w:sz w:val="22"/>
                <w:szCs w:val="22"/>
              </w:rPr>
              <w:t>44.7</w:t>
            </w:r>
          </w:p>
        </w:tc>
        <w:tc>
          <w:tcPr>
            <w:tcW w:w="1071" w:type="dxa"/>
            <w:tcBorders>
              <w:top w:val="nil"/>
              <w:left w:val="nil"/>
              <w:bottom w:val="nil"/>
              <w:right w:val="nil"/>
            </w:tcBorders>
            <w:shd w:val="clear" w:color="auto" w:fill="auto"/>
            <w:noWrap/>
            <w:vAlign w:val="center"/>
            <w:hideMark/>
          </w:tcPr>
          <w:p w14:paraId="645CA15D" w14:textId="77777777" w:rsidR="007333AE" w:rsidRPr="00083025" w:rsidRDefault="007333AE" w:rsidP="00825B79">
            <w:pPr>
              <w:spacing w:after="0" w:line="240" w:lineRule="auto"/>
              <w:jc w:val="center"/>
              <w:rPr>
                <w:rFonts w:ascii="Times New Roman" w:eastAsia="Times New Roman" w:hAnsi="Times New Roman" w:cs="Times New Roman"/>
                <w:color w:val="000000"/>
                <w:sz w:val="22"/>
                <w:szCs w:val="22"/>
              </w:rPr>
            </w:pPr>
            <w:r w:rsidRPr="00083025">
              <w:rPr>
                <w:rFonts w:ascii="Times New Roman" w:eastAsia="Times New Roman" w:hAnsi="Times New Roman" w:cs="Times New Roman"/>
                <w:color w:val="000000"/>
                <w:sz w:val="22"/>
                <w:szCs w:val="22"/>
              </w:rPr>
              <w:t>42.2</w:t>
            </w:r>
          </w:p>
        </w:tc>
        <w:tc>
          <w:tcPr>
            <w:tcW w:w="1083" w:type="dxa"/>
            <w:tcBorders>
              <w:top w:val="nil"/>
              <w:left w:val="nil"/>
              <w:bottom w:val="nil"/>
              <w:right w:val="single" w:sz="8" w:space="0" w:color="auto"/>
            </w:tcBorders>
            <w:shd w:val="clear" w:color="auto" w:fill="auto"/>
            <w:noWrap/>
            <w:vAlign w:val="center"/>
            <w:hideMark/>
          </w:tcPr>
          <w:p w14:paraId="50A75D67" w14:textId="77777777" w:rsidR="007333AE" w:rsidRPr="00083025" w:rsidRDefault="007333AE" w:rsidP="00825B79">
            <w:pPr>
              <w:spacing w:after="0" w:line="240" w:lineRule="auto"/>
              <w:jc w:val="center"/>
              <w:rPr>
                <w:rFonts w:ascii="Times New Roman" w:eastAsia="Times New Roman" w:hAnsi="Times New Roman" w:cs="Times New Roman"/>
                <w:color w:val="000000"/>
                <w:sz w:val="22"/>
                <w:szCs w:val="22"/>
              </w:rPr>
            </w:pPr>
            <w:r w:rsidRPr="00083025">
              <w:rPr>
                <w:rFonts w:ascii="Times New Roman" w:eastAsia="Times New Roman" w:hAnsi="Times New Roman" w:cs="Times New Roman"/>
                <w:color w:val="000000"/>
                <w:sz w:val="22"/>
                <w:szCs w:val="22"/>
              </w:rPr>
              <w:t>86.9</w:t>
            </w:r>
          </w:p>
        </w:tc>
      </w:tr>
      <w:tr w:rsidR="007333AE" w:rsidRPr="00083025" w14:paraId="2911B13B" w14:textId="77777777" w:rsidTr="00083025">
        <w:trPr>
          <w:trHeight w:val="20"/>
          <w:jc w:val="center"/>
        </w:trPr>
        <w:tc>
          <w:tcPr>
            <w:tcW w:w="3006" w:type="dxa"/>
            <w:tcBorders>
              <w:top w:val="nil"/>
              <w:left w:val="single" w:sz="8" w:space="0" w:color="auto"/>
              <w:bottom w:val="nil"/>
              <w:right w:val="nil"/>
            </w:tcBorders>
            <w:shd w:val="clear" w:color="auto" w:fill="auto"/>
            <w:noWrap/>
            <w:vAlign w:val="center"/>
            <w:hideMark/>
          </w:tcPr>
          <w:p w14:paraId="6D4CDF42" w14:textId="77777777" w:rsidR="007333AE" w:rsidRPr="00083025" w:rsidRDefault="007333AE" w:rsidP="00825B79">
            <w:pPr>
              <w:spacing w:after="0" w:line="240" w:lineRule="auto"/>
              <w:rPr>
                <w:rFonts w:ascii="Times New Roman" w:eastAsia="Times New Roman" w:hAnsi="Times New Roman" w:cs="Times New Roman"/>
                <w:b/>
                <w:color w:val="000000"/>
                <w:sz w:val="22"/>
                <w:szCs w:val="22"/>
              </w:rPr>
            </w:pPr>
            <w:r w:rsidRPr="00083025">
              <w:rPr>
                <w:rFonts w:ascii="Times New Roman" w:eastAsia="Times New Roman" w:hAnsi="Times New Roman" w:cs="Times New Roman"/>
                <w:b/>
                <w:color w:val="000000"/>
                <w:sz w:val="22"/>
                <w:szCs w:val="22"/>
              </w:rPr>
              <w:t>Emerging Asia***</w:t>
            </w:r>
          </w:p>
        </w:tc>
        <w:tc>
          <w:tcPr>
            <w:tcW w:w="269" w:type="dxa"/>
            <w:tcBorders>
              <w:top w:val="nil"/>
              <w:left w:val="nil"/>
              <w:bottom w:val="nil"/>
              <w:right w:val="nil"/>
            </w:tcBorders>
            <w:shd w:val="clear" w:color="auto" w:fill="auto"/>
            <w:noWrap/>
            <w:vAlign w:val="bottom"/>
            <w:hideMark/>
          </w:tcPr>
          <w:p w14:paraId="391DDA5E" w14:textId="77777777" w:rsidR="007333AE" w:rsidRPr="00083025" w:rsidRDefault="007333AE" w:rsidP="00825B79">
            <w:pPr>
              <w:spacing w:after="0" w:line="240" w:lineRule="auto"/>
              <w:rPr>
                <w:rFonts w:ascii="Calibri" w:eastAsia="Times New Roman" w:hAnsi="Calibri" w:cs="Calibri"/>
                <w:color w:val="000000"/>
                <w:sz w:val="22"/>
                <w:szCs w:val="22"/>
              </w:rPr>
            </w:pPr>
          </w:p>
        </w:tc>
        <w:tc>
          <w:tcPr>
            <w:tcW w:w="1071" w:type="dxa"/>
            <w:tcBorders>
              <w:top w:val="nil"/>
              <w:left w:val="nil"/>
              <w:bottom w:val="nil"/>
              <w:right w:val="nil"/>
            </w:tcBorders>
            <w:shd w:val="clear" w:color="auto" w:fill="auto"/>
            <w:noWrap/>
            <w:vAlign w:val="center"/>
            <w:hideMark/>
          </w:tcPr>
          <w:p w14:paraId="494F177F" w14:textId="77777777" w:rsidR="007333AE" w:rsidRPr="00083025" w:rsidRDefault="007333AE" w:rsidP="00825B79">
            <w:pPr>
              <w:spacing w:after="0" w:line="240" w:lineRule="auto"/>
              <w:jc w:val="center"/>
              <w:rPr>
                <w:rFonts w:ascii="Times New Roman" w:eastAsia="Times New Roman" w:hAnsi="Times New Roman" w:cs="Times New Roman"/>
                <w:color w:val="000000"/>
                <w:sz w:val="22"/>
                <w:szCs w:val="22"/>
              </w:rPr>
            </w:pPr>
            <w:r w:rsidRPr="00083025">
              <w:rPr>
                <w:rFonts w:ascii="Times New Roman" w:eastAsia="Times New Roman" w:hAnsi="Times New Roman" w:cs="Times New Roman"/>
                <w:color w:val="000000"/>
                <w:sz w:val="22"/>
                <w:szCs w:val="22"/>
              </w:rPr>
              <w:t>20.2</w:t>
            </w:r>
          </w:p>
        </w:tc>
        <w:tc>
          <w:tcPr>
            <w:tcW w:w="1071" w:type="dxa"/>
            <w:tcBorders>
              <w:top w:val="nil"/>
              <w:left w:val="nil"/>
              <w:bottom w:val="nil"/>
              <w:right w:val="nil"/>
            </w:tcBorders>
            <w:shd w:val="clear" w:color="auto" w:fill="auto"/>
            <w:noWrap/>
            <w:vAlign w:val="center"/>
            <w:hideMark/>
          </w:tcPr>
          <w:p w14:paraId="7A454AAF" w14:textId="77777777" w:rsidR="007333AE" w:rsidRPr="00083025" w:rsidRDefault="007333AE" w:rsidP="00825B79">
            <w:pPr>
              <w:spacing w:after="0" w:line="240" w:lineRule="auto"/>
              <w:jc w:val="center"/>
              <w:rPr>
                <w:rFonts w:ascii="Times New Roman" w:eastAsia="Times New Roman" w:hAnsi="Times New Roman" w:cs="Times New Roman"/>
                <w:color w:val="000000"/>
                <w:sz w:val="22"/>
                <w:szCs w:val="22"/>
              </w:rPr>
            </w:pPr>
            <w:r w:rsidRPr="00083025">
              <w:rPr>
                <w:rFonts w:ascii="Times New Roman" w:eastAsia="Times New Roman" w:hAnsi="Times New Roman" w:cs="Times New Roman"/>
                <w:color w:val="000000"/>
                <w:sz w:val="22"/>
                <w:szCs w:val="22"/>
              </w:rPr>
              <w:t>17.1</w:t>
            </w:r>
          </w:p>
        </w:tc>
        <w:tc>
          <w:tcPr>
            <w:tcW w:w="1083" w:type="dxa"/>
            <w:tcBorders>
              <w:top w:val="nil"/>
              <w:left w:val="nil"/>
              <w:bottom w:val="nil"/>
              <w:right w:val="single" w:sz="8" w:space="0" w:color="auto"/>
            </w:tcBorders>
            <w:shd w:val="clear" w:color="auto" w:fill="auto"/>
            <w:noWrap/>
            <w:vAlign w:val="center"/>
            <w:hideMark/>
          </w:tcPr>
          <w:p w14:paraId="4F4F1CD3" w14:textId="77777777" w:rsidR="007333AE" w:rsidRPr="00083025" w:rsidRDefault="007333AE" w:rsidP="00825B79">
            <w:pPr>
              <w:spacing w:after="0" w:line="240" w:lineRule="auto"/>
              <w:jc w:val="center"/>
              <w:rPr>
                <w:rFonts w:ascii="Times New Roman" w:eastAsia="Times New Roman" w:hAnsi="Times New Roman" w:cs="Times New Roman"/>
                <w:color w:val="000000"/>
                <w:sz w:val="22"/>
                <w:szCs w:val="22"/>
              </w:rPr>
            </w:pPr>
            <w:r w:rsidRPr="00083025">
              <w:rPr>
                <w:rFonts w:ascii="Times New Roman" w:eastAsia="Times New Roman" w:hAnsi="Times New Roman" w:cs="Times New Roman"/>
                <w:color w:val="000000"/>
                <w:sz w:val="22"/>
                <w:szCs w:val="22"/>
              </w:rPr>
              <w:t>37.3</w:t>
            </w:r>
          </w:p>
        </w:tc>
      </w:tr>
      <w:tr w:rsidR="007333AE" w:rsidRPr="00083025" w14:paraId="1D7012CF" w14:textId="77777777" w:rsidTr="00083025">
        <w:trPr>
          <w:trHeight w:val="20"/>
          <w:jc w:val="center"/>
        </w:trPr>
        <w:tc>
          <w:tcPr>
            <w:tcW w:w="3006" w:type="dxa"/>
            <w:tcBorders>
              <w:top w:val="nil"/>
              <w:left w:val="single" w:sz="8" w:space="0" w:color="auto"/>
              <w:bottom w:val="single" w:sz="8" w:space="0" w:color="auto"/>
              <w:right w:val="nil"/>
            </w:tcBorders>
            <w:shd w:val="clear" w:color="auto" w:fill="auto"/>
            <w:noWrap/>
            <w:vAlign w:val="center"/>
            <w:hideMark/>
          </w:tcPr>
          <w:p w14:paraId="26C8F176" w14:textId="77777777" w:rsidR="007333AE" w:rsidRPr="00083025" w:rsidRDefault="007333AE" w:rsidP="00825B79">
            <w:pPr>
              <w:spacing w:after="0" w:line="240" w:lineRule="auto"/>
              <w:rPr>
                <w:rFonts w:ascii="Times New Roman" w:eastAsia="Times New Roman" w:hAnsi="Times New Roman" w:cs="Times New Roman"/>
                <w:b/>
                <w:color w:val="000000"/>
                <w:sz w:val="22"/>
                <w:szCs w:val="22"/>
              </w:rPr>
            </w:pPr>
            <w:r w:rsidRPr="00083025">
              <w:rPr>
                <w:rFonts w:ascii="Times New Roman" w:eastAsia="Times New Roman" w:hAnsi="Times New Roman" w:cs="Times New Roman"/>
                <w:b/>
                <w:color w:val="000000"/>
                <w:sz w:val="22"/>
                <w:szCs w:val="22"/>
              </w:rPr>
              <w:t>Low Income countries</w:t>
            </w:r>
          </w:p>
        </w:tc>
        <w:tc>
          <w:tcPr>
            <w:tcW w:w="269" w:type="dxa"/>
            <w:tcBorders>
              <w:top w:val="nil"/>
              <w:left w:val="nil"/>
              <w:bottom w:val="single" w:sz="8" w:space="0" w:color="auto"/>
              <w:right w:val="nil"/>
            </w:tcBorders>
            <w:shd w:val="clear" w:color="auto" w:fill="auto"/>
            <w:noWrap/>
            <w:vAlign w:val="bottom"/>
            <w:hideMark/>
          </w:tcPr>
          <w:p w14:paraId="05E40B38" w14:textId="77777777" w:rsidR="007333AE" w:rsidRPr="00083025" w:rsidRDefault="007333AE" w:rsidP="00825B79">
            <w:pPr>
              <w:spacing w:after="0" w:line="240" w:lineRule="auto"/>
              <w:rPr>
                <w:rFonts w:ascii="Calibri" w:eastAsia="Times New Roman" w:hAnsi="Calibri" w:cs="Calibri"/>
                <w:color w:val="000000"/>
                <w:sz w:val="22"/>
                <w:szCs w:val="22"/>
              </w:rPr>
            </w:pPr>
            <w:r w:rsidRPr="00083025">
              <w:rPr>
                <w:rFonts w:ascii="Calibri" w:eastAsia="Times New Roman" w:hAnsi="Calibri" w:cs="Calibri"/>
                <w:color w:val="000000"/>
                <w:sz w:val="22"/>
                <w:szCs w:val="22"/>
              </w:rPr>
              <w:t> </w:t>
            </w:r>
          </w:p>
        </w:tc>
        <w:tc>
          <w:tcPr>
            <w:tcW w:w="1071" w:type="dxa"/>
            <w:tcBorders>
              <w:top w:val="nil"/>
              <w:left w:val="nil"/>
              <w:bottom w:val="single" w:sz="8" w:space="0" w:color="auto"/>
              <w:right w:val="nil"/>
            </w:tcBorders>
            <w:shd w:val="clear" w:color="auto" w:fill="auto"/>
            <w:noWrap/>
            <w:vAlign w:val="center"/>
          </w:tcPr>
          <w:p w14:paraId="188F2489" w14:textId="77777777" w:rsidR="007333AE" w:rsidRPr="00083025" w:rsidRDefault="007333AE" w:rsidP="00825B79">
            <w:pPr>
              <w:spacing w:after="0" w:line="240" w:lineRule="auto"/>
              <w:jc w:val="center"/>
              <w:rPr>
                <w:rFonts w:ascii="Times New Roman" w:eastAsia="Times New Roman" w:hAnsi="Times New Roman" w:cs="Times New Roman"/>
                <w:color w:val="000000"/>
                <w:sz w:val="22"/>
                <w:szCs w:val="22"/>
              </w:rPr>
            </w:pPr>
            <w:r w:rsidRPr="00083025">
              <w:rPr>
                <w:rFonts w:ascii="Times New Roman" w:eastAsia="Times New Roman" w:hAnsi="Times New Roman" w:cs="Times New Roman"/>
                <w:color w:val="000000"/>
                <w:sz w:val="22"/>
                <w:szCs w:val="22"/>
              </w:rPr>
              <w:t>12.7</w:t>
            </w:r>
          </w:p>
        </w:tc>
        <w:tc>
          <w:tcPr>
            <w:tcW w:w="1071" w:type="dxa"/>
            <w:tcBorders>
              <w:top w:val="nil"/>
              <w:left w:val="nil"/>
              <w:bottom w:val="single" w:sz="8" w:space="0" w:color="auto"/>
              <w:right w:val="nil"/>
            </w:tcBorders>
            <w:shd w:val="clear" w:color="auto" w:fill="auto"/>
            <w:noWrap/>
            <w:vAlign w:val="center"/>
          </w:tcPr>
          <w:p w14:paraId="4679504B" w14:textId="77777777" w:rsidR="007333AE" w:rsidRPr="00083025" w:rsidRDefault="007333AE" w:rsidP="00825B79">
            <w:pPr>
              <w:spacing w:after="0" w:line="240" w:lineRule="auto"/>
              <w:jc w:val="center"/>
              <w:rPr>
                <w:rFonts w:ascii="Times New Roman" w:eastAsia="Times New Roman" w:hAnsi="Times New Roman" w:cs="Times New Roman"/>
                <w:color w:val="000000"/>
                <w:sz w:val="22"/>
                <w:szCs w:val="22"/>
              </w:rPr>
            </w:pPr>
            <w:r w:rsidRPr="00083025">
              <w:rPr>
                <w:rFonts w:ascii="Times New Roman" w:eastAsia="Times New Roman" w:hAnsi="Times New Roman" w:cs="Times New Roman"/>
                <w:color w:val="000000"/>
                <w:sz w:val="22"/>
                <w:szCs w:val="22"/>
              </w:rPr>
              <w:t>27.8</w:t>
            </w:r>
          </w:p>
        </w:tc>
        <w:tc>
          <w:tcPr>
            <w:tcW w:w="1083" w:type="dxa"/>
            <w:tcBorders>
              <w:top w:val="nil"/>
              <w:left w:val="nil"/>
              <w:bottom w:val="single" w:sz="8" w:space="0" w:color="auto"/>
              <w:right w:val="single" w:sz="8" w:space="0" w:color="auto"/>
            </w:tcBorders>
            <w:shd w:val="clear" w:color="auto" w:fill="auto"/>
            <w:noWrap/>
            <w:vAlign w:val="center"/>
          </w:tcPr>
          <w:p w14:paraId="370A33C0" w14:textId="77777777" w:rsidR="007333AE" w:rsidRPr="00083025" w:rsidRDefault="007333AE" w:rsidP="00825B79">
            <w:pPr>
              <w:spacing w:after="0" w:line="240" w:lineRule="auto"/>
              <w:jc w:val="center"/>
              <w:rPr>
                <w:rFonts w:ascii="Times New Roman" w:eastAsia="Times New Roman" w:hAnsi="Times New Roman" w:cs="Times New Roman"/>
                <w:color w:val="000000"/>
                <w:sz w:val="22"/>
                <w:szCs w:val="22"/>
              </w:rPr>
            </w:pPr>
            <w:r w:rsidRPr="00083025">
              <w:rPr>
                <w:rFonts w:ascii="Times New Roman" w:eastAsia="Times New Roman" w:hAnsi="Times New Roman" w:cs="Times New Roman"/>
                <w:color w:val="000000"/>
                <w:sz w:val="22"/>
                <w:szCs w:val="22"/>
              </w:rPr>
              <w:t>40.5</w:t>
            </w:r>
          </w:p>
        </w:tc>
      </w:tr>
      <w:tr w:rsidR="007333AE" w:rsidRPr="00640972" w14:paraId="446C214C" w14:textId="77777777" w:rsidTr="00083025">
        <w:trPr>
          <w:trHeight w:val="20"/>
          <w:jc w:val="center"/>
        </w:trPr>
        <w:tc>
          <w:tcPr>
            <w:tcW w:w="6500" w:type="dxa"/>
            <w:gridSpan w:val="5"/>
            <w:tcBorders>
              <w:top w:val="nil"/>
              <w:left w:val="single" w:sz="8" w:space="0" w:color="auto"/>
              <w:bottom w:val="nil"/>
              <w:right w:val="single" w:sz="8" w:space="0" w:color="000000"/>
            </w:tcBorders>
            <w:shd w:val="clear" w:color="auto" w:fill="auto"/>
            <w:vAlign w:val="center"/>
            <w:hideMark/>
          </w:tcPr>
          <w:p w14:paraId="6F8E62AB" w14:textId="77777777" w:rsidR="007333AE" w:rsidRPr="00640972" w:rsidRDefault="007333AE" w:rsidP="00825B79">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w:t>
            </w:r>
            <w:r w:rsidRPr="00640972">
              <w:rPr>
                <w:rFonts w:ascii="Times New Roman" w:eastAsia="Times New Roman" w:hAnsi="Times New Roman" w:cs="Times New Roman"/>
                <w:color w:val="000000"/>
                <w:sz w:val="18"/>
                <w:szCs w:val="18"/>
              </w:rPr>
              <w:t>he data for Bangladesh is for the FY2016-17</w:t>
            </w:r>
          </w:p>
        </w:tc>
      </w:tr>
      <w:tr w:rsidR="007333AE" w:rsidRPr="00640972" w14:paraId="38EF576F" w14:textId="77777777" w:rsidTr="00083025">
        <w:trPr>
          <w:trHeight w:val="20"/>
          <w:jc w:val="center"/>
        </w:trPr>
        <w:tc>
          <w:tcPr>
            <w:tcW w:w="6500" w:type="dxa"/>
            <w:gridSpan w:val="5"/>
            <w:tcBorders>
              <w:top w:val="nil"/>
              <w:left w:val="single" w:sz="8" w:space="0" w:color="auto"/>
              <w:bottom w:val="nil"/>
              <w:right w:val="single" w:sz="8" w:space="0" w:color="000000"/>
            </w:tcBorders>
            <w:shd w:val="clear" w:color="auto" w:fill="auto"/>
            <w:vAlign w:val="center"/>
            <w:hideMark/>
          </w:tcPr>
          <w:p w14:paraId="03463F19" w14:textId="77777777" w:rsidR="007333AE" w:rsidRPr="00640972" w:rsidRDefault="007333AE" w:rsidP="00825B79">
            <w:pPr>
              <w:spacing w:after="0" w:line="240" w:lineRule="auto"/>
              <w:rPr>
                <w:rFonts w:ascii="Times New Roman" w:eastAsia="Times New Roman" w:hAnsi="Times New Roman" w:cs="Times New Roman"/>
                <w:color w:val="000000"/>
                <w:sz w:val="18"/>
                <w:szCs w:val="18"/>
              </w:rPr>
            </w:pPr>
            <w:r w:rsidRPr="00640972">
              <w:rPr>
                <w:rFonts w:ascii="Times New Roman" w:eastAsia="Times New Roman" w:hAnsi="Times New Roman" w:cs="Times New Roman"/>
                <w:color w:val="000000"/>
                <w:sz w:val="18"/>
                <w:szCs w:val="18"/>
              </w:rPr>
              <w:t>**Timor-Leste has been excluded due to unavailability of data</w:t>
            </w:r>
          </w:p>
        </w:tc>
      </w:tr>
      <w:tr w:rsidR="007333AE" w:rsidRPr="00640972" w14:paraId="217ABB6C" w14:textId="77777777" w:rsidTr="00083025">
        <w:trPr>
          <w:trHeight w:val="20"/>
          <w:jc w:val="center"/>
        </w:trPr>
        <w:tc>
          <w:tcPr>
            <w:tcW w:w="6500" w:type="dxa"/>
            <w:gridSpan w:val="5"/>
            <w:tcBorders>
              <w:top w:val="nil"/>
              <w:left w:val="single" w:sz="8" w:space="0" w:color="auto"/>
              <w:bottom w:val="nil"/>
              <w:right w:val="single" w:sz="8" w:space="0" w:color="000000"/>
            </w:tcBorders>
            <w:shd w:val="clear" w:color="auto" w:fill="auto"/>
            <w:vAlign w:val="center"/>
            <w:hideMark/>
          </w:tcPr>
          <w:p w14:paraId="50F9FD64" w14:textId="77777777" w:rsidR="007333AE" w:rsidRPr="00640972" w:rsidRDefault="007333AE" w:rsidP="00825B79">
            <w:pPr>
              <w:spacing w:after="0" w:line="240" w:lineRule="auto"/>
              <w:rPr>
                <w:rFonts w:ascii="Times New Roman" w:eastAsia="Times New Roman" w:hAnsi="Times New Roman" w:cs="Times New Roman"/>
                <w:color w:val="000000"/>
                <w:sz w:val="18"/>
                <w:szCs w:val="18"/>
              </w:rPr>
            </w:pPr>
            <w:r w:rsidRPr="00640972">
              <w:rPr>
                <w:rFonts w:ascii="Times New Roman" w:eastAsia="Times New Roman" w:hAnsi="Times New Roman" w:cs="Times New Roman"/>
                <w:color w:val="000000"/>
                <w:sz w:val="18"/>
                <w:szCs w:val="18"/>
              </w:rPr>
              <w:t>***This group consists of China, India, Indonesia, Malaysia, Thailand and Vietnam</w:t>
            </w:r>
          </w:p>
        </w:tc>
      </w:tr>
      <w:tr w:rsidR="007333AE" w:rsidRPr="00640972" w14:paraId="2CABB61B" w14:textId="77777777" w:rsidTr="00825B79">
        <w:trPr>
          <w:trHeight w:val="80"/>
          <w:jc w:val="center"/>
        </w:trPr>
        <w:tc>
          <w:tcPr>
            <w:tcW w:w="6500" w:type="dxa"/>
            <w:gridSpan w:val="5"/>
            <w:tcBorders>
              <w:top w:val="nil"/>
              <w:left w:val="single" w:sz="8" w:space="0" w:color="auto"/>
              <w:bottom w:val="single" w:sz="8" w:space="0" w:color="auto"/>
              <w:right w:val="single" w:sz="8" w:space="0" w:color="000000"/>
            </w:tcBorders>
            <w:shd w:val="clear" w:color="auto" w:fill="auto"/>
            <w:vAlign w:val="center"/>
            <w:hideMark/>
          </w:tcPr>
          <w:p w14:paraId="7C74ECC2" w14:textId="77777777" w:rsidR="007333AE" w:rsidRPr="00640972" w:rsidRDefault="007333AE" w:rsidP="00825B79">
            <w:pPr>
              <w:spacing w:after="0" w:line="240" w:lineRule="auto"/>
              <w:rPr>
                <w:rFonts w:ascii="Times New Roman" w:eastAsia="Times New Roman" w:hAnsi="Times New Roman" w:cs="Times New Roman"/>
                <w:b/>
                <w:i/>
                <w:iCs/>
                <w:color w:val="000000"/>
                <w:sz w:val="18"/>
                <w:szCs w:val="18"/>
              </w:rPr>
            </w:pPr>
            <w:r w:rsidRPr="00640972">
              <w:rPr>
                <w:rFonts w:ascii="Times New Roman" w:eastAsia="Times New Roman" w:hAnsi="Times New Roman" w:cs="Times New Roman"/>
                <w:b/>
                <w:i/>
                <w:iCs/>
                <w:color w:val="000000"/>
                <w:sz w:val="18"/>
                <w:szCs w:val="18"/>
              </w:rPr>
              <w:t xml:space="preserve">Source: WTO, WDI database of World Bank </w:t>
            </w:r>
          </w:p>
        </w:tc>
      </w:tr>
    </w:tbl>
    <w:p w14:paraId="21EF7469" w14:textId="77777777" w:rsidR="00083025" w:rsidRDefault="00083025" w:rsidP="00083025">
      <w:pPr>
        <w:pStyle w:val="NormalWeb"/>
        <w:spacing w:before="0" w:beforeAutospacing="0" w:after="0" w:afterAutospacing="0" w:line="276" w:lineRule="auto"/>
        <w:jc w:val="both"/>
        <w:rPr>
          <w:bCs/>
        </w:rPr>
      </w:pPr>
    </w:p>
    <w:p w14:paraId="05EF28D4" w14:textId="2BD82285" w:rsidR="00350DF0" w:rsidRPr="0060738E" w:rsidRDefault="00350DF0" w:rsidP="0060738E">
      <w:pPr>
        <w:pStyle w:val="NormalWeb"/>
        <w:spacing w:before="0" w:beforeAutospacing="0" w:after="240" w:afterAutospacing="0" w:line="276" w:lineRule="auto"/>
        <w:jc w:val="both"/>
        <w:rPr>
          <w:bCs/>
        </w:rPr>
      </w:pPr>
      <w:r w:rsidRPr="0060738E">
        <w:rPr>
          <w:bCs/>
        </w:rPr>
        <w:t xml:space="preserve">The notable feature in this evolving trading pattern is the emergence of readymade garment exports and RMG industry as the leading sector of the economy. </w:t>
      </w:r>
      <w:r w:rsidR="0075744C" w:rsidRPr="0060738E">
        <w:rPr>
          <w:bCs/>
        </w:rPr>
        <w:t>By 2015, Bangladesh became the second largest single-country exporter of RMG in the world, after China. But t</w:t>
      </w:r>
      <w:r w:rsidRPr="0060738E">
        <w:rPr>
          <w:bCs/>
        </w:rPr>
        <w:t xml:space="preserve">he fact that RMG exports </w:t>
      </w:r>
      <w:r w:rsidR="0075744C" w:rsidRPr="0060738E">
        <w:rPr>
          <w:bCs/>
        </w:rPr>
        <w:t>have been</w:t>
      </w:r>
      <w:r w:rsidRPr="0060738E">
        <w:rPr>
          <w:bCs/>
        </w:rPr>
        <w:t xml:space="preserve"> grow</w:t>
      </w:r>
      <w:r w:rsidR="0075744C" w:rsidRPr="0060738E">
        <w:rPr>
          <w:bCs/>
        </w:rPr>
        <w:t>ing</w:t>
      </w:r>
      <w:r w:rsidRPr="0060738E">
        <w:rPr>
          <w:bCs/>
        </w:rPr>
        <w:t xml:space="preserve"> at an average annual rate </w:t>
      </w:r>
      <w:r w:rsidR="0075744C" w:rsidRPr="0060738E">
        <w:rPr>
          <w:bCs/>
        </w:rPr>
        <w:t xml:space="preserve">faster than that of </w:t>
      </w:r>
      <w:r w:rsidRPr="0060738E">
        <w:rPr>
          <w:bCs/>
        </w:rPr>
        <w:t xml:space="preserve">non-RMG exports (Figure </w:t>
      </w:r>
      <w:r w:rsidR="00C544C8" w:rsidRPr="0060738E">
        <w:rPr>
          <w:bCs/>
        </w:rPr>
        <w:t>5</w:t>
      </w:r>
      <w:r w:rsidRPr="0060738E">
        <w:rPr>
          <w:bCs/>
        </w:rPr>
        <w:t xml:space="preserve">), </w:t>
      </w:r>
      <w:r w:rsidR="0075744C" w:rsidRPr="0060738E">
        <w:rPr>
          <w:bCs/>
        </w:rPr>
        <w:t xml:space="preserve">leads to a rising </w:t>
      </w:r>
      <w:r w:rsidRPr="0060738E">
        <w:rPr>
          <w:bCs/>
        </w:rPr>
        <w:t xml:space="preserve">share of RMG </w:t>
      </w:r>
      <w:r w:rsidR="0075744C" w:rsidRPr="0060738E">
        <w:rPr>
          <w:bCs/>
        </w:rPr>
        <w:t xml:space="preserve">in the export basket, </w:t>
      </w:r>
      <w:r w:rsidR="001E756D" w:rsidRPr="0060738E">
        <w:rPr>
          <w:bCs/>
        </w:rPr>
        <w:t xml:space="preserve">resulting in </w:t>
      </w:r>
      <w:r w:rsidRPr="0060738E">
        <w:rPr>
          <w:bCs/>
        </w:rPr>
        <w:t>further concentration of exports</w:t>
      </w:r>
      <w:r w:rsidR="00CC1FA6" w:rsidRPr="0060738E">
        <w:rPr>
          <w:bCs/>
        </w:rPr>
        <w:t xml:space="preserve"> (Fig.</w:t>
      </w:r>
      <w:r w:rsidR="00F93CC5" w:rsidRPr="0060738E">
        <w:rPr>
          <w:bCs/>
        </w:rPr>
        <w:t>6</w:t>
      </w:r>
      <w:r w:rsidR="00CC1FA6" w:rsidRPr="0060738E">
        <w:rPr>
          <w:bCs/>
        </w:rPr>
        <w:t>X)</w:t>
      </w:r>
      <w:r w:rsidRPr="0060738E">
        <w:rPr>
          <w:bCs/>
        </w:rPr>
        <w:t xml:space="preserve">. </w:t>
      </w:r>
      <w:r w:rsidR="0075744C" w:rsidRPr="0060738E">
        <w:rPr>
          <w:bCs/>
        </w:rPr>
        <w:t xml:space="preserve">Export diversification thus becomes </w:t>
      </w:r>
      <w:r w:rsidR="004A287A" w:rsidRPr="0060738E">
        <w:rPr>
          <w:bCs/>
        </w:rPr>
        <w:t xml:space="preserve">a challenge that must be addressed, (a) because over-reliance on a single export commodity makes the economy vulnerable to external shocks, and (b) a diverse export basket is a sine qua non of stable export revenue and its growth. </w:t>
      </w:r>
    </w:p>
    <w:p w14:paraId="2451BFDD" w14:textId="305BED0C" w:rsidR="00350DF0" w:rsidRDefault="00350DF0" w:rsidP="00083025">
      <w:pPr>
        <w:pStyle w:val="Heading5"/>
      </w:pPr>
      <w:bookmarkStart w:id="32" w:name="_Toc404442116"/>
      <w:bookmarkStart w:id="33" w:name="_Toc496536539"/>
      <w:r w:rsidRPr="00083025">
        <w:lastRenderedPageBreak/>
        <w:t xml:space="preserve">Figure </w:t>
      </w:r>
      <w:r w:rsidR="00C544C8" w:rsidRPr="00083025">
        <w:t>5</w:t>
      </w:r>
      <w:r w:rsidRPr="00083025">
        <w:t>: Growth of RMG exports exceeds that of Non-RMG exports</w:t>
      </w:r>
      <w:bookmarkEnd w:id="32"/>
      <w:bookmarkEnd w:id="33"/>
    </w:p>
    <w:p w14:paraId="6EB3154C" w14:textId="5C8B66CC" w:rsidR="00083025" w:rsidRPr="00083025" w:rsidRDefault="00083025" w:rsidP="00083025">
      <w:pPr>
        <w:jc w:val="center"/>
      </w:pPr>
      <w:r>
        <w:rPr>
          <w:noProof/>
        </w:rPr>
        <w:drawing>
          <wp:inline distT="0" distB="0" distL="0" distR="0" wp14:anchorId="6AF38D34" wp14:editId="6AC3B436">
            <wp:extent cx="4572000" cy="2160000"/>
            <wp:effectExtent l="0" t="0" r="0" b="1206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F3A404C" w14:textId="77777777" w:rsidR="009A7451" w:rsidRPr="0075744C" w:rsidRDefault="009A7451" w:rsidP="00083025">
      <w:pPr>
        <w:spacing w:after="240"/>
        <w:ind w:left="1080" w:firstLine="360"/>
        <w:jc w:val="both"/>
        <w:rPr>
          <w:rFonts w:ascii="Times New Roman" w:eastAsia="Times New Roman" w:hAnsi="Times New Roman" w:cs="Times New Roman"/>
          <w:b/>
          <w:i/>
          <w:color w:val="000000"/>
        </w:rPr>
      </w:pPr>
      <w:r w:rsidRPr="0075744C">
        <w:rPr>
          <w:rFonts w:ascii="Times New Roman" w:eastAsia="Times New Roman" w:hAnsi="Times New Roman" w:cs="Times New Roman"/>
          <w:b/>
          <w:i/>
          <w:color w:val="000000"/>
        </w:rPr>
        <w:t>Source: EPB</w:t>
      </w:r>
    </w:p>
    <w:p w14:paraId="4A0F72A3" w14:textId="11880F0A" w:rsidR="00C544C8" w:rsidRPr="00083025" w:rsidRDefault="00534F6F" w:rsidP="00083025">
      <w:pPr>
        <w:pStyle w:val="Heading5"/>
      </w:pPr>
      <w:bookmarkStart w:id="34" w:name="_Toc404442117"/>
      <w:bookmarkStart w:id="35" w:name="_Toc318796422"/>
      <w:bookmarkStart w:id="36" w:name="_Toc496536540"/>
      <w:r w:rsidRPr="00083025">
        <w:t xml:space="preserve">Figure </w:t>
      </w:r>
      <w:r w:rsidR="00C544C8" w:rsidRPr="00083025">
        <w:t>6</w:t>
      </w:r>
      <w:r w:rsidRPr="00083025">
        <w:t xml:space="preserve">: Relative Export Concentration </w:t>
      </w:r>
      <w:bookmarkEnd w:id="34"/>
      <w:bookmarkEnd w:id="35"/>
      <w:r w:rsidR="00C544C8" w:rsidRPr="00083025">
        <w:t>2015</w:t>
      </w:r>
      <w:bookmarkEnd w:id="36"/>
    </w:p>
    <w:p w14:paraId="0FE15A8C" w14:textId="4B14E771" w:rsidR="00083025" w:rsidRPr="00534F6F" w:rsidRDefault="00083025" w:rsidP="00534F6F">
      <w:pPr>
        <w:spacing w:after="0"/>
        <w:jc w:val="center"/>
        <w:rPr>
          <w:rFonts w:ascii="Times New Roman" w:hAnsi="Times New Roman" w:cs="Times New Roman"/>
          <w:b/>
        </w:rPr>
      </w:pPr>
      <w:r>
        <w:rPr>
          <w:noProof/>
        </w:rPr>
        <w:drawing>
          <wp:inline distT="0" distB="0" distL="0" distR="0" wp14:anchorId="7BFFA8CC" wp14:editId="5B17071C">
            <wp:extent cx="4572000" cy="1800000"/>
            <wp:effectExtent l="0" t="0" r="0" b="1016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10DE035" w14:textId="550B0A6B" w:rsidR="00534F6F" w:rsidRPr="00742F24" w:rsidRDefault="00C544C8" w:rsidP="00742F24">
      <w:pPr>
        <w:autoSpaceDE w:val="0"/>
        <w:autoSpaceDN w:val="0"/>
        <w:adjustRightInd w:val="0"/>
        <w:rPr>
          <w:rFonts w:ascii="Times New Roman" w:hAnsi="Times New Roman" w:cs="Times New Roman"/>
          <w:b/>
          <w:i/>
        </w:rPr>
      </w:pPr>
      <w:r>
        <w:rPr>
          <w:rFonts w:ascii="Times New Roman" w:hAnsi="Times New Roman" w:cs="Times New Roman"/>
          <w:b/>
          <w:i/>
        </w:rPr>
        <w:t xml:space="preserve">                      </w:t>
      </w:r>
      <w:r w:rsidRPr="00742F24">
        <w:rPr>
          <w:rFonts w:ascii="Times New Roman" w:hAnsi="Times New Roman" w:cs="Times New Roman"/>
          <w:b/>
          <w:i/>
        </w:rPr>
        <w:t xml:space="preserve">Source: </w:t>
      </w:r>
      <w:r w:rsidR="00F93CC5">
        <w:rPr>
          <w:rFonts w:ascii="Times New Roman" w:hAnsi="Times New Roman" w:cs="Times New Roman"/>
          <w:b/>
          <w:i/>
        </w:rPr>
        <w:t>WITS database, World Bank</w:t>
      </w:r>
    </w:p>
    <w:p w14:paraId="4072F4BE" w14:textId="42A2FC9B" w:rsidR="00534F6F" w:rsidRPr="0060738E" w:rsidRDefault="00534F6F" w:rsidP="0060738E">
      <w:pPr>
        <w:pStyle w:val="NormalWeb"/>
        <w:spacing w:before="0" w:beforeAutospacing="0" w:after="240" w:afterAutospacing="0" w:line="276" w:lineRule="auto"/>
        <w:jc w:val="both"/>
        <w:rPr>
          <w:bCs/>
        </w:rPr>
      </w:pPr>
      <w:r w:rsidRPr="0060738E">
        <w:rPr>
          <w:bCs/>
        </w:rPr>
        <w:t xml:space="preserve">Figure </w:t>
      </w:r>
      <w:r w:rsidR="00F93CC5" w:rsidRPr="0060738E">
        <w:rPr>
          <w:bCs/>
        </w:rPr>
        <w:t xml:space="preserve">6 </w:t>
      </w:r>
      <w:r w:rsidRPr="0060738E">
        <w:rPr>
          <w:bCs/>
        </w:rPr>
        <w:t xml:space="preserve">shows the relative position of Bangladesh and its selected comparator countries (China, India, Indonesia, Thailand, Malaysia, Sri Lanka) in terms of export concentration measured by </w:t>
      </w:r>
      <w:r w:rsidR="0060738E" w:rsidRPr="0060738E">
        <w:rPr>
          <w:bCs/>
        </w:rPr>
        <w:t>ECR (</w:t>
      </w:r>
      <w:r w:rsidR="00A13D3C" w:rsidRPr="0060738E">
        <w:rPr>
          <w:bCs/>
        </w:rPr>
        <w:t>15)</w:t>
      </w:r>
      <w:r w:rsidR="00A13D3C" w:rsidRPr="0060738E">
        <w:rPr>
          <w:bCs/>
          <w:vertAlign w:val="superscript"/>
        </w:rPr>
        <w:footnoteReference w:id="2"/>
      </w:r>
      <w:r w:rsidRPr="0060738E">
        <w:rPr>
          <w:bCs/>
        </w:rPr>
        <w:t xml:space="preserve">. Bangladesh has the highest export concentration of </w:t>
      </w:r>
      <w:r w:rsidR="00A13D3C" w:rsidRPr="0060738E">
        <w:rPr>
          <w:bCs/>
        </w:rPr>
        <w:t>0.82</w:t>
      </w:r>
      <w:r w:rsidRPr="0060738E">
        <w:rPr>
          <w:bCs/>
        </w:rPr>
        <w:t>, nearly twice the concentration level of</w:t>
      </w:r>
      <w:r w:rsidR="00A13D3C" w:rsidRPr="0060738E">
        <w:rPr>
          <w:bCs/>
        </w:rPr>
        <w:t xml:space="preserve"> Thailand</w:t>
      </w:r>
      <w:r w:rsidRPr="0060738E">
        <w:rPr>
          <w:bCs/>
        </w:rPr>
        <w:t xml:space="preserve">. What is surprising is that Vietnam, a strong competitor of Bangladesh in the RMG sector, has a fairly diversified export basket, </w:t>
      </w:r>
      <w:r w:rsidR="00A13D3C" w:rsidRPr="0060738E">
        <w:rPr>
          <w:bCs/>
        </w:rPr>
        <w:t>similar to that of</w:t>
      </w:r>
      <w:r w:rsidRPr="0060738E">
        <w:rPr>
          <w:bCs/>
        </w:rPr>
        <w:t xml:space="preserve"> India</w:t>
      </w:r>
      <w:r w:rsidR="00A13D3C" w:rsidRPr="0060738E">
        <w:rPr>
          <w:bCs/>
        </w:rPr>
        <w:t>.</w:t>
      </w:r>
      <w:r w:rsidRPr="0060738E">
        <w:rPr>
          <w:bCs/>
        </w:rPr>
        <w:t>. Apart from footwear and RMG, it exports a diverse group of manufactures from electronic and electrical goods and to printing machineries, agro-based products such as canned and frozen seafood, and resource-based products like petroleum. It is no surprise that India ha</w:t>
      </w:r>
      <w:r w:rsidR="00A13D3C" w:rsidRPr="0060738E">
        <w:rPr>
          <w:bCs/>
        </w:rPr>
        <w:t>s</w:t>
      </w:r>
      <w:r w:rsidRPr="0060738E">
        <w:rPr>
          <w:bCs/>
        </w:rPr>
        <w:t xml:space="preserve"> </w:t>
      </w:r>
      <w:r w:rsidR="00A13D3C" w:rsidRPr="0060738E">
        <w:rPr>
          <w:bCs/>
        </w:rPr>
        <w:t xml:space="preserve">a </w:t>
      </w:r>
      <w:r w:rsidRPr="0060738E">
        <w:rPr>
          <w:bCs/>
        </w:rPr>
        <w:t>well-diversified export basket as</w:t>
      </w:r>
      <w:r w:rsidR="00A13D3C" w:rsidRPr="0060738E">
        <w:rPr>
          <w:bCs/>
        </w:rPr>
        <w:t xml:space="preserve"> its</w:t>
      </w:r>
      <w:r w:rsidRPr="0060738E">
        <w:rPr>
          <w:bCs/>
        </w:rPr>
        <w:t xml:space="preserve"> production structure is similarly diversified. There is a lot of depth in each of the product categories, like final consumer goods (durable and non-durable), basic industries producing capital goods and machineries, a large intermediate goods industry supplying to domestic and world markets, and an assortment of primary and agricultural products that are basic raw materials for manufactures and agro-based industries. The fact that Sri Lanka also has a fairly diversified export </w:t>
      </w:r>
      <w:r w:rsidRPr="0060738E">
        <w:rPr>
          <w:bCs/>
        </w:rPr>
        <w:lastRenderedPageBreak/>
        <w:t>basket goes to show that small open economies need not rely overwhelmingly on any one product groups for export income.</w:t>
      </w:r>
    </w:p>
    <w:p w14:paraId="126C3FF9" w14:textId="2894E11E" w:rsidR="00CC1FA6" w:rsidRDefault="00562120" w:rsidP="002056F2">
      <w:pPr>
        <w:pStyle w:val="Heading5"/>
        <w:rPr>
          <w:noProof/>
        </w:rPr>
      </w:pPr>
      <w:bookmarkStart w:id="37" w:name="_Toc496536541"/>
      <w:r w:rsidRPr="002056F2">
        <w:t xml:space="preserve">Figure </w:t>
      </w:r>
      <w:r w:rsidR="00F93CC5" w:rsidRPr="002056F2">
        <w:t>7</w:t>
      </w:r>
      <w:r w:rsidRPr="002056F2">
        <w:t>:</w:t>
      </w:r>
      <w:r w:rsidR="00F93CC5" w:rsidRPr="002056F2">
        <w:t xml:space="preserve"> Large number of Export Products</w:t>
      </w:r>
      <w:bookmarkEnd w:id="37"/>
    </w:p>
    <w:p w14:paraId="728D082C" w14:textId="3DBF7B76" w:rsidR="002056F2" w:rsidRPr="002056F2" w:rsidRDefault="002056F2" w:rsidP="002056F2">
      <w:pPr>
        <w:spacing w:after="0"/>
        <w:jc w:val="center"/>
      </w:pPr>
      <w:r w:rsidRPr="00D660DF">
        <w:rPr>
          <w:noProof/>
        </w:rPr>
        <w:drawing>
          <wp:inline distT="0" distB="0" distL="0" distR="0" wp14:anchorId="75F03D19" wp14:editId="6F065352">
            <wp:extent cx="4324350" cy="1800000"/>
            <wp:effectExtent l="0" t="0" r="0" b="1016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E007A28" w14:textId="4A4457BD" w:rsidR="0054160B" w:rsidRPr="0054160B" w:rsidRDefault="0054160B" w:rsidP="002056F2">
      <w:pPr>
        <w:spacing w:after="240"/>
        <w:ind w:left="1080" w:firstLine="360"/>
        <w:rPr>
          <w:rFonts w:ascii="Times New Roman" w:eastAsia="Times New Roman" w:hAnsi="Times New Roman" w:cs="Times New Roman"/>
          <w:b/>
          <w:i/>
          <w:color w:val="000000"/>
        </w:rPr>
      </w:pPr>
      <w:r w:rsidRPr="0054160B">
        <w:rPr>
          <w:rFonts w:ascii="Times New Roman" w:eastAsia="Times New Roman" w:hAnsi="Times New Roman" w:cs="Times New Roman"/>
          <w:b/>
          <w:i/>
          <w:color w:val="000000"/>
        </w:rPr>
        <w:t>Source: A</w:t>
      </w:r>
      <w:r w:rsidR="002D1CD4">
        <w:rPr>
          <w:rFonts w:ascii="Times New Roman" w:eastAsia="Times New Roman" w:hAnsi="Times New Roman" w:cs="Times New Roman"/>
          <w:b/>
          <w:i/>
          <w:color w:val="000000"/>
        </w:rPr>
        <w:t>SYCUDA</w:t>
      </w:r>
      <w:r w:rsidRPr="0054160B">
        <w:rPr>
          <w:rFonts w:ascii="Times New Roman" w:eastAsia="Times New Roman" w:hAnsi="Times New Roman" w:cs="Times New Roman"/>
          <w:b/>
          <w:i/>
          <w:color w:val="000000"/>
        </w:rPr>
        <w:t xml:space="preserve"> database, NBR</w:t>
      </w:r>
    </w:p>
    <w:p w14:paraId="28C19A99" w14:textId="5726A7CD" w:rsidR="00737E1D" w:rsidRPr="0060738E" w:rsidRDefault="00737E1D" w:rsidP="0060738E">
      <w:pPr>
        <w:pStyle w:val="NormalWeb"/>
        <w:spacing w:before="0" w:beforeAutospacing="0" w:after="240" w:afterAutospacing="0" w:line="276" w:lineRule="auto"/>
        <w:jc w:val="both"/>
        <w:rPr>
          <w:bCs/>
        </w:rPr>
      </w:pPr>
      <w:r w:rsidRPr="0060738E">
        <w:rPr>
          <w:b/>
          <w:bCs/>
          <w:i/>
        </w:rPr>
        <w:t>The challenge of export expansion and diversification.</w:t>
      </w:r>
      <w:r w:rsidRPr="0060738E">
        <w:rPr>
          <w:bCs/>
        </w:rPr>
        <w:t xml:space="preserve"> </w:t>
      </w:r>
      <w:r w:rsidR="00350DF0" w:rsidRPr="0060738E">
        <w:rPr>
          <w:bCs/>
        </w:rPr>
        <w:t xml:space="preserve">How has Bangladesh faired in the quest for achieving a </w:t>
      </w:r>
      <w:r w:rsidRPr="0060738E">
        <w:rPr>
          <w:bCs/>
        </w:rPr>
        <w:t xml:space="preserve">superior export performance with a </w:t>
      </w:r>
      <w:r w:rsidR="00350DF0" w:rsidRPr="0060738E">
        <w:rPr>
          <w:bCs/>
        </w:rPr>
        <w:t>diversified export basket that contains more of non-RMG products?</w:t>
      </w:r>
      <w:r w:rsidRPr="0060738E">
        <w:rPr>
          <w:bCs/>
        </w:rPr>
        <w:t xml:space="preserve"> Some are generic to the entire economy or the manufacturing sector, but some factors are specific to the export sector. Some others relate to the challenge of export diversification. </w:t>
      </w:r>
      <w:r w:rsidR="0054160B" w:rsidRPr="0060738E">
        <w:rPr>
          <w:bCs/>
        </w:rPr>
        <w:t>Fig</w:t>
      </w:r>
      <w:r w:rsidR="00980CDF" w:rsidRPr="0060738E">
        <w:rPr>
          <w:bCs/>
        </w:rPr>
        <w:t>ure</w:t>
      </w:r>
      <w:r w:rsidR="0054160B" w:rsidRPr="0060738E">
        <w:rPr>
          <w:bCs/>
        </w:rPr>
        <w:t xml:space="preserve">. </w:t>
      </w:r>
      <w:r w:rsidR="00980CDF" w:rsidRPr="0060738E">
        <w:rPr>
          <w:bCs/>
        </w:rPr>
        <w:t xml:space="preserve">7 </w:t>
      </w:r>
      <w:r w:rsidR="0054160B" w:rsidRPr="0060738E">
        <w:rPr>
          <w:bCs/>
        </w:rPr>
        <w:t xml:space="preserve">shows that Bangladesh exports a large number of products in small quantities (1200 HS-6 products &lt;=$1 million in FY16) without these exports growing into major export items in a diversified export basket. Considerable research has been done on the constraints to exports performance in Bangladesh. </w:t>
      </w:r>
      <w:r w:rsidRPr="0060738E">
        <w:rPr>
          <w:bCs/>
        </w:rPr>
        <w:t>These constraints can broadly be grouped under the rubric of</w:t>
      </w:r>
    </w:p>
    <w:p w14:paraId="2654A425" w14:textId="77777777" w:rsidR="00737E1D" w:rsidRPr="0060738E" w:rsidRDefault="005171C3" w:rsidP="00A42036">
      <w:pPr>
        <w:pStyle w:val="ListParagraph"/>
        <w:numPr>
          <w:ilvl w:val="0"/>
          <w:numId w:val="13"/>
        </w:numPr>
        <w:rPr>
          <w:rFonts w:ascii="Times New Roman" w:hAnsi="Times New Roman" w:cs="Times New Roman"/>
          <w:b/>
          <w:sz w:val="24"/>
        </w:rPr>
      </w:pPr>
      <w:r w:rsidRPr="0060738E">
        <w:rPr>
          <w:rFonts w:ascii="Times New Roman" w:hAnsi="Times New Roman" w:cs="Times New Roman"/>
          <w:b/>
          <w:sz w:val="24"/>
        </w:rPr>
        <w:t xml:space="preserve">Challenges with trade infrastructure, and </w:t>
      </w:r>
    </w:p>
    <w:p w14:paraId="1829DAA3" w14:textId="77777777" w:rsidR="00737E1D" w:rsidRPr="0060738E" w:rsidRDefault="005171C3" w:rsidP="00A42036">
      <w:pPr>
        <w:pStyle w:val="ListParagraph"/>
        <w:numPr>
          <w:ilvl w:val="0"/>
          <w:numId w:val="13"/>
        </w:numPr>
        <w:rPr>
          <w:rFonts w:ascii="Times New Roman" w:hAnsi="Times New Roman" w:cs="Times New Roman"/>
          <w:b/>
          <w:sz w:val="24"/>
        </w:rPr>
      </w:pPr>
      <w:r w:rsidRPr="0060738E">
        <w:rPr>
          <w:rFonts w:ascii="Times New Roman" w:hAnsi="Times New Roman" w:cs="Times New Roman"/>
          <w:b/>
          <w:sz w:val="24"/>
        </w:rPr>
        <w:t>Challenges related to trade policy and the incentive regime</w:t>
      </w:r>
    </w:p>
    <w:p w14:paraId="55B6CE98" w14:textId="77777777" w:rsidR="00D75275" w:rsidRPr="00D75275" w:rsidRDefault="00D75275" w:rsidP="00D75275">
      <w:pPr>
        <w:ind w:left="720"/>
        <w:rPr>
          <w:rFonts w:ascii="Times New Roman" w:hAnsi="Times New Roman" w:cs="Times New Roman"/>
          <w:b/>
          <w:sz w:val="24"/>
        </w:rPr>
      </w:pPr>
    </w:p>
    <w:p w14:paraId="020C4121" w14:textId="5AF3A1D6" w:rsidR="006725FC" w:rsidRPr="00D75275" w:rsidRDefault="005171C3" w:rsidP="00D75275">
      <w:pPr>
        <w:pStyle w:val="ListParagraph"/>
        <w:numPr>
          <w:ilvl w:val="0"/>
          <w:numId w:val="22"/>
        </w:numPr>
        <w:rPr>
          <w:rFonts w:ascii="Times New Roman" w:hAnsi="Times New Roman" w:cs="Times New Roman"/>
          <w:b/>
          <w:sz w:val="24"/>
        </w:rPr>
      </w:pPr>
      <w:r w:rsidRPr="00D75275">
        <w:rPr>
          <w:rFonts w:ascii="Times New Roman" w:hAnsi="Times New Roman" w:cs="Times New Roman"/>
          <w:b/>
          <w:sz w:val="24"/>
        </w:rPr>
        <w:t>Challenges with trade infrastructure</w:t>
      </w:r>
    </w:p>
    <w:p w14:paraId="2B2B3714" w14:textId="77777777" w:rsidR="00C103AE" w:rsidRPr="0060738E" w:rsidRDefault="00C103AE" w:rsidP="0060738E">
      <w:pPr>
        <w:pStyle w:val="NormalWeb"/>
        <w:spacing w:before="0" w:beforeAutospacing="0" w:after="240" w:afterAutospacing="0" w:line="276" w:lineRule="auto"/>
        <w:jc w:val="both"/>
        <w:rPr>
          <w:bCs/>
        </w:rPr>
      </w:pPr>
      <w:r w:rsidRPr="0060738E">
        <w:rPr>
          <w:bCs/>
        </w:rPr>
        <w:t xml:space="preserve">Constraints under trade infrastructure cover factors that affect cost competitiveness, such as technology and labor productivity, enabling environment for trade, the state of trade logistics, ease of doing business, access to finance, and availability of skills. Most of these could be described as supply side constraints behind-the-border, except for those arising from customs administration and port efficiency. </w:t>
      </w:r>
    </w:p>
    <w:p w14:paraId="33ECB490" w14:textId="77777777" w:rsidR="00C103AE" w:rsidRPr="00C103AE" w:rsidRDefault="00C103AE" w:rsidP="00A42036">
      <w:pPr>
        <w:numPr>
          <w:ilvl w:val="0"/>
          <w:numId w:val="7"/>
        </w:numPr>
        <w:spacing w:after="240" w:line="276" w:lineRule="auto"/>
        <w:contextualSpacing/>
        <w:jc w:val="both"/>
        <w:rPr>
          <w:rFonts w:ascii="Times New Roman" w:hAnsi="Times New Roman" w:cs="Times New Roman"/>
          <w:sz w:val="24"/>
          <w:szCs w:val="24"/>
        </w:rPr>
      </w:pPr>
      <w:r w:rsidRPr="00C103AE">
        <w:rPr>
          <w:rFonts w:ascii="Times New Roman" w:hAnsi="Times New Roman" w:cs="Times New Roman"/>
          <w:b/>
          <w:sz w:val="24"/>
          <w:szCs w:val="24"/>
        </w:rPr>
        <w:t>Technology and labor productivity</w:t>
      </w:r>
      <w:r w:rsidRPr="00C103AE">
        <w:rPr>
          <w:rFonts w:ascii="Times New Roman" w:hAnsi="Times New Roman" w:cs="Times New Roman"/>
          <w:sz w:val="24"/>
          <w:szCs w:val="24"/>
        </w:rPr>
        <w:t xml:space="preserve"> are obvious factors that influence cost competitiveness</w:t>
      </w:r>
      <w:r>
        <w:rPr>
          <w:rFonts w:ascii="Times New Roman" w:hAnsi="Times New Roman" w:cs="Times New Roman"/>
          <w:sz w:val="24"/>
          <w:szCs w:val="24"/>
        </w:rPr>
        <w:t xml:space="preserve"> today, and the foreseeable future</w:t>
      </w:r>
      <w:r w:rsidR="002A7ACE">
        <w:rPr>
          <w:rFonts w:ascii="Times New Roman" w:hAnsi="Times New Roman" w:cs="Times New Roman"/>
          <w:sz w:val="24"/>
          <w:szCs w:val="24"/>
        </w:rPr>
        <w:t xml:space="preserve">. </w:t>
      </w:r>
      <w:r w:rsidRPr="00C103AE">
        <w:rPr>
          <w:rFonts w:ascii="Times New Roman" w:hAnsi="Times New Roman" w:cs="Times New Roman"/>
          <w:sz w:val="24"/>
          <w:szCs w:val="24"/>
        </w:rPr>
        <w:t>Bangladesh in general is still weak on technology and its aver</w:t>
      </w:r>
      <w:r>
        <w:rPr>
          <w:rFonts w:ascii="Times New Roman" w:hAnsi="Times New Roman" w:cs="Times New Roman"/>
          <w:sz w:val="24"/>
          <w:szCs w:val="24"/>
        </w:rPr>
        <w:t xml:space="preserve">age labor productivity is low. </w:t>
      </w:r>
      <w:r w:rsidRPr="00C103AE">
        <w:rPr>
          <w:rFonts w:ascii="Times New Roman" w:hAnsi="Times New Roman" w:cs="Times New Roman"/>
          <w:sz w:val="24"/>
          <w:szCs w:val="24"/>
        </w:rPr>
        <w:t>These are two areas where Bangladesh needs to work much harder to improve its export competitiveness</w:t>
      </w:r>
      <w:r w:rsidR="002A7ACE">
        <w:rPr>
          <w:rFonts w:ascii="Times New Roman" w:hAnsi="Times New Roman" w:cs="Times New Roman"/>
          <w:sz w:val="24"/>
          <w:szCs w:val="24"/>
        </w:rPr>
        <w:t xml:space="preserve"> for the long-term</w:t>
      </w:r>
      <w:r w:rsidRPr="00C103AE">
        <w:rPr>
          <w:rFonts w:ascii="Times New Roman" w:hAnsi="Times New Roman" w:cs="Times New Roman"/>
          <w:sz w:val="24"/>
          <w:szCs w:val="24"/>
        </w:rPr>
        <w:t xml:space="preserve">. Bangladesh can learn valuable lessons from its own experience with RMG exports. In the case of RMG Bangladesh has an edge over its main competitors (China, India, </w:t>
      </w:r>
      <w:r w:rsidRPr="00C103AE">
        <w:rPr>
          <w:rFonts w:ascii="Times New Roman" w:hAnsi="Times New Roman" w:cs="Times New Roman"/>
          <w:sz w:val="24"/>
          <w:szCs w:val="24"/>
        </w:rPr>
        <w:lastRenderedPageBreak/>
        <w:t xml:space="preserve">Vietnam, Sri Lanka) in terms of both technology and labor productivity for a wide range of specific product categories that has allowed Bangladesh to penetrate the export market and increase its market share. Bangladesh acquired the technology at the early stages of the evolution of the RMG industry through strategic partnership between Desh Garments of Bangladesh and Daewoo of Korea (Khondker and Sonobe, 2011). Subsequently, this technology got disseminated widely through the RMG network.  Over time, new partnerships with leading fashion houses of the world have allowed a continuous upgrading of designs and quality control that has not only helped Bangladesh to expand RMG exports but also to upgrade its export products. </w:t>
      </w:r>
      <w:r w:rsidR="00CB7C2F">
        <w:rPr>
          <w:rFonts w:ascii="Times New Roman" w:hAnsi="Times New Roman" w:cs="Times New Roman"/>
          <w:sz w:val="24"/>
          <w:szCs w:val="24"/>
        </w:rPr>
        <w:t xml:space="preserve">A similar approach is needed in other export sectors like Footwear and Leather goods, and electronics, by courting FDI and joint ventures with an eye on the future. The challenge of technology adoption and upgradation with a vision for the distant future is very real. And it is a steep climb for Bangladesh given its current state of technology in manufacturing and the forthcoming transformations vis-à-vis Industry 4.0 and beyond. </w:t>
      </w:r>
    </w:p>
    <w:p w14:paraId="1AD7CEEF" w14:textId="026DAA08" w:rsidR="00C103AE" w:rsidRDefault="00C103AE" w:rsidP="00A42036">
      <w:pPr>
        <w:numPr>
          <w:ilvl w:val="0"/>
          <w:numId w:val="7"/>
        </w:numPr>
        <w:spacing w:after="240" w:line="276" w:lineRule="auto"/>
        <w:contextualSpacing/>
        <w:jc w:val="both"/>
        <w:rPr>
          <w:rFonts w:ascii="Times New Roman" w:hAnsi="Times New Roman" w:cs="Times New Roman"/>
          <w:sz w:val="24"/>
          <w:szCs w:val="24"/>
        </w:rPr>
      </w:pPr>
      <w:r w:rsidRPr="00C103AE">
        <w:rPr>
          <w:rFonts w:ascii="Times New Roman" w:hAnsi="Times New Roman" w:cs="Times New Roman"/>
          <w:sz w:val="24"/>
          <w:szCs w:val="24"/>
        </w:rPr>
        <w:t xml:space="preserve">The </w:t>
      </w:r>
      <w:r w:rsidRPr="00C103AE">
        <w:rPr>
          <w:rFonts w:ascii="Times New Roman" w:hAnsi="Times New Roman" w:cs="Times New Roman"/>
          <w:b/>
          <w:sz w:val="24"/>
          <w:szCs w:val="24"/>
        </w:rPr>
        <w:t>enabling environment for trade</w:t>
      </w:r>
      <w:r w:rsidRPr="00C103AE">
        <w:rPr>
          <w:rFonts w:ascii="Times New Roman" w:hAnsi="Times New Roman" w:cs="Times New Roman"/>
          <w:sz w:val="24"/>
          <w:szCs w:val="24"/>
        </w:rPr>
        <w:t xml:space="preserve"> is a key determinant of cost competitiveness of exports. In recognition of its importance considerable attention is now being paid by various countries to this factor. Globally, several indicators of this enabling environment have been prepared that are regularly updated on an annual basis to track progress relative to competitors. Two commonly used indicators are the Enabling Trade Index (ETI) and the Trade Logistics Performance Index (LPI). </w:t>
      </w:r>
      <w:r w:rsidR="00CB7C2F">
        <w:rPr>
          <w:rFonts w:ascii="Times New Roman" w:hAnsi="Times New Roman" w:cs="Times New Roman"/>
          <w:sz w:val="24"/>
          <w:szCs w:val="24"/>
        </w:rPr>
        <w:t xml:space="preserve">The ETI 2012(--TBU) </w:t>
      </w:r>
      <w:r w:rsidRPr="00C103AE">
        <w:rPr>
          <w:rFonts w:ascii="Times New Roman" w:hAnsi="Times New Roman" w:cs="Times New Roman"/>
          <w:sz w:val="24"/>
          <w:szCs w:val="24"/>
        </w:rPr>
        <w:t>ranking for Bangladesh is shown in Table</w:t>
      </w:r>
      <w:r w:rsidR="00980CDF">
        <w:rPr>
          <w:rFonts w:ascii="Times New Roman" w:hAnsi="Times New Roman" w:cs="Times New Roman"/>
          <w:sz w:val="24"/>
          <w:szCs w:val="24"/>
        </w:rPr>
        <w:t>.5</w:t>
      </w:r>
      <w:r w:rsidRPr="00C103AE">
        <w:rPr>
          <w:rFonts w:ascii="Times New Roman" w:hAnsi="Times New Roman" w:cs="Times New Roman"/>
          <w:sz w:val="24"/>
          <w:szCs w:val="24"/>
        </w:rPr>
        <w:t>.  Bangladesh does poorly on most of the indicators included in this index, but scores especially low on transport. This is not surprising as transport and power have emerged as serious constraints to manufacturing sector in general. Export competitiveness is sharply reduced by the high transaction costs relative to competitors related to transport services as well as the inefficiencies of custom procedures.</w:t>
      </w:r>
      <w:r w:rsidR="00CB7C2F">
        <w:rPr>
          <w:rFonts w:ascii="Times New Roman" w:hAnsi="Times New Roman" w:cs="Times New Roman"/>
          <w:sz w:val="24"/>
          <w:szCs w:val="24"/>
        </w:rPr>
        <w:t xml:space="preserve"> </w:t>
      </w:r>
    </w:p>
    <w:p w14:paraId="10EDB8BE" w14:textId="44209919" w:rsidR="004D7812" w:rsidRPr="00785BB5" w:rsidRDefault="004D7812" w:rsidP="008654DB">
      <w:pPr>
        <w:pStyle w:val="Heading4"/>
      </w:pPr>
      <w:bookmarkStart w:id="38" w:name="_Toc404442106"/>
      <w:bookmarkStart w:id="39" w:name="_Toc496536529"/>
      <w:r w:rsidRPr="00785BB5">
        <w:t xml:space="preserve">Table </w:t>
      </w:r>
      <w:r w:rsidR="00980CDF" w:rsidRPr="00785BB5">
        <w:t>5</w:t>
      </w:r>
      <w:r w:rsidRPr="00785BB5">
        <w:t>. The Enabling Trade Index 2016; Bangladesh</w:t>
      </w:r>
      <w:bookmarkEnd w:id="38"/>
      <w:bookmarkEnd w:id="39"/>
      <w:r w:rsidRPr="00785BB5">
        <w:t xml:space="preserve"> </w:t>
      </w:r>
    </w:p>
    <w:tbl>
      <w:tblPr>
        <w:tblStyle w:val="ListTable6Colorful"/>
        <w:tblW w:w="7520" w:type="dxa"/>
        <w:jc w:val="center"/>
        <w:tblLook w:val="04A0" w:firstRow="1" w:lastRow="0" w:firstColumn="1" w:lastColumn="0" w:noHBand="0" w:noVBand="1"/>
      </w:tblPr>
      <w:tblGrid>
        <w:gridCol w:w="4668"/>
        <w:gridCol w:w="1702"/>
        <w:gridCol w:w="1150"/>
      </w:tblGrid>
      <w:tr w:rsidR="004D7812" w:rsidRPr="00083025" w14:paraId="4B7E232B" w14:textId="77777777" w:rsidTr="00595C4E">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68" w:type="dxa"/>
            <w:noWrap/>
            <w:hideMark/>
          </w:tcPr>
          <w:p w14:paraId="0AD516A3" w14:textId="77777777" w:rsidR="004D7812" w:rsidRPr="00083025" w:rsidRDefault="004D7812" w:rsidP="009A1E7F">
            <w:pPr>
              <w:rPr>
                <w:rFonts w:ascii="Times New Roman" w:eastAsia="Times New Roman" w:hAnsi="Times New Roman" w:cs="Times New Roman"/>
                <w:color w:val="000000"/>
              </w:rPr>
            </w:pPr>
            <w:r w:rsidRPr="00083025">
              <w:rPr>
                <w:rFonts w:ascii="Times New Roman" w:eastAsia="Times New Roman" w:hAnsi="Times New Roman" w:cs="Times New Roman"/>
                <w:color w:val="000000"/>
              </w:rPr>
              <w:t> </w:t>
            </w:r>
          </w:p>
        </w:tc>
        <w:tc>
          <w:tcPr>
            <w:tcW w:w="1702" w:type="dxa"/>
            <w:noWrap/>
            <w:hideMark/>
          </w:tcPr>
          <w:p w14:paraId="2BD214E0" w14:textId="77777777" w:rsidR="004D7812" w:rsidRPr="00083025" w:rsidRDefault="004D7812" w:rsidP="009A1E7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rPr>
            </w:pPr>
            <w:r w:rsidRPr="00083025">
              <w:rPr>
                <w:rFonts w:ascii="Times New Roman" w:eastAsia="Times New Roman" w:hAnsi="Times New Roman" w:cs="Times New Roman"/>
                <w:bCs w:val="0"/>
                <w:color w:val="000000"/>
              </w:rPr>
              <w:t>Rank (out of 136 countries)</w:t>
            </w:r>
          </w:p>
        </w:tc>
        <w:tc>
          <w:tcPr>
            <w:tcW w:w="1150" w:type="dxa"/>
            <w:noWrap/>
            <w:hideMark/>
          </w:tcPr>
          <w:p w14:paraId="3577AEEA" w14:textId="77777777" w:rsidR="004D7812" w:rsidRPr="00083025" w:rsidRDefault="004D7812" w:rsidP="009A1E7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rPr>
            </w:pPr>
            <w:r w:rsidRPr="00083025">
              <w:rPr>
                <w:rFonts w:ascii="Times New Roman" w:eastAsia="Times New Roman" w:hAnsi="Times New Roman" w:cs="Times New Roman"/>
                <w:bCs w:val="0"/>
                <w:color w:val="000000"/>
              </w:rPr>
              <w:t>Score (1-7)</w:t>
            </w:r>
          </w:p>
        </w:tc>
      </w:tr>
      <w:tr w:rsidR="004D7812" w:rsidRPr="00083025" w14:paraId="2E9E834C" w14:textId="77777777" w:rsidTr="00595C4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68" w:type="dxa"/>
            <w:noWrap/>
            <w:hideMark/>
          </w:tcPr>
          <w:p w14:paraId="4118127F" w14:textId="77777777" w:rsidR="004D7812" w:rsidRPr="00083025" w:rsidRDefault="004D7812" w:rsidP="009A1E7F">
            <w:pPr>
              <w:rPr>
                <w:rFonts w:ascii="Times New Roman" w:eastAsia="Times New Roman" w:hAnsi="Times New Roman" w:cs="Times New Roman"/>
                <w:b w:val="0"/>
                <w:bCs w:val="0"/>
                <w:color w:val="000000"/>
              </w:rPr>
            </w:pPr>
            <w:r w:rsidRPr="00083025">
              <w:rPr>
                <w:rFonts w:ascii="Times New Roman" w:eastAsia="Times New Roman" w:hAnsi="Times New Roman" w:cs="Times New Roman"/>
                <w:b w:val="0"/>
                <w:bCs w:val="0"/>
                <w:color w:val="000000"/>
              </w:rPr>
              <w:t>ENABLING TRADE INDEX</w:t>
            </w:r>
          </w:p>
        </w:tc>
        <w:tc>
          <w:tcPr>
            <w:tcW w:w="1702" w:type="dxa"/>
            <w:noWrap/>
            <w:hideMark/>
          </w:tcPr>
          <w:p w14:paraId="538A5EDD" w14:textId="77777777" w:rsidR="004D7812" w:rsidRPr="00083025" w:rsidRDefault="004D7812" w:rsidP="009A1E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083025">
              <w:rPr>
                <w:rFonts w:ascii="Times New Roman" w:eastAsia="Times New Roman" w:hAnsi="Times New Roman" w:cs="Times New Roman"/>
                <w:b/>
                <w:bCs/>
                <w:color w:val="000000"/>
              </w:rPr>
              <w:t>123</w:t>
            </w:r>
          </w:p>
        </w:tc>
        <w:tc>
          <w:tcPr>
            <w:tcW w:w="1150" w:type="dxa"/>
            <w:noWrap/>
            <w:hideMark/>
          </w:tcPr>
          <w:p w14:paraId="7E661E1F" w14:textId="77777777" w:rsidR="004D7812" w:rsidRPr="00083025" w:rsidRDefault="004D7812" w:rsidP="009A1E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083025">
              <w:rPr>
                <w:rFonts w:ascii="Times New Roman" w:eastAsia="Times New Roman" w:hAnsi="Times New Roman" w:cs="Times New Roman"/>
                <w:b/>
                <w:bCs/>
                <w:color w:val="000000"/>
              </w:rPr>
              <w:t>3.5</w:t>
            </w:r>
          </w:p>
        </w:tc>
      </w:tr>
      <w:tr w:rsidR="004D7812" w:rsidRPr="00083025" w14:paraId="005DF90A" w14:textId="77777777" w:rsidTr="00595C4E">
        <w:trPr>
          <w:trHeight w:val="20"/>
          <w:jc w:val="center"/>
        </w:trPr>
        <w:tc>
          <w:tcPr>
            <w:cnfStyle w:val="001000000000" w:firstRow="0" w:lastRow="0" w:firstColumn="1" w:lastColumn="0" w:oddVBand="0" w:evenVBand="0" w:oddHBand="0" w:evenHBand="0" w:firstRowFirstColumn="0" w:firstRowLastColumn="0" w:lastRowFirstColumn="0" w:lastRowLastColumn="0"/>
            <w:tcW w:w="4668" w:type="dxa"/>
            <w:noWrap/>
            <w:hideMark/>
          </w:tcPr>
          <w:p w14:paraId="121FD427" w14:textId="77777777" w:rsidR="004D7812" w:rsidRPr="00083025" w:rsidRDefault="004D7812" w:rsidP="009A1E7F">
            <w:pPr>
              <w:rPr>
                <w:rFonts w:ascii="Times New Roman" w:eastAsia="Times New Roman" w:hAnsi="Times New Roman" w:cs="Times New Roman"/>
                <w:b w:val="0"/>
                <w:bCs w:val="0"/>
                <w:color w:val="000000"/>
              </w:rPr>
            </w:pPr>
            <w:r w:rsidRPr="00083025">
              <w:rPr>
                <w:rFonts w:ascii="Times New Roman" w:eastAsia="Times New Roman" w:hAnsi="Times New Roman" w:cs="Times New Roman"/>
                <w:b w:val="0"/>
                <w:bCs w:val="0"/>
                <w:color w:val="000000"/>
              </w:rPr>
              <w:t>BORDER ADMINISTRATION</w:t>
            </w:r>
          </w:p>
        </w:tc>
        <w:tc>
          <w:tcPr>
            <w:tcW w:w="1702" w:type="dxa"/>
            <w:noWrap/>
            <w:hideMark/>
          </w:tcPr>
          <w:p w14:paraId="6A1A91F7" w14:textId="77777777" w:rsidR="004D7812" w:rsidRPr="00083025" w:rsidRDefault="004D7812" w:rsidP="009A1E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083025">
              <w:rPr>
                <w:rFonts w:ascii="Times New Roman" w:eastAsia="Times New Roman" w:hAnsi="Times New Roman" w:cs="Times New Roman"/>
                <w:b/>
                <w:bCs/>
                <w:color w:val="000000"/>
              </w:rPr>
              <w:t>130</w:t>
            </w:r>
          </w:p>
        </w:tc>
        <w:tc>
          <w:tcPr>
            <w:tcW w:w="1150" w:type="dxa"/>
            <w:noWrap/>
            <w:hideMark/>
          </w:tcPr>
          <w:p w14:paraId="185E9A9B" w14:textId="77777777" w:rsidR="004D7812" w:rsidRPr="00083025" w:rsidRDefault="004D7812" w:rsidP="009A1E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083025">
              <w:rPr>
                <w:rFonts w:ascii="Times New Roman" w:eastAsia="Times New Roman" w:hAnsi="Times New Roman" w:cs="Times New Roman"/>
                <w:b/>
                <w:bCs/>
                <w:color w:val="000000"/>
              </w:rPr>
              <w:t>3.0</w:t>
            </w:r>
          </w:p>
        </w:tc>
      </w:tr>
      <w:tr w:rsidR="004D7812" w:rsidRPr="00083025" w14:paraId="23854B65" w14:textId="77777777" w:rsidTr="00595C4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68" w:type="dxa"/>
            <w:noWrap/>
            <w:hideMark/>
          </w:tcPr>
          <w:p w14:paraId="3027A81C" w14:textId="77777777" w:rsidR="004D7812" w:rsidRPr="00083025" w:rsidRDefault="004D7812" w:rsidP="009A1E7F">
            <w:pPr>
              <w:rPr>
                <w:rFonts w:ascii="Times New Roman" w:eastAsia="Times New Roman" w:hAnsi="Times New Roman" w:cs="Times New Roman"/>
                <w:color w:val="000000"/>
              </w:rPr>
            </w:pPr>
            <w:r w:rsidRPr="00083025">
              <w:rPr>
                <w:rFonts w:ascii="Times New Roman" w:eastAsia="Times New Roman" w:hAnsi="Times New Roman" w:cs="Times New Roman"/>
                <w:color w:val="000000"/>
              </w:rPr>
              <w:t>Efficiency and Transparency of border administration</w:t>
            </w:r>
          </w:p>
        </w:tc>
        <w:tc>
          <w:tcPr>
            <w:tcW w:w="1702" w:type="dxa"/>
            <w:noWrap/>
            <w:hideMark/>
          </w:tcPr>
          <w:p w14:paraId="7C690BD8" w14:textId="77777777" w:rsidR="004D7812" w:rsidRPr="00083025" w:rsidRDefault="004D7812" w:rsidP="009A1E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83025">
              <w:rPr>
                <w:rFonts w:ascii="Times New Roman" w:eastAsia="Times New Roman" w:hAnsi="Times New Roman" w:cs="Times New Roman"/>
                <w:color w:val="000000"/>
              </w:rPr>
              <w:t>130</w:t>
            </w:r>
          </w:p>
        </w:tc>
        <w:tc>
          <w:tcPr>
            <w:tcW w:w="1150" w:type="dxa"/>
            <w:noWrap/>
            <w:hideMark/>
          </w:tcPr>
          <w:p w14:paraId="64F8453E" w14:textId="77777777" w:rsidR="004D7812" w:rsidRPr="00083025" w:rsidRDefault="004D7812" w:rsidP="009A1E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83025">
              <w:rPr>
                <w:rFonts w:ascii="Times New Roman" w:eastAsia="Times New Roman" w:hAnsi="Times New Roman" w:cs="Times New Roman"/>
                <w:color w:val="000000"/>
              </w:rPr>
              <w:t>3.0</w:t>
            </w:r>
          </w:p>
        </w:tc>
      </w:tr>
      <w:tr w:rsidR="004D7812" w:rsidRPr="00083025" w14:paraId="6764A11B" w14:textId="77777777" w:rsidTr="00595C4E">
        <w:trPr>
          <w:trHeight w:val="20"/>
          <w:jc w:val="center"/>
        </w:trPr>
        <w:tc>
          <w:tcPr>
            <w:cnfStyle w:val="001000000000" w:firstRow="0" w:lastRow="0" w:firstColumn="1" w:lastColumn="0" w:oddVBand="0" w:evenVBand="0" w:oddHBand="0" w:evenHBand="0" w:firstRowFirstColumn="0" w:firstRowLastColumn="0" w:lastRowFirstColumn="0" w:lastRowLastColumn="0"/>
            <w:tcW w:w="4668" w:type="dxa"/>
            <w:noWrap/>
            <w:hideMark/>
          </w:tcPr>
          <w:p w14:paraId="4BAA1C6F" w14:textId="77777777" w:rsidR="004D7812" w:rsidRPr="00083025" w:rsidRDefault="004D7812" w:rsidP="009A1E7F">
            <w:pPr>
              <w:rPr>
                <w:rFonts w:ascii="Times New Roman" w:eastAsia="Times New Roman" w:hAnsi="Times New Roman" w:cs="Times New Roman"/>
                <w:b w:val="0"/>
                <w:bCs w:val="0"/>
                <w:color w:val="000000"/>
              </w:rPr>
            </w:pPr>
            <w:r w:rsidRPr="00083025">
              <w:rPr>
                <w:rFonts w:ascii="Times New Roman" w:eastAsia="Times New Roman" w:hAnsi="Times New Roman" w:cs="Times New Roman"/>
                <w:b w:val="0"/>
                <w:bCs w:val="0"/>
                <w:color w:val="000000"/>
              </w:rPr>
              <w:t>INFRASTRUCTURE</w:t>
            </w:r>
          </w:p>
        </w:tc>
        <w:tc>
          <w:tcPr>
            <w:tcW w:w="1702" w:type="dxa"/>
            <w:noWrap/>
            <w:hideMark/>
          </w:tcPr>
          <w:p w14:paraId="5811B7BF" w14:textId="77777777" w:rsidR="004D7812" w:rsidRPr="00083025" w:rsidRDefault="004D7812" w:rsidP="009A1E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083025">
              <w:rPr>
                <w:rFonts w:ascii="Times New Roman" w:eastAsia="Times New Roman" w:hAnsi="Times New Roman" w:cs="Times New Roman"/>
                <w:b/>
                <w:bCs/>
                <w:color w:val="000000"/>
              </w:rPr>
              <w:t>108</w:t>
            </w:r>
          </w:p>
        </w:tc>
        <w:tc>
          <w:tcPr>
            <w:tcW w:w="1150" w:type="dxa"/>
            <w:noWrap/>
            <w:hideMark/>
          </w:tcPr>
          <w:p w14:paraId="3AC30A08" w14:textId="77777777" w:rsidR="004D7812" w:rsidRPr="00083025" w:rsidRDefault="004D7812" w:rsidP="009A1E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083025">
              <w:rPr>
                <w:rFonts w:ascii="Times New Roman" w:eastAsia="Times New Roman" w:hAnsi="Times New Roman" w:cs="Times New Roman"/>
                <w:b/>
                <w:bCs/>
                <w:color w:val="000000"/>
              </w:rPr>
              <w:t>3.1</w:t>
            </w:r>
          </w:p>
        </w:tc>
      </w:tr>
      <w:tr w:rsidR="004D7812" w:rsidRPr="00083025" w14:paraId="74DCB479" w14:textId="77777777" w:rsidTr="00595C4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68" w:type="dxa"/>
            <w:noWrap/>
            <w:hideMark/>
          </w:tcPr>
          <w:p w14:paraId="1A857E99" w14:textId="77777777" w:rsidR="004D7812" w:rsidRPr="00083025" w:rsidRDefault="004D7812" w:rsidP="009A1E7F">
            <w:pPr>
              <w:rPr>
                <w:rFonts w:ascii="Times New Roman" w:eastAsia="Times New Roman" w:hAnsi="Times New Roman" w:cs="Times New Roman"/>
                <w:color w:val="000000"/>
              </w:rPr>
            </w:pPr>
            <w:r w:rsidRPr="00083025">
              <w:rPr>
                <w:rFonts w:ascii="Times New Roman" w:eastAsia="Times New Roman" w:hAnsi="Times New Roman" w:cs="Times New Roman"/>
                <w:color w:val="000000"/>
              </w:rPr>
              <w:t>Availability and quality of transport infrastructure</w:t>
            </w:r>
          </w:p>
        </w:tc>
        <w:tc>
          <w:tcPr>
            <w:tcW w:w="1702" w:type="dxa"/>
            <w:noWrap/>
            <w:hideMark/>
          </w:tcPr>
          <w:p w14:paraId="0E567BBE" w14:textId="77777777" w:rsidR="004D7812" w:rsidRPr="00083025" w:rsidRDefault="004D7812" w:rsidP="009A1E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83025">
              <w:rPr>
                <w:rFonts w:ascii="Times New Roman" w:eastAsia="Times New Roman" w:hAnsi="Times New Roman" w:cs="Times New Roman"/>
                <w:color w:val="000000"/>
              </w:rPr>
              <w:t>109</w:t>
            </w:r>
          </w:p>
        </w:tc>
        <w:tc>
          <w:tcPr>
            <w:tcW w:w="1150" w:type="dxa"/>
            <w:noWrap/>
            <w:hideMark/>
          </w:tcPr>
          <w:p w14:paraId="26D5D86E" w14:textId="77777777" w:rsidR="004D7812" w:rsidRPr="00083025" w:rsidRDefault="004D7812" w:rsidP="009A1E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83025">
              <w:rPr>
                <w:rFonts w:ascii="Times New Roman" w:eastAsia="Times New Roman" w:hAnsi="Times New Roman" w:cs="Times New Roman"/>
                <w:color w:val="000000"/>
              </w:rPr>
              <w:t>2.7</w:t>
            </w:r>
          </w:p>
        </w:tc>
      </w:tr>
      <w:tr w:rsidR="004D7812" w:rsidRPr="00083025" w14:paraId="77297356" w14:textId="77777777" w:rsidTr="00595C4E">
        <w:trPr>
          <w:trHeight w:val="20"/>
          <w:jc w:val="center"/>
        </w:trPr>
        <w:tc>
          <w:tcPr>
            <w:cnfStyle w:val="001000000000" w:firstRow="0" w:lastRow="0" w:firstColumn="1" w:lastColumn="0" w:oddVBand="0" w:evenVBand="0" w:oddHBand="0" w:evenHBand="0" w:firstRowFirstColumn="0" w:firstRowLastColumn="0" w:lastRowFirstColumn="0" w:lastRowLastColumn="0"/>
            <w:tcW w:w="4668" w:type="dxa"/>
            <w:noWrap/>
            <w:hideMark/>
          </w:tcPr>
          <w:p w14:paraId="52046EDB" w14:textId="77777777" w:rsidR="004D7812" w:rsidRPr="00083025" w:rsidRDefault="004D7812" w:rsidP="009A1E7F">
            <w:pPr>
              <w:rPr>
                <w:rFonts w:ascii="Times New Roman" w:eastAsia="Times New Roman" w:hAnsi="Times New Roman" w:cs="Times New Roman"/>
                <w:color w:val="000000"/>
              </w:rPr>
            </w:pPr>
            <w:r w:rsidRPr="00083025">
              <w:rPr>
                <w:rFonts w:ascii="Times New Roman" w:eastAsia="Times New Roman" w:hAnsi="Times New Roman" w:cs="Times New Roman"/>
                <w:color w:val="000000"/>
              </w:rPr>
              <w:t>Availability and quality of transport services</w:t>
            </w:r>
          </w:p>
        </w:tc>
        <w:tc>
          <w:tcPr>
            <w:tcW w:w="1702" w:type="dxa"/>
            <w:noWrap/>
            <w:hideMark/>
          </w:tcPr>
          <w:p w14:paraId="0F1DACCA" w14:textId="77777777" w:rsidR="004D7812" w:rsidRPr="00083025" w:rsidRDefault="004D7812" w:rsidP="009A1E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83025">
              <w:rPr>
                <w:rFonts w:ascii="Times New Roman" w:eastAsia="Times New Roman" w:hAnsi="Times New Roman" w:cs="Times New Roman"/>
                <w:color w:val="000000"/>
              </w:rPr>
              <w:t>100</w:t>
            </w:r>
          </w:p>
        </w:tc>
        <w:tc>
          <w:tcPr>
            <w:tcW w:w="1150" w:type="dxa"/>
            <w:noWrap/>
            <w:hideMark/>
          </w:tcPr>
          <w:p w14:paraId="007A8413" w14:textId="77777777" w:rsidR="004D7812" w:rsidRPr="00083025" w:rsidRDefault="004D7812" w:rsidP="009A1E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83025">
              <w:rPr>
                <w:rFonts w:ascii="Times New Roman" w:eastAsia="Times New Roman" w:hAnsi="Times New Roman" w:cs="Times New Roman"/>
                <w:color w:val="000000"/>
              </w:rPr>
              <w:t>3.5</w:t>
            </w:r>
          </w:p>
        </w:tc>
      </w:tr>
      <w:tr w:rsidR="004D7812" w:rsidRPr="00083025" w14:paraId="458675D9" w14:textId="77777777" w:rsidTr="00595C4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68" w:type="dxa"/>
            <w:noWrap/>
            <w:hideMark/>
          </w:tcPr>
          <w:p w14:paraId="0C3AB16B" w14:textId="77777777" w:rsidR="004D7812" w:rsidRPr="00083025" w:rsidRDefault="004D7812" w:rsidP="009A1E7F">
            <w:pPr>
              <w:rPr>
                <w:rFonts w:ascii="Times New Roman" w:eastAsia="Times New Roman" w:hAnsi="Times New Roman" w:cs="Times New Roman"/>
                <w:color w:val="000000"/>
              </w:rPr>
            </w:pPr>
            <w:r w:rsidRPr="00083025">
              <w:rPr>
                <w:rFonts w:ascii="Times New Roman" w:eastAsia="Times New Roman" w:hAnsi="Times New Roman" w:cs="Times New Roman"/>
                <w:color w:val="000000"/>
              </w:rPr>
              <w:t>Availability and use of ICTs</w:t>
            </w:r>
          </w:p>
        </w:tc>
        <w:tc>
          <w:tcPr>
            <w:tcW w:w="1702" w:type="dxa"/>
            <w:noWrap/>
            <w:hideMark/>
          </w:tcPr>
          <w:p w14:paraId="42B50899" w14:textId="77777777" w:rsidR="004D7812" w:rsidRPr="00083025" w:rsidRDefault="004D7812" w:rsidP="009A1E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83025">
              <w:rPr>
                <w:rFonts w:ascii="Times New Roman" w:eastAsia="Times New Roman" w:hAnsi="Times New Roman" w:cs="Times New Roman"/>
                <w:color w:val="000000"/>
              </w:rPr>
              <w:t>112</w:t>
            </w:r>
          </w:p>
        </w:tc>
        <w:tc>
          <w:tcPr>
            <w:tcW w:w="1150" w:type="dxa"/>
            <w:noWrap/>
            <w:hideMark/>
          </w:tcPr>
          <w:p w14:paraId="3617AE4C" w14:textId="77777777" w:rsidR="004D7812" w:rsidRPr="00083025" w:rsidRDefault="004D7812" w:rsidP="009A1E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83025">
              <w:rPr>
                <w:rFonts w:ascii="Times New Roman" w:eastAsia="Times New Roman" w:hAnsi="Times New Roman" w:cs="Times New Roman"/>
                <w:color w:val="000000"/>
              </w:rPr>
              <w:t>3.1</w:t>
            </w:r>
          </w:p>
        </w:tc>
      </w:tr>
      <w:tr w:rsidR="004D7812" w:rsidRPr="00083025" w14:paraId="3F86C065" w14:textId="77777777" w:rsidTr="00595C4E">
        <w:trPr>
          <w:trHeight w:val="20"/>
          <w:jc w:val="center"/>
        </w:trPr>
        <w:tc>
          <w:tcPr>
            <w:cnfStyle w:val="001000000000" w:firstRow="0" w:lastRow="0" w:firstColumn="1" w:lastColumn="0" w:oddVBand="0" w:evenVBand="0" w:oddHBand="0" w:evenHBand="0" w:firstRowFirstColumn="0" w:firstRowLastColumn="0" w:lastRowFirstColumn="0" w:lastRowLastColumn="0"/>
            <w:tcW w:w="4668" w:type="dxa"/>
            <w:noWrap/>
            <w:hideMark/>
          </w:tcPr>
          <w:p w14:paraId="5263D04F" w14:textId="77777777" w:rsidR="004D7812" w:rsidRPr="00083025" w:rsidRDefault="004D7812" w:rsidP="009A1E7F">
            <w:pPr>
              <w:rPr>
                <w:rFonts w:ascii="Times New Roman" w:eastAsia="Times New Roman" w:hAnsi="Times New Roman" w:cs="Times New Roman"/>
                <w:b w:val="0"/>
                <w:bCs w:val="0"/>
                <w:color w:val="000000"/>
              </w:rPr>
            </w:pPr>
            <w:r w:rsidRPr="00083025">
              <w:rPr>
                <w:rFonts w:ascii="Times New Roman" w:eastAsia="Times New Roman" w:hAnsi="Times New Roman" w:cs="Times New Roman"/>
                <w:b w:val="0"/>
                <w:bCs w:val="0"/>
                <w:color w:val="000000"/>
              </w:rPr>
              <w:t>MARKET ACCESS</w:t>
            </w:r>
          </w:p>
        </w:tc>
        <w:tc>
          <w:tcPr>
            <w:tcW w:w="1702" w:type="dxa"/>
            <w:noWrap/>
            <w:hideMark/>
          </w:tcPr>
          <w:p w14:paraId="5A3B55AB" w14:textId="77777777" w:rsidR="004D7812" w:rsidRPr="00083025" w:rsidRDefault="004D7812" w:rsidP="009A1E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083025">
              <w:rPr>
                <w:rFonts w:ascii="Times New Roman" w:eastAsia="Times New Roman" w:hAnsi="Times New Roman" w:cs="Times New Roman"/>
                <w:b/>
                <w:bCs/>
                <w:color w:val="000000"/>
              </w:rPr>
              <w:t>84</w:t>
            </w:r>
          </w:p>
        </w:tc>
        <w:tc>
          <w:tcPr>
            <w:tcW w:w="1150" w:type="dxa"/>
            <w:noWrap/>
            <w:hideMark/>
          </w:tcPr>
          <w:p w14:paraId="31525B56" w14:textId="77777777" w:rsidR="004D7812" w:rsidRPr="00083025" w:rsidRDefault="004D7812" w:rsidP="009A1E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083025">
              <w:rPr>
                <w:rFonts w:ascii="Times New Roman" w:eastAsia="Times New Roman" w:hAnsi="Times New Roman" w:cs="Times New Roman"/>
                <w:b/>
                <w:bCs/>
                <w:color w:val="000000"/>
              </w:rPr>
              <w:t>4.4</w:t>
            </w:r>
          </w:p>
        </w:tc>
      </w:tr>
      <w:tr w:rsidR="004D7812" w:rsidRPr="00083025" w14:paraId="349A2148" w14:textId="77777777" w:rsidTr="00595C4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68" w:type="dxa"/>
            <w:noWrap/>
            <w:hideMark/>
          </w:tcPr>
          <w:p w14:paraId="2F8FA77A" w14:textId="77777777" w:rsidR="004D7812" w:rsidRPr="00083025" w:rsidRDefault="004D7812" w:rsidP="009A1E7F">
            <w:pPr>
              <w:rPr>
                <w:rFonts w:ascii="Times New Roman" w:eastAsia="Times New Roman" w:hAnsi="Times New Roman" w:cs="Times New Roman"/>
                <w:color w:val="000000"/>
              </w:rPr>
            </w:pPr>
            <w:r w:rsidRPr="00083025">
              <w:rPr>
                <w:rFonts w:ascii="Times New Roman" w:eastAsia="Times New Roman" w:hAnsi="Times New Roman" w:cs="Times New Roman"/>
                <w:color w:val="000000"/>
              </w:rPr>
              <w:t>Domestic Market Access</w:t>
            </w:r>
          </w:p>
        </w:tc>
        <w:tc>
          <w:tcPr>
            <w:tcW w:w="1702" w:type="dxa"/>
            <w:noWrap/>
            <w:hideMark/>
          </w:tcPr>
          <w:p w14:paraId="3518C36B" w14:textId="77777777" w:rsidR="004D7812" w:rsidRPr="00083025" w:rsidRDefault="004D7812" w:rsidP="009A1E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83025">
              <w:rPr>
                <w:rFonts w:ascii="Times New Roman" w:eastAsia="Times New Roman" w:hAnsi="Times New Roman" w:cs="Times New Roman"/>
                <w:color w:val="000000"/>
              </w:rPr>
              <w:t>127</w:t>
            </w:r>
          </w:p>
        </w:tc>
        <w:tc>
          <w:tcPr>
            <w:tcW w:w="1150" w:type="dxa"/>
            <w:noWrap/>
            <w:hideMark/>
          </w:tcPr>
          <w:p w14:paraId="120DC062" w14:textId="77777777" w:rsidR="004D7812" w:rsidRPr="00083025" w:rsidRDefault="004D7812" w:rsidP="009A1E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83025">
              <w:rPr>
                <w:rFonts w:ascii="Times New Roman" w:eastAsia="Times New Roman" w:hAnsi="Times New Roman" w:cs="Times New Roman"/>
                <w:color w:val="000000"/>
              </w:rPr>
              <w:t>3.4</w:t>
            </w:r>
          </w:p>
        </w:tc>
      </w:tr>
      <w:tr w:rsidR="004D7812" w:rsidRPr="00083025" w14:paraId="43B3CD2C" w14:textId="77777777" w:rsidTr="00595C4E">
        <w:trPr>
          <w:trHeight w:val="20"/>
          <w:jc w:val="center"/>
        </w:trPr>
        <w:tc>
          <w:tcPr>
            <w:cnfStyle w:val="001000000000" w:firstRow="0" w:lastRow="0" w:firstColumn="1" w:lastColumn="0" w:oddVBand="0" w:evenVBand="0" w:oddHBand="0" w:evenHBand="0" w:firstRowFirstColumn="0" w:firstRowLastColumn="0" w:lastRowFirstColumn="0" w:lastRowLastColumn="0"/>
            <w:tcW w:w="4668" w:type="dxa"/>
            <w:noWrap/>
            <w:hideMark/>
          </w:tcPr>
          <w:p w14:paraId="17FB8B0B" w14:textId="77777777" w:rsidR="004D7812" w:rsidRPr="00083025" w:rsidRDefault="004D7812" w:rsidP="009A1E7F">
            <w:pPr>
              <w:rPr>
                <w:rFonts w:ascii="Times New Roman" w:eastAsia="Times New Roman" w:hAnsi="Times New Roman" w:cs="Times New Roman"/>
                <w:color w:val="000000"/>
              </w:rPr>
            </w:pPr>
            <w:r w:rsidRPr="00083025">
              <w:rPr>
                <w:rFonts w:ascii="Times New Roman" w:eastAsia="Times New Roman" w:hAnsi="Times New Roman" w:cs="Times New Roman"/>
                <w:color w:val="000000"/>
              </w:rPr>
              <w:t>Foreign Market Access</w:t>
            </w:r>
          </w:p>
        </w:tc>
        <w:tc>
          <w:tcPr>
            <w:tcW w:w="1702" w:type="dxa"/>
            <w:noWrap/>
            <w:hideMark/>
          </w:tcPr>
          <w:p w14:paraId="2811EE34" w14:textId="77777777" w:rsidR="004D7812" w:rsidRPr="00083025" w:rsidRDefault="004D7812" w:rsidP="009A1E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83025">
              <w:rPr>
                <w:rFonts w:ascii="Times New Roman" w:eastAsia="Times New Roman" w:hAnsi="Times New Roman" w:cs="Times New Roman"/>
                <w:color w:val="000000"/>
              </w:rPr>
              <w:t>12</w:t>
            </w:r>
          </w:p>
        </w:tc>
        <w:tc>
          <w:tcPr>
            <w:tcW w:w="1150" w:type="dxa"/>
            <w:noWrap/>
            <w:hideMark/>
          </w:tcPr>
          <w:p w14:paraId="52EC0620" w14:textId="77777777" w:rsidR="004D7812" w:rsidRPr="00083025" w:rsidRDefault="004D7812" w:rsidP="009A1E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83025">
              <w:rPr>
                <w:rFonts w:ascii="Times New Roman" w:eastAsia="Times New Roman" w:hAnsi="Times New Roman" w:cs="Times New Roman"/>
                <w:color w:val="000000"/>
              </w:rPr>
              <w:t>5.3</w:t>
            </w:r>
          </w:p>
        </w:tc>
      </w:tr>
      <w:tr w:rsidR="004D7812" w:rsidRPr="00083025" w14:paraId="65D228DA" w14:textId="77777777" w:rsidTr="00595C4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68" w:type="dxa"/>
            <w:noWrap/>
            <w:hideMark/>
          </w:tcPr>
          <w:p w14:paraId="63D2D8C4" w14:textId="77777777" w:rsidR="004D7812" w:rsidRPr="00083025" w:rsidRDefault="004D7812" w:rsidP="009A1E7F">
            <w:pPr>
              <w:rPr>
                <w:rFonts w:ascii="Times New Roman" w:eastAsia="Times New Roman" w:hAnsi="Times New Roman" w:cs="Times New Roman"/>
                <w:b w:val="0"/>
                <w:bCs w:val="0"/>
                <w:color w:val="000000"/>
              </w:rPr>
            </w:pPr>
            <w:r w:rsidRPr="00083025">
              <w:rPr>
                <w:rFonts w:ascii="Times New Roman" w:eastAsia="Times New Roman" w:hAnsi="Times New Roman" w:cs="Times New Roman"/>
                <w:b w:val="0"/>
                <w:bCs w:val="0"/>
                <w:color w:val="000000"/>
              </w:rPr>
              <w:t>OPERATING ENVIRONMENT</w:t>
            </w:r>
          </w:p>
        </w:tc>
        <w:tc>
          <w:tcPr>
            <w:tcW w:w="1702" w:type="dxa"/>
            <w:noWrap/>
            <w:hideMark/>
          </w:tcPr>
          <w:p w14:paraId="2AD2B17E" w14:textId="77777777" w:rsidR="004D7812" w:rsidRPr="00083025" w:rsidRDefault="004D7812" w:rsidP="009A1E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083025">
              <w:rPr>
                <w:rFonts w:ascii="Times New Roman" w:eastAsia="Times New Roman" w:hAnsi="Times New Roman" w:cs="Times New Roman"/>
                <w:b/>
                <w:bCs/>
                <w:color w:val="000000"/>
              </w:rPr>
              <w:t>128</w:t>
            </w:r>
          </w:p>
        </w:tc>
        <w:tc>
          <w:tcPr>
            <w:tcW w:w="1150" w:type="dxa"/>
            <w:noWrap/>
            <w:hideMark/>
          </w:tcPr>
          <w:p w14:paraId="6FF003E4" w14:textId="77777777" w:rsidR="004D7812" w:rsidRPr="00083025" w:rsidRDefault="004D7812" w:rsidP="009A1E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083025">
              <w:rPr>
                <w:rFonts w:ascii="Times New Roman" w:eastAsia="Times New Roman" w:hAnsi="Times New Roman" w:cs="Times New Roman"/>
                <w:b/>
                <w:bCs/>
                <w:color w:val="000000"/>
              </w:rPr>
              <w:t>3.5</w:t>
            </w:r>
          </w:p>
        </w:tc>
      </w:tr>
      <w:tr w:rsidR="004D7812" w:rsidRPr="00083025" w14:paraId="2EBF1373" w14:textId="77777777" w:rsidTr="00595C4E">
        <w:trPr>
          <w:trHeight w:val="20"/>
          <w:jc w:val="center"/>
        </w:trPr>
        <w:tc>
          <w:tcPr>
            <w:cnfStyle w:val="001000000000" w:firstRow="0" w:lastRow="0" w:firstColumn="1" w:lastColumn="0" w:oddVBand="0" w:evenVBand="0" w:oddHBand="0" w:evenHBand="0" w:firstRowFirstColumn="0" w:firstRowLastColumn="0" w:lastRowFirstColumn="0" w:lastRowLastColumn="0"/>
            <w:tcW w:w="4668" w:type="dxa"/>
            <w:noWrap/>
            <w:hideMark/>
          </w:tcPr>
          <w:p w14:paraId="4A762A1B" w14:textId="77777777" w:rsidR="004D7812" w:rsidRPr="00083025" w:rsidRDefault="004D7812" w:rsidP="009A1E7F">
            <w:pPr>
              <w:rPr>
                <w:rFonts w:ascii="Times New Roman" w:eastAsia="Times New Roman" w:hAnsi="Times New Roman" w:cs="Times New Roman"/>
                <w:color w:val="000000"/>
              </w:rPr>
            </w:pPr>
            <w:r w:rsidRPr="00083025">
              <w:rPr>
                <w:rFonts w:ascii="Times New Roman" w:eastAsia="Times New Roman" w:hAnsi="Times New Roman" w:cs="Times New Roman"/>
                <w:color w:val="000000"/>
              </w:rPr>
              <w:t>Physical security</w:t>
            </w:r>
          </w:p>
        </w:tc>
        <w:tc>
          <w:tcPr>
            <w:tcW w:w="1702" w:type="dxa"/>
            <w:noWrap/>
            <w:hideMark/>
          </w:tcPr>
          <w:p w14:paraId="323A31C4" w14:textId="77777777" w:rsidR="004D7812" w:rsidRPr="00083025" w:rsidRDefault="004D7812" w:rsidP="009A1E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83025">
              <w:rPr>
                <w:rFonts w:ascii="Times New Roman" w:eastAsia="Times New Roman" w:hAnsi="Times New Roman" w:cs="Times New Roman"/>
                <w:color w:val="000000"/>
              </w:rPr>
              <w:t>119</w:t>
            </w:r>
          </w:p>
        </w:tc>
        <w:tc>
          <w:tcPr>
            <w:tcW w:w="1150" w:type="dxa"/>
            <w:noWrap/>
            <w:hideMark/>
          </w:tcPr>
          <w:p w14:paraId="7D93EB84" w14:textId="77777777" w:rsidR="004D7812" w:rsidRPr="00083025" w:rsidRDefault="004D7812" w:rsidP="009A1E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83025">
              <w:rPr>
                <w:rFonts w:ascii="Times New Roman" w:eastAsia="Times New Roman" w:hAnsi="Times New Roman" w:cs="Times New Roman"/>
                <w:color w:val="000000"/>
              </w:rPr>
              <w:t>3.8</w:t>
            </w:r>
          </w:p>
        </w:tc>
      </w:tr>
    </w:tbl>
    <w:p w14:paraId="25801A0B" w14:textId="1F1D0EE7" w:rsidR="00083025" w:rsidRDefault="00083025" w:rsidP="00083025">
      <w:pPr>
        <w:ind w:left="1440"/>
      </w:pPr>
      <w:r w:rsidRPr="00083025">
        <w:rPr>
          <w:rFonts w:ascii="Times New Roman" w:eastAsia="Times New Roman" w:hAnsi="Times New Roman" w:cs="Times New Roman"/>
          <w:b/>
          <w:bCs/>
          <w:i/>
          <w:iCs/>
          <w:color w:val="000000"/>
          <w:szCs w:val="18"/>
        </w:rPr>
        <w:t>Source: Global Enabling Trade Report 2016, World Economic Forum</w:t>
      </w:r>
    </w:p>
    <w:p w14:paraId="5E3BD67A" w14:textId="394D0386" w:rsidR="003E4A12" w:rsidRPr="0060738E" w:rsidRDefault="00E05B8C" w:rsidP="00562120">
      <w:pPr>
        <w:pStyle w:val="NormalWeb"/>
        <w:spacing w:before="0" w:beforeAutospacing="0" w:after="240" w:afterAutospacing="0" w:line="276" w:lineRule="auto"/>
        <w:jc w:val="both"/>
        <w:rPr>
          <w:bCs/>
        </w:rPr>
      </w:pPr>
      <w:r w:rsidRPr="0060738E">
        <w:rPr>
          <w:b/>
          <w:bCs/>
        </w:rPr>
        <w:t>Infrastructure deficiencies.</w:t>
      </w:r>
      <w:r w:rsidRPr="0060738E">
        <w:rPr>
          <w:bCs/>
        </w:rPr>
        <w:t xml:space="preserve"> A comparison of infrastructure quality among Asian countries </w:t>
      </w:r>
      <w:r w:rsidR="003E4A12" w:rsidRPr="0060738E">
        <w:rPr>
          <w:bCs/>
        </w:rPr>
        <w:t xml:space="preserve">ranks </w:t>
      </w:r>
      <w:r w:rsidRPr="0060738E">
        <w:rPr>
          <w:bCs/>
        </w:rPr>
        <w:t xml:space="preserve">Bangladesh </w:t>
      </w:r>
      <w:r w:rsidR="003E4A12" w:rsidRPr="0060738E">
        <w:rPr>
          <w:bCs/>
        </w:rPr>
        <w:t xml:space="preserve">poorly </w:t>
      </w:r>
      <w:r w:rsidRPr="0060738E">
        <w:rPr>
          <w:bCs/>
        </w:rPr>
        <w:t>(Table</w:t>
      </w:r>
      <w:r w:rsidR="00980CDF" w:rsidRPr="0060738E">
        <w:rPr>
          <w:bCs/>
        </w:rPr>
        <w:t>.6</w:t>
      </w:r>
      <w:r w:rsidRPr="0060738E">
        <w:rPr>
          <w:bCs/>
        </w:rPr>
        <w:t xml:space="preserve">). </w:t>
      </w:r>
      <w:r w:rsidR="003E4A12" w:rsidRPr="0060738E">
        <w:rPr>
          <w:bCs/>
        </w:rPr>
        <w:t xml:space="preserve">In order for countries to be competitive in the arena of global trade </w:t>
      </w:r>
      <w:r w:rsidR="003E4A12" w:rsidRPr="0060738E">
        <w:rPr>
          <w:bCs/>
        </w:rPr>
        <w:lastRenderedPageBreak/>
        <w:t xml:space="preserve">and investments, the availability of quality infrastructure which is a key input, is very crucial. Bangladesh suffers from severe bottlenecks in terms of the quality of infrastructure when compared to other countries. The poor supply of power, gas, transport networks and telecommunications to all enterprises, and the malfunctioning of the country’s land and sea ports have been obstacles for exporters. Only sustained investments in infrastructure (estimated at $10 billion a year) over the next two decades can bring Bangladesh up to par with its comparators. </w:t>
      </w:r>
    </w:p>
    <w:p w14:paraId="22FBC965" w14:textId="60FAB142" w:rsidR="008F5714" w:rsidRPr="00785BB5" w:rsidRDefault="008F5714" w:rsidP="008654DB">
      <w:pPr>
        <w:pStyle w:val="Heading4"/>
      </w:pPr>
      <w:bookmarkStart w:id="40" w:name="_Toc331408837"/>
      <w:bookmarkStart w:id="41" w:name="_Toc342218772"/>
      <w:bookmarkStart w:id="42" w:name="_Toc404442108"/>
      <w:bookmarkStart w:id="43" w:name="_Toc496536530"/>
      <w:r w:rsidRPr="00785BB5">
        <w:t xml:space="preserve">Table </w:t>
      </w:r>
      <w:r w:rsidR="00980CDF" w:rsidRPr="00785BB5">
        <w:t>6</w:t>
      </w:r>
      <w:r w:rsidRPr="00785BB5">
        <w:t xml:space="preserve">: Comparison of Infrastructure Quality, </w:t>
      </w:r>
      <w:bookmarkEnd w:id="40"/>
      <w:bookmarkEnd w:id="41"/>
      <w:bookmarkEnd w:id="42"/>
      <w:r w:rsidRPr="00785BB5">
        <w:t>2016-2017</w:t>
      </w:r>
      <w:bookmarkEnd w:id="43"/>
    </w:p>
    <w:tbl>
      <w:tblPr>
        <w:tblStyle w:val="ListTable6Colorful"/>
        <w:tblW w:w="5000" w:type="pct"/>
        <w:tblLook w:val="04A0" w:firstRow="1" w:lastRow="0" w:firstColumn="1" w:lastColumn="0" w:noHBand="0" w:noVBand="1"/>
      </w:tblPr>
      <w:tblGrid>
        <w:gridCol w:w="2588"/>
        <w:gridCol w:w="1116"/>
        <w:gridCol w:w="1586"/>
        <w:gridCol w:w="1202"/>
        <w:gridCol w:w="895"/>
        <w:gridCol w:w="1142"/>
        <w:gridCol w:w="831"/>
      </w:tblGrid>
      <w:tr w:rsidR="008F5714" w:rsidRPr="009715D2" w14:paraId="6416C192" w14:textId="77777777" w:rsidTr="009715D2">
        <w:trPr>
          <w:cnfStyle w:val="100000000000" w:firstRow="1" w:lastRow="0" w:firstColumn="0" w:lastColumn="0" w:oddVBand="0" w:evenVBand="0" w:oddHBand="0"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383" w:type="pct"/>
            <w:vAlign w:val="center"/>
            <w:hideMark/>
          </w:tcPr>
          <w:p w14:paraId="3069F6AB" w14:textId="77777777" w:rsidR="008F5714" w:rsidRPr="009715D2" w:rsidRDefault="008F5714" w:rsidP="009715D2">
            <w:pPr>
              <w:jc w:val="center"/>
              <w:rPr>
                <w:rFonts w:ascii="Times New Roman" w:eastAsia="Times New Roman" w:hAnsi="Times New Roman" w:cs="Times New Roman"/>
                <w:color w:val="000000"/>
              </w:rPr>
            </w:pPr>
            <w:r w:rsidRPr="009715D2">
              <w:rPr>
                <w:rFonts w:ascii="Times New Roman" w:eastAsia="Times New Roman" w:hAnsi="Times New Roman" w:cs="Times New Roman"/>
                <w:color w:val="000000"/>
              </w:rPr>
              <w:t>Country/Region</w:t>
            </w:r>
          </w:p>
        </w:tc>
        <w:tc>
          <w:tcPr>
            <w:tcW w:w="596" w:type="pct"/>
            <w:vAlign w:val="center"/>
            <w:hideMark/>
          </w:tcPr>
          <w:p w14:paraId="6C28D137" w14:textId="77777777" w:rsidR="008F5714" w:rsidRPr="009715D2" w:rsidRDefault="008F5714" w:rsidP="009715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715D2">
              <w:rPr>
                <w:rFonts w:ascii="Times New Roman" w:eastAsia="Times New Roman" w:hAnsi="Times New Roman" w:cs="Times New Roman"/>
                <w:color w:val="000000"/>
              </w:rPr>
              <w:t>Country Ranking/1</w:t>
            </w:r>
          </w:p>
        </w:tc>
        <w:tc>
          <w:tcPr>
            <w:tcW w:w="847" w:type="pct"/>
            <w:vAlign w:val="center"/>
            <w:hideMark/>
          </w:tcPr>
          <w:p w14:paraId="74EF15AD" w14:textId="77777777" w:rsidR="008F5714" w:rsidRPr="009715D2" w:rsidRDefault="008F5714" w:rsidP="009715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715D2">
              <w:rPr>
                <w:rFonts w:ascii="Times New Roman" w:eastAsia="Times New Roman" w:hAnsi="Times New Roman" w:cs="Times New Roman"/>
                <w:color w:val="000000"/>
              </w:rPr>
              <w:t>Overall Infrastructure</w:t>
            </w:r>
          </w:p>
        </w:tc>
        <w:tc>
          <w:tcPr>
            <w:tcW w:w="642" w:type="pct"/>
            <w:vAlign w:val="center"/>
            <w:hideMark/>
          </w:tcPr>
          <w:p w14:paraId="131F80DE" w14:textId="77777777" w:rsidR="008F5714" w:rsidRPr="009715D2" w:rsidRDefault="008F5714" w:rsidP="009715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715D2">
              <w:rPr>
                <w:rFonts w:ascii="Times New Roman" w:eastAsia="Times New Roman" w:hAnsi="Times New Roman" w:cs="Times New Roman"/>
                <w:color w:val="000000"/>
              </w:rPr>
              <w:t>Electricity</w:t>
            </w:r>
          </w:p>
        </w:tc>
        <w:tc>
          <w:tcPr>
            <w:tcW w:w="478" w:type="pct"/>
            <w:vAlign w:val="center"/>
            <w:hideMark/>
          </w:tcPr>
          <w:p w14:paraId="3A9F713B" w14:textId="77777777" w:rsidR="008F5714" w:rsidRPr="009715D2" w:rsidRDefault="008F5714" w:rsidP="009715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715D2">
              <w:rPr>
                <w:rFonts w:ascii="Times New Roman" w:eastAsia="Times New Roman" w:hAnsi="Times New Roman" w:cs="Times New Roman"/>
                <w:color w:val="000000"/>
              </w:rPr>
              <w:t>Roads</w:t>
            </w:r>
          </w:p>
        </w:tc>
        <w:tc>
          <w:tcPr>
            <w:tcW w:w="610" w:type="pct"/>
            <w:vAlign w:val="center"/>
            <w:hideMark/>
          </w:tcPr>
          <w:p w14:paraId="11C7C133" w14:textId="77777777" w:rsidR="008F5714" w:rsidRPr="009715D2" w:rsidRDefault="008F5714" w:rsidP="009715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715D2">
              <w:rPr>
                <w:rFonts w:ascii="Times New Roman" w:eastAsia="Times New Roman" w:hAnsi="Times New Roman" w:cs="Times New Roman"/>
                <w:color w:val="000000"/>
              </w:rPr>
              <w:t>Railroads</w:t>
            </w:r>
          </w:p>
        </w:tc>
        <w:tc>
          <w:tcPr>
            <w:tcW w:w="445" w:type="pct"/>
            <w:vAlign w:val="center"/>
            <w:hideMark/>
          </w:tcPr>
          <w:p w14:paraId="374B700F" w14:textId="77777777" w:rsidR="008F5714" w:rsidRPr="009715D2" w:rsidRDefault="008F5714" w:rsidP="009715D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715D2">
              <w:rPr>
                <w:rFonts w:ascii="Times New Roman" w:eastAsia="Times New Roman" w:hAnsi="Times New Roman" w:cs="Times New Roman"/>
                <w:color w:val="000000"/>
              </w:rPr>
              <w:t>Port</w:t>
            </w:r>
          </w:p>
        </w:tc>
      </w:tr>
      <w:tr w:rsidR="008F5714" w:rsidRPr="00FC766C" w14:paraId="36CB7DCB" w14:textId="77777777" w:rsidTr="009715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83" w:type="pct"/>
            <w:hideMark/>
          </w:tcPr>
          <w:p w14:paraId="580CDAE0" w14:textId="77777777" w:rsidR="008F5714" w:rsidRPr="00FC766C" w:rsidRDefault="008F5714" w:rsidP="009A1E7F">
            <w:pPr>
              <w:rPr>
                <w:rFonts w:ascii="Times New Roman" w:eastAsia="Times New Roman" w:hAnsi="Times New Roman" w:cs="Times New Roman"/>
                <w:b w:val="0"/>
                <w:color w:val="000000"/>
              </w:rPr>
            </w:pPr>
            <w:r w:rsidRPr="00FC766C">
              <w:rPr>
                <w:rFonts w:ascii="Times New Roman" w:eastAsia="Times New Roman" w:hAnsi="Times New Roman" w:cs="Times New Roman"/>
                <w:b w:val="0"/>
                <w:color w:val="000000"/>
              </w:rPr>
              <w:t>Southeast Asia(average)</w:t>
            </w:r>
          </w:p>
        </w:tc>
        <w:tc>
          <w:tcPr>
            <w:tcW w:w="596" w:type="pct"/>
            <w:hideMark/>
          </w:tcPr>
          <w:p w14:paraId="00359F3E" w14:textId="77777777" w:rsidR="008F5714" w:rsidRPr="00FC766C" w:rsidRDefault="008F5714" w:rsidP="009A1E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766C">
              <w:rPr>
                <w:rFonts w:ascii="Times New Roman" w:eastAsia="Times New Roman" w:hAnsi="Times New Roman" w:cs="Times New Roman"/>
                <w:color w:val="000000"/>
              </w:rPr>
              <w:t>51</w:t>
            </w:r>
          </w:p>
        </w:tc>
        <w:tc>
          <w:tcPr>
            <w:tcW w:w="847" w:type="pct"/>
            <w:hideMark/>
          </w:tcPr>
          <w:p w14:paraId="242AB52A" w14:textId="77777777" w:rsidR="008F5714" w:rsidRPr="00FC766C" w:rsidRDefault="008F5714" w:rsidP="009A1E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766C">
              <w:rPr>
                <w:rFonts w:ascii="Times New Roman" w:eastAsia="Times New Roman" w:hAnsi="Times New Roman" w:cs="Times New Roman"/>
                <w:color w:val="000000"/>
              </w:rPr>
              <w:t>68</w:t>
            </w:r>
          </w:p>
        </w:tc>
        <w:tc>
          <w:tcPr>
            <w:tcW w:w="642" w:type="pct"/>
            <w:hideMark/>
          </w:tcPr>
          <w:p w14:paraId="1574C31C" w14:textId="77777777" w:rsidR="008F5714" w:rsidRPr="00FC766C" w:rsidRDefault="008F5714" w:rsidP="009A1E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766C">
              <w:rPr>
                <w:rFonts w:ascii="Times New Roman" w:eastAsia="Times New Roman" w:hAnsi="Times New Roman" w:cs="Times New Roman"/>
                <w:color w:val="000000"/>
              </w:rPr>
              <w:t>67</w:t>
            </w:r>
          </w:p>
        </w:tc>
        <w:tc>
          <w:tcPr>
            <w:tcW w:w="478" w:type="pct"/>
            <w:hideMark/>
          </w:tcPr>
          <w:p w14:paraId="3B6DC989" w14:textId="77777777" w:rsidR="008F5714" w:rsidRPr="00FC766C" w:rsidRDefault="008F5714" w:rsidP="009A1E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766C">
              <w:rPr>
                <w:rFonts w:ascii="Times New Roman" w:eastAsia="Times New Roman" w:hAnsi="Times New Roman" w:cs="Times New Roman"/>
                <w:color w:val="000000"/>
              </w:rPr>
              <w:t>64</w:t>
            </w:r>
          </w:p>
        </w:tc>
        <w:tc>
          <w:tcPr>
            <w:tcW w:w="610" w:type="pct"/>
            <w:hideMark/>
          </w:tcPr>
          <w:p w14:paraId="7DD967BB" w14:textId="77777777" w:rsidR="008F5714" w:rsidRPr="00FC766C" w:rsidRDefault="008F5714" w:rsidP="009A1E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766C">
              <w:rPr>
                <w:rFonts w:ascii="Times New Roman" w:eastAsia="Times New Roman" w:hAnsi="Times New Roman" w:cs="Times New Roman"/>
                <w:color w:val="000000"/>
              </w:rPr>
              <w:t>54</w:t>
            </w:r>
          </w:p>
        </w:tc>
        <w:tc>
          <w:tcPr>
            <w:tcW w:w="445" w:type="pct"/>
            <w:hideMark/>
          </w:tcPr>
          <w:p w14:paraId="186D5E68" w14:textId="77777777" w:rsidR="008F5714" w:rsidRPr="00FC766C" w:rsidRDefault="008F5714" w:rsidP="009A1E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766C">
              <w:rPr>
                <w:rFonts w:ascii="Times New Roman" w:eastAsia="Times New Roman" w:hAnsi="Times New Roman" w:cs="Times New Roman"/>
                <w:color w:val="000000"/>
              </w:rPr>
              <w:t>72</w:t>
            </w:r>
          </w:p>
        </w:tc>
      </w:tr>
      <w:tr w:rsidR="008F5714" w:rsidRPr="00FC766C" w14:paraId="2C3391DD" w14:textId="77777777" w:rsidTr="009715D2">
        <w:trPr>
          <w:trHeight w:val="330"/>
        </w:trPr>
        <w:tc>
          <w:tcPr>
            <w:cnfStyle w:val="001000000000" w:firstRow="0" w:lastRow="0" w:firstColumn="1" w:lastColumn="0" w:oddVBand="0" w:evenVBand="0" w:oddHBand="0" w:evenHBand="0" w:firstRowFirstColumn="0" w:firstRowLastColumn="0" w:lastRowFirstColumn="0" w:lastRowLastColumn="0"/>
            <w:tcW w:w="1383" w:type="pct"/>
            <w:hideMark/>
          </w:tcPr>
          <w:p w14:paraId="37A5AF8F" w14:textId="77777777" w:rsidR="008F5714" w:rsidRPr="00FC766C" w:rsidRDefault="008F5714" w:rsidP="009A1E7F">
            <w:pPr>
              <w:rPr>
                <w:rFonts w:ascii="Times New Roman" w:eastAsia="Times New Roman" w:hAnsi="Times New Roman" w:cs="Times New Roman"/>
                <w:b w:val="0"/>
                <w:color w:val="000000"/>
              </w:rPr>
            </w:pPr>
            <w:r w:rsidRPr="00FC766C">
              <w:rPr>
                <w:rFonts w:ascii="Times New Roman" w:eastAsia="Times New Roman" w:hAnsi="Times New Roman" w:cs="Times New Roman"/>
                <w:b w:val="0"/>
                <w:color w:val="000000"/>
              </w:rPr>
              <w:t>South Asia (average)</w:t>
            </w:r>
          </w:p>
        </w:tc>
        <w:tc>
          <w:tcPr>
            <w:tcW w:w="596" w:type="pct"/>
            <w:hideMark/>
          </w:tcPr>
          <w:p w14:paraId="6A4CE07B" w14:textId="77777777" w:rsidR="008F5714" w:rsidRPr="00FC766C" w:rsidRDefault="008F5714" w:rsidP="009A1E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766C">
              <w:rPr>
                <w:rFonts w:ascii="Times New Roman" w:eastAsia="Times New Roman" w:hAnsi="Times New Roman" w:cs="Times New Roman"/>
                <w:color w:val="000000"/>
              </w:rPr>
              <w:t>89</w:t>
            </w:r>
          </w:p>
        </w:tc>
        <w:tc>
          <w:tcPr>
            <w:tcW w:w="847" w:type="pct"/>
            <w:hideMark/>
          </w:tcPr>
          <w:p w14:paraId="224CBF3A" w14:textId="77777777" w:rsidR="008F5714" w:rsidRPr="00FC766C" w:rsidRDefault="008F5714" w:rsidP="009A1E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766C">
              <w:rPr>
                <w:rFonts w:ascii="Times New Roman" w:eastAsia="Times New Roman" w:hAnsi="Times New Roman" w:cs="Times New Roman"/>
                <w:color w:val="000000"/>
              </w:rPr>
              <w:t>87</w:t>
            </w:r>
          </w:p>
        </w:tc>
        <w:tc>
          <w:tcPr>
            <w:tcW w:w="642" w:type="pct"/>
            <w:hideMark/>
          </w:tcPr>
          <w:p w14:paraId="7550E72A" w14:textId="77777777" w:rsidR="008F5714" w:rsidRPr="00FC766C" w:rsidRDefault="008F5714" w:rsidP="009A1E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766C">
              <w:rPr>
                <w:rFonts w:ascii="Times New Roman" w:eastAsia="Times New Roman" w:hAnsi="Times New Roman" w:cs="Times New Roman"/>
                <w:color w:val="000000"/>
              </w:rPr>
              <w:t>96</w:t>
            </w:r>
          </w:p>
        </w:tc>
        <w:tc>
          <w:tcPr>
            <w:tcW w:w="478" w:type="pct"/>
            <w:hideMark/>
          </w:tcPr>
          <w:p w14:paraId="3BC120F5" w14:textId="77777777" w:rsidR="008F5714" w:rsidRPr="00FC766C" w:rsidRDefault="008F5714" w:rsidP="009A1E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766C">
              <w:rPr>
                <w:rFonts w:ascii="Times New Roman" w:eastAsia="Times New Roman" w:hAnsi="Times New Roman" w:cs="Times New Roman"/>
                <w:color w:val="000000"/>
              </w:rPr>
              <w:t>80</w:t>
            </w:r>
          </w:p>
        </w:tc>
        <w:tc>
          <w:tcPr>
            <w:tcW w:w="610" w:type="pct"/>
            <w:hideMark/>
          </w:tcPr>
          <w:p w14:paraId="7B1A23A7" w14:textId="77777777" w:rsidR="008F5714" w:rsidRPr="00FC766C" w:rsidRDefault="008F5714" w:rsidP="009A1E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766C">
              <w:rPr>
                <w:rFonts w:ascii="Times New Roman" w:eastAsia="Times New Roman" w:hAnsi="Times New Roman" w:cs="Times New Roman"/>
                <w:color w:val="000000"/>
              </w:rPr>
              <w:t>48</w:t>
            </w:r>
          </w:p>
        </w:tc>
        <w:tc>
          <w:tcPr>
            <w:tcW w:w="445" w:type="pct"/>
            <w:hideMark/>
          </w:tcPr>
          <w:p w14:paraId="34D6B6E7" w14:textId="77777777" w:rsidR="008F5714" w:rsidRPr="00FC766C" w:rsidRDefault="008F5714" w:rsidP="009A1E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766C">
              <w:rPr>
                <w:rFonts w:ascii="Times New Roman" w:eastAsia="Times New Roman" w:hAnsi="Times New Roman" w:cs="Times New Roman"/>
                <w:color w:val="000000"/>
              </w:rPr>
              <w:t>92</w:t>
            </w:r>
          </w:p>
        </w:tc>
      </w:tr>
      <w:tr w:rsidR="008F5714" w:rsidRPr="00FC766C" w14:paraId="5C6B0CF2" w14:textId="77777777" w:rsidTr="009715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83" w:type="pct"/>
            <w:hideMark/>
          </w:tcPr>
          <w:p w14:paraId="516F8BDF" w14:textId="77777777" w:rsidR="008F5714" w:rsidRPr="00FC766C" w:rsidRDefault="008F5714" w:rsidP="009A1E7F">
            <w:pPr>
              <w:rPr>
                <w:rFonts w:ascii="Times New Roman" w:eastAsia="Times New Roman" w:hAnsi="Times New Roman" w:cs="Times New Roman"/>
                <w:b w:val="0"/>
                <w:color w:val="000000"/>
              </w:rPr>
            </w:pPr>
            <w:r w:rsidRPr="00FC766C">
              <w:rPr>
                <w:rFonts w:ascii="Times New Roman" w:eastAsia="Times New Roman" w:hAnsi="Times New Roman" w:cs="Times New Roman"/>
                <w:b w:val="0"/>
                <w:color w:val="000000"/>
              </w:rPr>
              <w:t>Bangladesh</w:t>
            </w:r>
          </w:p>
        </w:tc>
        <w:tc>
          <w:tcPr>
            <w:tcW w:w="596" w:type="pct"/>
            <w:hideMark/>
          </w:tcPr>
          <w:p w14:paraId="3F55D9E1" w14:textId="77777777" w:rsidR="008F5714" w:rsidRPr="00FC766C" w:rsidRDefault="008F5714" w:rsidP="009A1E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766C">
              <w:rPr>
                <w:rFonts w:ascii="Times New Roman" w:eastAsia="Times New Roman" w:hAnsi="Times New Roman" w:cs="Times New Roman"/>
                <w:color w:val="000000"/>
              </w:rPr>
              <w:t>106</w:t>
            </w:r>
          </w:p>
        </w:tc>
        <w:tc>
          <w:tcPr>
            <w:tcW w:w="847" w:type="pct"/>
            <w:hideMark/>
          </w:tcPr>
          <w:p w14:paraId="5B946DD8" w14:textId="77777777" w:rsidR="008F5714" w:rsidRPr="00FC766C" w:rsidRDefault="008F5714" w:rsidP="009A1E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766C">
              <w:rPr>
                <w:rFonts w:ascii="Times New Roman" w:eastAsia="Times New Roman" w:hAnsi="Times New Roman" w:cs="Times New Roman"/>
                <w:color w:val="000000"/>
              </w:rPr>
              <w:t>120</w:t>
            </w:r>
          </w:p>
        </w:tc>
        <w:tc>
          <w:tcPr>
            <w:tcW w:w="642" w:type="pct"/>
            <w:hideMark/>
          </w:tcPr>
          <w:p w14:paraId="6846E0E4" w14:textId="77777777" w:rsidR="008F5714" w:rsidRPr="00FC766C" w:rsidRDefault="008F5714" w:rsidP="009A1E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766C">
              <w:rPr>
                <w:rFonts w:ascii="Times New Roman" w:eastAsia="Times New Roman" w:hAnsi="Times New Roman" w:cs="Times New Roman"/>
                <w:color w:val="000000"/>
              </w:rPr>
              <w:t>110</w:t>
            </w:r>
          </w:p>
        </w:tc>
        <w:tc>
          <w:tcPr>
            <w:tcW w:w="478" w:type="pct"/>
            <w:hideMark/>
          </w:tcPr>
          <w:p w14:paraId="022E7A7A" w14:textId="77777777" w:rsidR="008F5714" w:rsidRPr="00FC766C" w:rsidRDefault="008F5714" w:rsidP="009A1E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766C">
              <w:rPr>
                <w:rFonts w:ascii="Times New Roman" w:eastAsia="Times New Roman" w:hAnsi="Times New Roman" w:cs="Times New Roman"/>
                <w:color w:val="000000"/>
              </w:rPr>
              <w:t>113</w:t>
            </w:r>
          </w:p>
        </w:tc>
        <w:tc>
          <w:tcPr>
            <w:tcW w:w="610" w:type="pct"/>
            <w:hideMark/>
          </w:tcPr>
          <w:p w14:paraId="4C1D4029" w14:textId="77777777" w:rsidR="008F5714" w:rsidRPr="00FC766C" w:rsidRDefault="008F5714" w:rsidP="009A1E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766C">
              <w:rPr>
                <w:rFonts w:ascii="Times New Roman" w:eastAsia="Times New Roman" w:hAnsi="Times New Roman" w:cs="Times New Roman"/>
                <w:color w:val="000000"/>
              </w:rPr>
              <w:t>72</w:t>
            </w:r>
          </w:p>
        </w:tc>
        <w:tc>
          <w:tcPr>
            <w:tcW w:w="445" w:type="pct"/>
            <w:hideMark/>
          </w:tcPr>
          <w:p w14:paraId="19333453" w14:textId="77777777" w:rsidR="008F5714" w:rsidRPr="00FC766C" w:rsidRDefault="008F5714" w:rsidP="009A1E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766C">
              <w:rPr>
                <w:rFonts w:ascii="Times New Roman" w:eastAsia="Times New Roman" w:hAnsi="Times New Roman" w:cs="Times New Roman"/>
                <w:color w:val="000000"/>
              </w:rPr>
              <w:t>89</w:t>
            </w:r>
          </w:p>
        </w:tc>
      </w:tr>
      <w:tr w:rsidR="008F5714" w:rsidRPr="00FC766C" w14:paraId="01F820C3" w14:textId="77777777" w:rsidTr="009715D2">
        <w:trPr>
          <w:trHeight w:val="330"/>
        </w:trPr>
        <w:tc>
          <w:tcPr>
            <w:cnfStyle w:val="001000000000" w:firstRow="0" w:lastRow="0" w:firstColumn="1" w:lastColumn="0" w:oddVBand="0" w:evenVBand="0" w:oddHBand="0" w:evenHBand="0" w:firstRowFirstColumn="0" w:firstRowLastColumn="0" w:lastRowFirstColumn="0" w:lastRowLastColumn="0"/>
            <w:tcW w:w="1383" w:type="pct"/>
            <w:hideMark/>
          </w:tcPr>
          <w:p w14:paraId="11DC93FB" w14:textId="77777777" w:rsidR="008F5714" w:rsidRPr="00FC766C" w:rsidRDefault="008F5714" w:rsidP="009A1E7F">
            <w:pPr>
              <w:rPr>
                <w:rFonts w:ascii="Times New Roman" w:eastAsia="Times New Roman" w:hAnsi="Times New Roman" w:cs="Times New Roman"/>
                <w:b w:val="0"/>
                <w:color w:val="000000"/>
              </w:rPr>
            </w:pPr>
            <w:r w:rsidRPr="00FC766C">
              <w:rPr>
                <w:rFonts w:ascii="Times New Roman" w:eastAsia="Times New Roman" w:hAnsi="Times New Roman" w:cs="Times New Roman"/>
                <w:b w:val="0"/>
                <w:color w:val="000000"/>
              </w:rPr>
              <w:t>China</w:t>
            </w:r>
          </w:p>
        </w:tc>
        <w:tc>
          <w:tcPr>
            <w:tcW w:w="596" w:type="pct"/>
            <w:hideMark/>
          </w:tcPr>
          <w:p w14:paraId="5625C585" w14:textId="77777777" w:rsidR="008F5714" w:rsidRPr="00FC766C" w:rsidRDefault="008F5714" w:rsidP="009A1E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766C">
              <w:rPr>
                <w:rFonts w:ascii="Times New Roman" w:eastAsia="Times New Roman" w:hAnsi="Times New Roman" w:cs="Times New Roman"/>
                <w:color w:val="000000"/>
              </w:rPr>
              <w:t>28</w:t>
            </w:r>
          </w:p>
        </w:tc>
        <w:tc>
          <w:tcPr>
            <w:tcW w:w="847" w:type="pct"/>
            <w:hideMark/>
          </w:tcPr>
          <w:p w14:paraId="02176825" w14:textId="77777777" w:rsidR="008F5714" w:rsidRPr="00FC766C" w:rsidRDefault="008F5714" w:rsidP="009A1E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766C">
              <w:rPr>
                <w:rFonts w:ascii="Times New Roman" w:eastAsia="Times New Roman" w:hAnsi="Times New Roman" w:cs="Times New Roman"/>
                <w:color w:val="000000"/>
              </w:rPr>
              <w:t>43</w:t>
            </w:r>
          </w:p>
        </w:tc>
        <w:tc>
          <w:tcPr>
            <w:tcW w:w="642" w:type="pct"/>
            <w:hideMark/>
          </w:tcPr>
          <w:p w14:paraId="57030B56" w14:textId="77777777" w:rsidR="008F5714" w:rsidRPr="00FC766C" w:rsidRDefault="008F5714" w:rsidP="009A1E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766C">
              <w:rPr>
                <w:rFonts w:ascii="Times New Roman" w:eastAsia="Times New Roman" w:hAnsi="Times New Roman" w:cs="Times New Roman"/>
                <w:color w:val="000000"/>
              </w:rPr>
              <w:t>58</w:t>
            </w:r>
          </w:p>
        </w:tc>
        <w:tc>
          <w:tcPr>
            <w:tcW w:w="478" w:type="pct"/>
            <w:hideMark/>
          </w:tcPr>
          <w:p w14:paraId="2AD6CF6B" w14:textId="77777777" w:rsidR="008F5714" w:rsidRPr="00FC766C" w:rsidRDefault="008F5714" w:rsidP="009A1E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766C">
              <w:rPr>
                <w:rFonts w:ascii="Times New Roman" w:eastAsia="Times New Roman" w:hAnsi="Times New Roman" w:cs="Times New Roman"/>
                <w:color w:val="000000"/>
              </w:rPr>
              <w:t>39</w:t>
            </w:r>
          </w:p>
        </w:tc>
        <w:tc>
          <w:tcPr>
            <w:tcW w:w="610" w:type="pct"/>
            <w:hideMark/>
          </w:tcPr>
          <w:p w14:paraId="0DDFF8F1" w14:textId="77777777" w:rsidR="008F5714" w:rsidRPr="00FC766C" w:rsidRDefault="008F5714" w:rsidP="009A1E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766C">
              <w:rPr>
                <w:rFonts w:ascii="Times New Roman" w:eastAsia="Times New Roman" w:hAnsi="Times New Roman" w:cs="Times New Roman"/>
                <w:color w:val="000000"/>
              </w:rPr>
              <w:t>14</w:t>
            </w:r>
          </w:p>
        </w:tc>
        <w:tc>
          <w:tcPr>
            <w:tcW w:w="445" w:type="pct"/>
            <w:hideMark/>
          </w:tcPr>
          <w:p w14:paraId="645DEA73" w14:textId="77777777" w:rsidR="008F5714" w:rsidRPr="00FC766C" w:rsidRDefault="008F5714" w:rsidP="009A1E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C766C">
              <w:rPr>
                <w:rFonts w:ascii="Times New Roman" w:eastAsia="Times New Roman" w:hAnsi="Times New Roman" w:cs="Times New Roman"/>
                <w:color w:val="000000"/>
              </w:rPr>
              <w:t>43</w:t>
            </w:r>
          </w:p>
        </w:tc>
      </w:tr>
      <w:tr w:rsidR="008F5714" w:rsidRPr="00FC766C" w14:paraId="45D4AE67" w14:textId="77777777" w:rsidTr="009715D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83" w:type="pct"/>
            <w:hideMark/>
          </w:tcPr>
          <w:p w14:paraId="270D8A4B" w14:textId="77777777" w:rsidR="008F5714" w:rsidRPr="00FC766C" w:rsidRDefault="008F5714" w:rsidP="009A1E7F">
            <w:pPr>
              <w:rPr>
                <w:rFonts w:ascii="Times New Roman" w:eastAsia="Times New Roman" w:hAnsi="Times New Roman" w:cs="Times New Roman"/>
                <w:b w:val="0"/>
                <w:color w:val="000000"/>
              </w:rPr>
            </w:pPr>
            <w:r w:rsidRPr="00FC766C">
              <w:rPr>
                <w:rFonts w:ascii="Times New Roman" w:eastAsia="Times New Roman" w:hAnsi="Times New Roman" w:cs="Times New Roman"/>
                <w:b w:val="0"/>
                <w:color w:val="000000"/>
              </w:rPr>
              <w:t>India</w:t>
            </w:r>
          </w:p>
        </w:tc>
        <w:tc>
          <w:tcPr>
            <w:tcW w:w="596" w:type="pct"/>
            <w:hideMark/>
          </w:tcPr>
          <w:p w14:paraId="4D7F3497" w14:textId="77777777" w:rsidR="008F5714" w:rsidRPr="00FC766C" w:rsidRDefault="008F5714" w:rsidP="009A1E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766C">
              <w:rPr>
                <w:rFonts w:ascii="Times New Roman" w:eastAsia="Times New Roman" w:hAnsi="Times New Roman" w:cs="Times New Roman"/>
                <w:color w:val="000000"/>
              </w:rPr>
              <w:t>39</w:t>
            </w:r>
          </w:p>
        </w:tc>
        <w:tc>
          <w:tcPr>
            <w:tcW w:w="847" w:type="pct"/>
            <w:hideMark/>
          </w:tcPr>
          <w:p w14:paraId="2411716E" w14:textId="77777777" w:rsidR="008F5714" w:rsidRPr="00FC766C" w:rsidRDefault="008F5714" w:rsidP="009A1E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766C">
              <w:rPr>
                <w:rFonts w:ascii="Times New Roman" w:eastAsia="Times New Roman" w:hAnsi="Times New Roman" w:cs="Times New Roman"/>
                <w:color w:val="000000"/>
              </w:rPr>
              <w:t>51</w:t>
            </w:r>
          </w:p>
        </w:tc>
        <w:tc>
          <w:tcPr>
            <w:tcW w:w="642" w:type="pct"/>
            <w:hideMark/>
          </w:tcPr>
          <w:p w14:paraId="4C394401" w14:textId="77777777" w:rsidR="008F5714" w:rsidRPr="00FC766C" w:rsidRDefault="008F5714" w:rsidP="009A1E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766C">
              <w:rPr>
                <w:rFonts w:ascii="Times New Roman" w:eastAsia="Times New Roman" w:hAnsi="Times New Roman" w:cs="Times New Roman"/>
                <w:color w:val="000000"/>
              </w:rPr>
              <w:t>88</w:t>
            </w:r>
          </w:p>
        </w:tc>
        <w:tc>
          <w:tcPr>
            <w:tcW w:w="478" w:type="pct"/>
            <w:hideMark/>
          </w:tcPr>
          <w:p w14:paraId="4BF2B94C" w14:textId="77777777" w:rsidR="008F5714" w:rsidRPr="00FC766C" w:rsidRDefault="008F5714" w:rsidP="009A1E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766C">
              <w:rPr>
                <w:rFonts w:ascii="Times New Roman" w:eastAsia="Times New Roman" w:hAnsi="Times New Roman" w:cs="Times New Roman"/>
                <w:color w:val="000000"/>
              </w:rPr>
              <w:t>51</w:t>
            </w:r>
          </w:p>
        </w:tc>
        <w:tc>
          <w:tcPr>
            <w:tcW w:w="610" w:type="pct"/>
            <w:hideMark/>
          </w:tcPr>
          <w:p w14:paraId="39BB77C5" w14:textId="77777777" w:rsidR="008F5714" w:rsidRPr="00FC766C" w:rsidRDefault="008F5714" w:rsidP="009A1E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766C">
              <w:rPr>
                <w:rFonts w:ascii="Times New Roman" w:eastAsia="Times New Roman" w:hAnsi="Times New Roman" w:cs="Times New Roman"/>
                <w:color w:val="000000"/>
              </w:rPr>
              <w:t>23</w:t>
            </w:r>
          </w:p>
        </w:tc>
        <w:tc>
          <w:tcPr>
            <w:tcW w:w="445" w:type="pct"/>
            <w:hideMark/>
          </w:tcPr>
          <w:p w14:paraId="67EE8E44" w14:textId="77777777" w:rsidR="008F5714" w:rsidRPr="00FC766C" w:rsidRDefault="008F5714" w:rsidP="009A1E7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C766C">
              <w:rPr>
                <w:rFonts w:ascii="Times New Roman" w:eastAsia="Times New Roman" w:hAnsi="Times New Roman" w:cs="Times New Roman"/>
                <w:color w:val="000000"/>
              </w:rPr>
              <w:t>48</w:t>
            </w:r>
          </w:p>
        </w:tc>
      </w:tr>
    </w:tbl>
    <w:p w14:paraId="0B338E3F" w14:textId="77777777" w:rsidR="008F5714" w:rsidRPr="00FC766C" w:rsidRDefault="008F5714" w:rsidP="008F5714">
      <w:pPr>
        <w:autoSpaceDE w:val="0"/>
        <w:autoSpaceDN w:val="0"/>
        <w:adjustRightInd w:val="0"/>
        <w:spacing w:after="240"/>
        <w:rPr>
          <w:rFonts w:ascii="Times New Roman" w:hAnsi="Times New Roman"/>
          <w:b/>
          <w:i/>
          <w:color w:val="000000"/>
          <w:shd w:val="clear" w:color="auto" w:fill="FFFFFF"/>
        </w:rPr>
      </w:pPr>
      <w:r w:rsidRPr="00FC766C">
        <w:rPr>
          <w:rFonts w:ascii="Times New Roman" w:hAnsi="Times New Roman"/>
          <w:b/>
          <w:i/>
          <w:color w:val="000000"/>
          <w:shd w:val="clear" w:color="auto" w:fill="FFFFFF"/>
        </w:rPr>
        <w:t xml:space="preserve">Source: </w:t>
      </w:r>
      <w:r>
        <w:rPr>
          <w:rFonts w:ascii="Times New Roman" w:hAnsi="Times New Roman"/>
          <w:b/>
          <w:i/>
          <w:color w:val="000000"/>
          <w:shd w:val="clear" w:color="auto" w:fill="FFFFFF"/>
        </w:rPr>
        <w:t xml:space="preserve">The </w:t>
      </w:r>
      <w:r w:rsidRPr="00FC766C">
        <w:rPr>
          <w:rFonts w:ascii="Times New Roman" w:hAnsi="Times New Roman"/>
          <w:b/>
          <w:i/>
          <w:color w:val="000000"/>
          <w:shd w:val="clear" w:color="auto" w:fill="FFFFFF"/>
        </w:rPr>
        <w:t>Global Competitiveness Report 2016-</w:t>
      </w:r>
      <w:r>
        <w:rPr>
          <w:rFonts w:ascii="Times New Roman" w:hAnsi="Times New Roman"/>
          <w:b/>
          <w:i/>
          <w:color w:val="000000"/>
          <w:shd w:val="clear" w:color="auto" w:fill="FFFFFF"/>
        </w:rPr>
        <w:t>20</w:t>
      </w:r>
      <w:r w:rsidRPr="00FC766C">
        <w:rPr>
          <w:rFonts w:ascii="Times New Roman" w:hAnsi="Times New Roman"/>
          <w:b/>
          <w:i/>
          <w:color w:val="000000"/>
          <w:shd w:val="clear" w:color="auto" w:fill="FFFFFF"/>
        </w:rPr>
        <w:t>17, World Economic Forum</w:t>
      </w:r>
    </w:p>
    <w:p w14:paraId="5F3B59D3" w14:textId="77777777" w:rsidR="00E05B8C" w:rsidRPr="0060738E" w:rsidRDefault="00E05B8C" w:rsidP="00562120">
      <w:pPr>
        <w:pStyle w:val="NormalWeb"/>
        <w:spacing w:before="0" w:beforeAutospacing="0" w:after="240" w:afterAutospacing="0" w:line="276" w:lineRule="auto"/>
        <w:jc w:val="both"/>
        <w:rPr>
          <w:bCs/>
        </w:rPr>
      </w:pPr>
      <w:r w:rsidRPr="0060738E">
        <w:rPr>
          <w:b/>
          <w:bCs/>
        </w:rPr>
        <w:t>Port services</w:t>
      </w:r>
      <w:r w:rsidRPr="0060738E">
        <w:rPr>
          <w:bCs/>
        </w:rPr>
        <w:t xml:space="preserve">- The Chittagong port, which handles nearly 85 percent of the country’s trade merchandise suffers from labor problems, poor management, and lack of equipment. Its container terminal handles only 100-105 lifts per berth a day, well below the UNCTAD productivity standard of 230 lifts a day. Ship turnaround time is 5-9 days, significantly above the 1 day standard of more efficient ports. </w:t>
      </w:r>
      <w:r w:rsidR="003E4A12" w:rsidRPr="0060738E">
        <w:rPr>
          <w:bCs/>
        </w:rPr>
        <w:t xml:space="preserve">Port modernization, upgradation, and establishment of deep sea ports will have to be in Bangladesh’s long-term agenda.  </w:t>
      </w:r>
    </w:p>
    <w:p w14:paraId="02F1DFDA" w14:textId="77777777" w:rsidR="00E05B8C" w:rsidRPr="0060738E" w:rsidRDefault="00E05B8C" w:rsidP="00562120">
      <w:pPr>
        <w:pStyle w:val="NormalWeb"/>
        <w:spacing w:before="0" w:beforeAutospacing="0" w:after="240" w:afterAutospacing="0" w:line="276" w:lineRule="auto"/>
        <w:jc w:val="both"/>
        <w:rPr>
          <w:bCs/>
        </w:rPr>
      </w:pPr>
      <w:r w:rsidRPr="0060738E">
        <w:rPr>
          <w:b/>
          <w:bCs/>
        </w:rPr>
        <w:t>Road network</w:t>
      </w:r>
      <w:r w:rsidRPr="0060738E">
        <w:rPr>
          <w:bCs/>
        </w:rPr>
        <w:t xml:space="preserve"> - Poor road conditions and lack of transportation are especially constraining for enterprises in far-flung rural areas. Public spending on road maintenance is seen to fall short of what is required. One of the major transport corridors for international trade is the road connecting Dhaka and Chittagong. This road </w:t>
      </w:r>
      <w:r w:rsidR="003E4A12" w:rsidRPr="0060738E">
        <w:rPr>
          <w:bCs/>
        </w:rPr>
        <w:t xml:space="preserve">needs to be converted into an 8 lane highway along with all the trappings of modern traffic management. </w:t>
      </w:r>
    </w:p>
    <w:p w14:paraId="7ACA4204" w14:textId="77777777" w:rsidR="00E05B8C" w:rsidRPr="0060738E" w:rsidRDefault="00E05B8C" w:rsidP="00562120">
      <w:pPr>
        <w:pStyle w:val="NormalWeb"/>
        <w:spacing w:before="0" w:beforeAutospacing="0" w:after="240" w:afterAutospacing="0" w:line="276" w:lineRule="auto"/>
        <w:jc w:val="both"/>
        <w:rPr>
          <w:bCs/>
        </w:rPr>
      </w:pPr>
      <w:r w:rsidRPr="0060738E">
        <w:rPr>
          <w:b/>
          <w:bCs/>
        </w:rPr>
        <w:t>Railway system</w:t>
      </w:r>
      <w:r w:rsidRPr="0060738E">
        <w:rPr>
          <w:bCs/>
        </w:rPr>
        <w:t>- The container unit train operation between Chittagong and Dhaka has the potential to provide an important benefit to both importers and exporters. While there are some operational problems with the yard layout and operation in Chittagong and Kamalupur and with the availability of rolling stock, these are much less important than the failure to provide sufficient train frequency or to o</w:t>
      </w:r>
      <w:r w:rsidR="00D37343" w:rsidRPr="0060738E">
        <w:rPr>
          <w:bCs/>
        </w:rPr>
        <w:t xml:space="preserve">perate in a commercial manner. Investment in modernization and establishment of speed train network have to be on cards. </w:t>
      </w:r>
    </w:p>
    <w:p w14:paraId="6B8B5A43" w14:textId="77777777" w:rsidR="00E05B8C" w:rsidRPr="0060738E" w:rsidRDefault="00E05B8C" w:rsidP="00562120">
      <w:pPr>
        <w:pStyle w:val="NormalWeb"/>
        <w:spacing w:before="0" w:beforeAutospacing="0" w:after="240" w:afterAutospacing="0" w:line="276" w:lineRule="auto"/>
        <w:jc w:val="both"/>
        <w:rPr>
          <w:bCs/>
        </w:rPr>
      </w:pPr>
      <w:r w:rsidRPr="0060738E">
        <w:rPr>
          <w:b/>
          <w:bCs/>
        </w:rPr>
        <w:t>Air freight and Airport storage services</w:t>
      </w:r>
      <w:r w:rsidRPr="0060738E">
        <w:rPr>
          <w:bCs/>
        </w:rPr>
        <w:t xml:space="preserve"> - The unreliability and unavailability of the air freight services affects the ability of produce growers to make long-term arrangements with foreign buyers that enable both parties to ensure high quality and safe production. </w:t>
      </w:r>
      <w:r w:rsidR="00D37343" w:rsidRPr="0060738E">
        <w:rPr>
          <w:bCs/>
        </w:rPr>
        <w:t>An</w:t>
      </w:r>
      <w:r w:rsidRPr="0060738E">
        <w:rPr>
          <w:bCs/>
        </w:rPr>
        <w:t xml:space="preserve"> open sky policy for regular air cargo movement needs to be put in place. Insufficient air cargo capacity in BIMAN leads to a </w:t>
      </w:r>
      <w:r w:rsidRPr="0060738E">
        <w:rPr>
          <w:bCs/>
        </w:rPr>
        <w:lastRenderedPageBreak/>
        <w:t xml:space="preserve">quota system with small average quota sizes and </w:t>
      </w:r>
      <w:r w:rsidR="00D37343" w:rsidRPr="0060738E">
        <w:rPr>
          <w:bCs/>
        </w:rPr>
        <w:t xml:space="preserve">imposes constraints on expansion of exports by air. </w:t>
      </w:r>
    </w:p>
    <w:p w14:paraId="5C12BF2A" w14:textId="77777777" w:rsidR="00E91F2D" w:rsidRDefault="00E91F2D" w:rsidP="00A42036">
      <w:pPr>
        <w:numPr>
          <w:ilvl w:val="0"/>
          <w:numId w:val="7"/>
        </w:numPr>
        <w:spacing w:after="240" w:line="276" w:lineRule="auto"/>
        <w:contextualSpacing/>
        <w:jc w:val="both"/>
        <w:rPr>
          <w:rFonts w:ascii="Times New Roman" w:hAnsi="Times New Roman" w:cs="Times New Roman"/>
          <w:sz w:val="24"/>
          <w:szCs w:val="24"/>
        </w:rPr>
      </w:pPr>
      <w:r w:rsidRPr="00562120">
        <w:rPr>
          <w:rFonts w:ascii="Times New Roman" w:hAnsi="Times New Roman" w:cs="Times New Roman"/>
          <w:b/>
          <w:sz w:val="24"/>
          <w:szCs w:val="24"/>
        </w:rPr>
        <w:t>Ease of Doing Business.</w:t>
      </w:r>
      <w:r w:rsidRPr="00562120">
        <w:rPr>
          <w:rFonts w:ascii="Times New Roman" w:hAnsi="Times New Roman" w:cs="Times New Roman"/>
          <w:sz w:val="24"/>
          <w:szCs w:val="24"/>
        </w:rPr>
        <w:t xml:space="preserve"> The regulatory environment for doing business in a country is yet another indicator of broad-based export competitiveness.  The regulatory regime can raise the transaction cost of doing business and hurt exports.  In the highly competitive global markets the ability to respond swiftly and timely to business opportunities and commitments can be critical factor underlying export competitiveness.  Importantly, the regulatory environment is a major determinant of FDI inflows that can also substantially influence the domestic supply capacity to respond to the world export markets. </w:t>
      </w:r>
    </w:p>
    <w:p w14:paraId="62958C0D" w14:textId="77777777" w:rsidR="00562120" w:rsidRPr="00562120" w:rsidRDefault="00562120" w:rsidP="00562120">
      <w:pPr>
        <w:spacing w:after="240" w:line="276" w:lineRule="auto"/>
        <w:ind w:left="720"/>
        <w:contextualSpacing/>
        <w:jc w:val="both"/>
        <w:rPr>
          <w:rFonts w:ascii="Times New Roman" w:hAnsi="Times New Roman" w:cs="Times New Roman"/>
          <w:sz w:val="24"/>
          <w:szCs w:val="24"/>
        </w:rPr>
      </w:pPr>
    </w:p>
    <w:p w14:paraId="563C8DCA" w14:textId="026A31C2" w:rsidR="00E91F2D" w:rsidRPr="00E91F2D" w:rsidRDefault="00E91F2D" w:rsidP="00562120">
      <w:pPr>
        <w:spacing w:after="240" w:line="276" w:lineRule="auto"/>
        <w:jc w:val="both"/>
        <w:rPr>
          <w:rFonts w:ascii="Times New Roman" w:hAnsi="Times New Roman" w:cs="Times New Roman"/>
          <w:sz w:val="24"/>
          <w:szCs w:val="24"/>
        </w:rPr>
      </w:pPr>
      <w:r w:rsidRPr="00E91F2D">
        <w:rPr>
          <w:rFonts w:ascii="Times New Roman" w:hAnsi="Times New Roman" w:cs="Times New Roman"/>
          <w:sz w:val="24"/>
          <w:szCs w:val="24"/>
        </w:rPr>
        <w:t>Historically, the business environment of South Asia has been intrusive with high transaction costs.  Deregulatory efforts in South Asian countries, especially in Bangladesh and India, started in</w:t>
      </w:r>
      <w:r>
        <w:rPr>
          <w:rFonts w:ascii="Times New Roman" w:hAnsi="Times New Roman" w:cs="Times New Roman"/>
          <w:sz w:val="24"/>
          <w:szCs w:val="24"/>
        </w:rPr>
        <w:t xml:space="preserve"> earnest only since the 1990s.</w:t>
      </w:r>
      <w:r w:rsidRPr="00E91F2D">
        <w:rPr>
          <w:rFonts w:ascii="Times New Roman" w:hAnsi="Times New Roman" w:cs="Times New Roman"/>
          <w:sz w:val="24"/>
          <w:szCs w:val="24"/>
        </w:rPr>
        <w:t xml:space="preserve"> While progress has been made, there is still a long way to go. Table</w:t>
      </w:r>
      <w:r w:rsidR="00980CDF">
        <w:rPr>
          <w:rFonts w:ascii="Times New Roman" w:hAnsi="Times New Roman" w:cs="Times New Roman"/>
          <w:sz w:val="24"/>
          <w:szCs w:val="24"/>
        </w:rPr>
        <w:t>.7</w:t>
      </w:r>
      <w:r w:rsidRPr="00E91F2D">
        <w:rPr>
          <w:rFonts w:ascii="Times New Roman" w:hAnsi="Times New Roman" w:cs="Times New Roman"/>
          <w:sz w:val="24"/>
          <w:szCs w:val="24"/>
        </w:rPr>
        <w:t xml:space="preserve"> shows the Ease of Doing Business rankings for 2012.</w:t>
      </w:r>
    </w:p>
    <w:p w14:paraId="00A1028A" w14:textId="3307C529" w:rsidR="008F5714" w:rsidRPr="00785BB5" w:rsidRDefault="008F5714" w:rsidP="008654DB">
      <w:pPr>
        <w:pStyle w:val="Heading4"/>
      </w:pPr>
      <w:bookmarkStart w:id="44" w:name="_Toc404442109"/>
      <w:bookmarkStart w:id="45" w:name="_Toc496536531"/>
      <w:r w:rsidRPr="00785BB5">
        <w:t xml:space="preserve">Table </w:t>
      </w:r>
      <w:r w:rsidR="00980CDF" w:rsidRPr="00785BB5">
        <w:t>7</w:t>
      </w:r>
      <w:r w:rsidRPr="00785BB5">
        <w:t>: Ease of Doing Business (2016)</w:t>
      </w:r>
      <w:bookmarkEnd w:id="44"/>
      <w:bookmarkEnd w:id="45"/>
      <w:r w:rsidRPr="00785BB5">
        <w:tab/>
        <w:t xml:space="preserve"> </w:t>
      </w:r>
    </w:p>
    <w:tbl>
      <w:tblPr>
        <w:tblW w:w="4413" w:type="pct"/>
        <w:jc w:val="center"/>
        <w:tblLayout w:type="fixed"/>
        <w:tblLook w:val="04A0" w:firstRow="1" w:lastRow="0" w:firstColumn="1" w:lastColumn="0" w:noHBand="0" w:noVBand="1"/>
      </w:tblPr>
      <w:tblGrid>
        <w:gridCol w:w="1429"/>
        <w:gridCol w:w="1292"/>
        <w:gridCol w:w="1055"/>
        <w:gridCol w:w="1182"/>
        <w:gridCol w:w="985"/>
        <w:gridCol w:w="1086"/>
        <w:gridCol w:w="1223"/>
      </w:tblGrid>
      <w:tr w:rsidR="008F5714" w:rsidRPr="003E2BED" w14:paraId="5DD6C944" w14:textId="77777777" w:rsidTr="003E2BED">
        <w:trPr>
          <w:trHeight w:val="665"/>
          <w:jc w:val="center"/>
        </w:trPr>
        <w:tc>
          <w:tcPr>
            <w:tcW w:w="8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B06C7" w14:textId="34CEBB02" w:rsidR="008F5714" w:rsidRPr="003E2BED" w:rsidRDefault="008F5714" w:rsidP="003E2BED">
            <w:pPr>
              <w:spacing w:after="0" w:line="240" w:lineRule="auto"/>
              <w:jc w:val="center"/>
              <w:rPr>
                <w:rFonts w:ascii="Times New Roman" w:hAnsi="Times New Roman" w:cs="Times New Roman"/>
                <w:b/>
                <w:bCs/>
                <w:color w:val="000000"/>
              </w:rPr>
            </w:pPr>
          </w:p>
        </w:tc>
        <w:tc>
          <w:tcPr>
            <w:tcW w:w="783" w:type="pct"/>
            <w:tcBorders>
              <w:top w:val="single" w:sz="4" w:space="0" w:color="auto"/>
              <w:left w:val="nil"/>
              <w:bottom w:val="single" w:sz="4" w:space="0" w:color="auto"/>
              <w:right w:val="nil"/>
            </w:tcBorders>
            <w:shd w:val="clear" w:color="auto" w:fill="auto"/>
            <w:vAlign w:val="center"/>
            <w:hideMark/>
          </w:tcPr>
          <w:p w14:paraId="426FE54C" w14:textId="77777777" w:rsidR="008F5714" w:rsidRPr="003E2BED" w:rsidRDefault="00BF4C93" w:rsidP="003E2BED">
            <w:pPr>
              <w:spacing w:after="0" w:line="240" w:lineRule="auto"/>
              <w:jc w:val="center"/>
              <w:rPr>
                <w:rFonts w:ascii="Times New Roman" w:hAnsi="Times New Roman" w:cs="Times New Roman"/>
                <w:b/>
                <w:bCs/>
                <w:color w:val="000000"/>
              </w:rPr>
            </w:pPr>
            <w:hyperlink r:id="rId47" w:history="1">
              <w:r w:rsidR="008F5714" w:rsidRPr="003E2BED">
                <w:rPr>
                  <w:rFonts w:ascii="Times New Roman" w:hAnsi="Times New Roman" w:cs="Times New Roman"/>
                  <w:b/>
                  <w:bCs/>
                  <w:color w:val="000000"/>
                  <w:sz w:val="18"/>
                  <w:szCs w:val="12"/>
                </w:rPr>
                <w:t>Ease of Doing Business Rank ▲</w:t>
              </w:r>
            </w:hyperlink>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BC7437" w14:textId="77777777" w:rsidR="008F5714" w:rsidRPr="003E2BED" w:rsidRDefault="008F5714" w:rsidP="003E2BED">
            <w:pPr>
              <w:spacing w:after="0" w:line="240" w:lineRule="auto"/>
              <w:jc w:val="center"/>
              <w:rPr>
                <w:rFonts w:ascii="Times New Roman" w:hAnsi="Times New Roman" w:cs="Times New Roman"/>
                <w:b/>
                <w:bCs/>
                <w:color w:val="000000"/>
              </w:rPr>
            </w:pPr>
            <w:r w:rsidRPr="003E2BED">
              <w:rPr>
                <w:rFonts w:ascii="Times New Roman" w:hAnsi="Times New Roman" w:cs="Times New Roman"/>
                <w:b/>
                <w:bCs/>
                <w:color w:val="000000"/>
              </w:rPr>
              <w:t>Starting a business</w:t>
            </w:r>
          </w:p>
        </w:tc>
        <w:tc>
          <w:tcPr>
            <w:tcW w:w="716" w:type="pct"/>
            <w:tcBorders>
              <w:top w:val="single" w:sz="4" w:space="0" w:color="auto"/>
              <w:left w:val="nil"/>
              <w:bottom w:val="single" w:sz="4" w:space="0" w:color="auto"/>
              <w:right w:val="nil"/>
            </w:tcBorders>
            <w:shd w:val="clear" w:color="auto" w:fill="auto"/>
            <w:vAlign w:val="center"/>
            <w:hideMark/>
          </w:tcPr>
          <w:p w14:paraId="2DC3597E" w14:textId="57922727" w:rsidR="008F5714" w:rsidRPr="003E2BED" w:rsidRDefault="008F5714" w:rsidP="003E2BED">
            <w:pPr>
              <w:spacing w:after="0" w:line="240" w:lineRule="auto"/>
              <w:jc w:val="center"/>
              <w:rPr>
                <w:rFonts w:ascii="Times New Roman" w:hAnsi="Times New Roman" w:cs="Times New Roman"/>
                <w:b/>
                <w:bCs/>
                <w:color w:val="000000"/>
              </w:rPr>
            </w:pPr>
            <w:r w:rsidRPr="003E2BED">
              <w:rPr>
                <w:rFonts w:ascii="Times New Roman" w:hAnsi="Times New Roman" w:cs="Times New Roman"/>
                <w:b/>
                <w:bCs/>
                <w:color w:val="000000"/>
              </w:rPr>
              <w:t>Registering Property</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4D05C0" w14:textId="77777777" w:rsidR="008F5714" w:rsidRPr="003E2BED" w:rsidRDefault="008F5714" w:rsidP="003E2BED">
            <w:pPr>
              <w:spacing w:after="0" w:line="240" w:lineRule="auto"/>
              <w:jc w:val="center"/>
              <w:rPr>
                <w:rFonts w:ascii="Times New Roman" w:hAnsi="Times New Roman" w:cs="Times New Roman"/>
                <w:b/>
                <w:bCs/>
                <w:color w:val="000000"/>
              </w:rPr>
            </w:pPr>
            <w:r w:rsidRPr="003E2BED">
              <w:rPr>
                <w:rFonts w:ascii="Times New Roman" w:hAnsi="Times New Roman" w:cs="Times New Roman"/>
                <w:b/>
                <w:bCs/>
                <w:color w:val="000000"/>
              </w:rPr>
              <w:t>Getting Credit</w:t>
            </w:r>
          </w:p>
        </w:tc>
        <w:tc>
          <w:tcPr>
            <w:tcW w:w="658" w:type="pct"/>
            <w:tcBorders>
              <w:top w:val="single" w:sz="4" w:space="0" w:color="auto"/>
              <w:left w:val="nil"/>
              <w:bottom w:val="single" w:sz="4" w:space="0" w:color="auto"/>
              <w:right w:val="nil"/>
            </w:tcBorders>
            <w:shd w:val="clear" w:color="auto" w:fill="auto"/>
            <w:vAlign w:val="center"/>
            <w:hideMark/>
          </w:tcPr>
          <w:p w14:paraId="37E25B76" w14:textId="77777777" w:rsidR="008F5714" w:rsidRPr="003E2BED" w:rsidRDefault="008F5714" w:rsidP="003E2BED">
            <w:pPr>
              <w:spacing w:after="0" w:line="240" w:lineRule="auto"/>
              <w:jc w:val="center"/>
              <w:rPr>
                <w:rFonts w:ascii="Times New Roman" w:hAnsi="Times New Roman" w:cs="Times New Roman"/>
                <w:b/>
                <w:bCs/>
                <w:color w:val="000000"/>
              </w:rPr>
            </w:pPr>
            <w:r w:rsidRPr="003E2BED">
              <w:rPr>
                <w:rFonts w:ascii="Times New Roman" w:hAnsi="Times New Roman" w:cs="Times New Roman"/>
                <w:b/>
                <w:bCs/>
                <w:color w:val="000000"/>
              </w:rPr>
              <w:t>Trading across borders</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DB8700" w14:textId="77777777" w:rsidR="008F5714" w:rsidRPr="003E2BED" w:rsidRDefault="008F5714" w:rsidP="003E2BED">
            <w:pPr>
              <w:spacing w:after="0" w:line="240" w:lineRule="auto"/>
              <w:jc w:val="center"/>
              <w:rPr>
                <w:rFonts w:ascii="Times New Roman" w:hAnsi="Times New Roman" w:cs="Times New Roman"/>
                <w:b/>
                <w:bCs/>
                <w:color w:val="000000"/>
              </w:rPr>
            </w:pPr>
            <w:r w:rsidRPr="003E2BED">
              <w:rPr>
                <w:rFonts w:ascii="Times New Roman" w:hAnsi="Times New Roman" w:cs="Times New Roman"/>
                <w:b/>
                <w:bCs/>
                <w:color w:val="000000"/>
              </w:rPr>
              <w:t>Enforcing contracts</w:t>
            </w:r>
          </w:p>
        </w:tc>
      </w:tr>
      <w:tr w:rsidR="008F5714" w:rsidRPr="00647951" w14:paraId="6F5D3174" w14:textId="77777777" w:rsidTr="003E2BED">
        <w:trPr>
          <w:trHeight w:val="277"/>
          <w:jc w:val="center"/>
        </w:trPr>
        <w:tc>
          <w:tcPr>
            <w:tcW w:w="866" w:type="pct"/>
            <w:tcBorders>
              <w:top w:val="nil"/>
              <w:left w:val="single" w:sz="4" w:space="0" w:color="auto"/>
              <w:bottom w:val="nil"/>
              <w:right w:val="single" w:sz="4" w:space="0" w:color="auto"/>
            </w:tcBorders>
            <w:shd w:val="clear" w:color="auto" w:fill="auto"/>
            <w:vAlign w:val="center"/>
            <w:hideMark/>
          </w:tcPr>
          <w:p w14:paraId="13F40D60" w14:textId="77777777" w:rsidR="008F5714" w:rsidRPr="00457B35" w:rsidRDefault="008F5714" w:rsidP="009A1E7F">
            <w:pPr>
              <w:spacing w:after="0" w:line="240" w:lineRule="auto"/>
              <w:rPr>
                <w:rFonts w:ascii="Times New Roman" w:hAnsi="Times New Roman" w:cs="Times New Roman"/>
                <w:b/>
                <w:bCs/>
                <w:color w:val="000000"/>
              </w:rPr>
            </w:pPr>
            <w:r w:rsidRPr="00457B35">
              <w:rPr>
                <w:rFonts w:ascii="Times New Roman" w:hAnsi="Times New Roman" w:cs="Times New Roman"/>
                <w:b/>
                <w:bCs/>
                <w:color w:val="000000"/>
              </w:rPr>
              <w:t>Bangladesh</w:t>
            </w:r>
          </w:p>
        </w:tc>
        <w:tc>
          <w:tcPr>
            <w:tcW w:w="783" w:type="pct"/>
            <w:tcBorders>
              <w:top w:val="nil"/>
              <w:left w:val="nil"/>
              <w:bottom w:val="nil"/>
              <w:right w:val="nil"/>
            </w:tcBorders>
            <w:shd w:val="clear" w:color="auto" w:fill="auto"/>
            <w:noWrap/>
            <w:vAlign w:val="bottom"/>
            <w:hideMark/>
          </w:tcPr>
          <w:p w14:paraId="14B1D3ED"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176</w:t>
            </w:r>
          </w:p>
        </w:tc>
        <w:tc>
          <w:tcPr>
            <w:tcW w:w="639" w:type="pct"/>
            <w:tcBorders>
              <w:top w:val="nil"/>
              <w:left w:val="single" w:sz="4" w:space="0" w:color="auto"/>
              <w:bottom w:val="nil"/>
              <w:right w:val="single" w:sz="4" w:space="0" w:color="auto"/>
            </w:tcBorders>
            <w:shd w:val="clear" w:color="auto" w:fill="auto"/>
            <w:noWrap/>
            <w:vAlign w:val="bottom"/>
            <w:hideMark/>
          </w:tcPr>
          <w:p w14:paraId="051BD97B"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122</w:t>
            </w:r>
          </w:p>
        </w:tc>
        <w:tc>
          <w:tcPr>
            <w:tcW w:w="716" w:type="pct"/>
            <w:tcBorders>
              <w:top w:val="nil"/>
              <w:left w:val="nil"/>
              <w:bottom w:val="nil"/>
              <w:right w:val="nil"/>
            </w:tcBorders>
            <w:shd w:val="clear" w:color="auto" w:fill="auto"/>
            <w:noWrap/>
            <w:vAlign w:val="bottom"/>
            <w:hideMark/>
          </w:tcPr>
          <w:p w14:paraId="187307DF"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185</w:t>
            </w:r>
          </w:p>
        </w:tc>
        <w:tc>
          <w:tcPr>
            <w:tcW w:w="597" w:type="pct"/>
            <w:tcBorders>
              <w:top w:val="nil"/>
              <w:left w:val="single" w:sz="4" w:space="0" w:color="auto"/>
              <w:bottom w:val="nil"/>
              <w:right w:val="single" w:sz="4" w:space="0" w:color="auto"/>
            </w:tcBorders>
            <w:shd w:val="clear" w:color="auto" w:fill="auto"/>
            <w:noWrap/>
            <w:vAlign w:val="bottom"/>
            <w:hideMark/>
          </w:tcPr>
          <w:p w14:paraId="1001B4BB"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157</w:t>
            </w:r>
          </w:p>
        </w:tc>
        <w:tc>
          <w:tcPr>
            <w:tcW w:w="658" w:type="pct"/>
            <w:tcBorders>
              <w:top w:val="nil"/>
              <w:left w:val="nil"/>
              <w:bottom w:val="nil"/>
              <w:right w:val="nil"/>
            </w:tcBorders>
            <w:shd w:val="clear" w:color="auto" w:fill="auto"/>
            <w:noWrap/>
            <w:vAlign w:val="bottom"/>
            <w:hideMark/>
          </w:tcPr>
          <w:p w14:paraId="2C7F1EAF"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173</w:t>
            </w:r>
          </w:p>
        </w:tc>
        <w:tc>
          <w:tcPr>
            <w:tcW w:w="741" w:type="pct"/>
            <w:tcBorders>
              <w:top w:val="nil"/>
              <w:left w:val="single" w:sz="4" w:space="0" w:color="auto"/>
              <w:bottom w:val="nil"/>
              <w:right w:val="single" w:sz="4" w:space="0" w:color="auto"/>
            </w:tcBorders>
            <w:shd w:val="clear" w:color="auto" w:fill="auto"/>
            <w:noWrap/>
            <w:vAlign w:val="bottom"/>
            <w:hideMark/>
          </w:tcPr>
          <w:p w14:paraId="23C8F49F"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189</w:t>
            </w:r>
          </w:p>
        </w:tc>
      </w:tr>
      <w:tr w:rsidR="008F5714" w:rsidRPr="00647951" w14:paraId="6086AF29" w14:textId="77777777" w:rsidTr="003E2BED">
        <w:trPr>
          <w:trHeight w:val="272"/>
          <w:jc w:val="center"/>
        </w:trPr>
        <w:tc>
          <w:tcPr>
            <w:tcW w:w="866" w:type="pct"/>
            <w:tcBorders>
              <w:top w:val="nil"/>
              <w:left w:val="single" w:sz="4" w:space="0" w:color="auto"/>
              <w:bottom w:val="nil"/>
              <w:right w:val="single" w:sz="4" w:space="0" w:color="auto"/>
            </w:tcBorders>
            <w:shd w:val="clear" w:color="auto" w:fill="auto"/>
            <w:vAlign w:val="center"/>
            <w:hideMark/>
          </w:tcPr>
          <w:p w14:paraId="653F2A19" w14:textId="77777777" w:rsidR="008F5714" w:rsidRPr="00457B35" w:rsidRDefault="008F5714" w:rsidP="009A1E7F">
            <w:pPr>
              <w:spacing w:after="0" w:line="240" w:lineRule="auto"/>
              <w:rPr>
                <w:rFonts w:ascii="Times New Roman" w:hAnsi="Times New Roman" w:cs="Times New Roman"/>
                <w:b/>
                <w:bCs/>
                <w:color w:val="000000"/>
              </w:rPr>
            </w:pPr>
            <w:r w:rsidRPr="00457B35">
              <w:rPr>
                <w:rFonts w:ascii="Times New Roman" w:hAnsi="Times New Roman" w:cs="Times New Roman"/>
                <w:b/>
                <w:bCs/>
                <w:color w:val="000000"/>
              </w:rPr>
              <w:t>Singapore</w:t>
            </w:r>
          </w:p>
        </w:tc>
        <w:tc>
          <w:tcPr>
            <w:tcW w:w="783" w:type="pct"/>
            <w:tcBorders>
              <w:top w:val="nil"/>
              <w:left w:val="nil"/>
              <w:bottom w:val="nil"/>
              <w:right w:val="nil"/>
            </w:tcBorders>
            <w:shd w:val="clear" w:color="auto" w:fill="auto"/>
            <w:noWrap/>
            <w:vAlign w:val="bottom"/>
            <w:hideMark/>
          </w:tcPr>
          <w:p w14:paraId="433EDDC5"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2</w:t>
            </w:r>
          </w:p>
        </w:tc>
        <w:tc>
          <w:tcPr>
            <w:tcW w:w="639" w:type="pct"/>
            <w:tcBorders>
              <w:top w:val="nil"/>
              <w:left w:val="single" w:sz="4" w:space="0" w:color="auto"/>
              <w:bottom w:val="nil"/>
              <w:right w:val="single" w:sz="4" w:space="0" w:color="auto"/>
            </w:tcBorders>
            <w:shd w:val="clear" w:color="auto" w:fill="auto"/>
            <w:noWrap/>
            <w:vAlign w:val="bottom"/>
            <w:hideMark/>
          </w:tcPr>
          <w:p w14:paraId="5DCE9C7E"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6</w:t>
            </w:r>
          </w:p>
        </w:tc>
        <w:tc>
          <w:tcPr>
            <w:tcW w:w="716" w:type="pct"/>
            <w:tcBorders>
              <w:top w:val="nil"/>
              <w:left w:val="nil"/>
              <w:bottom w:val="nil"/>
              <w:right w:val="nil"/>
            </w:tcBorders>
            <w:shd w:val="clear" w:color="auto" w:fill="auto"/>
            <w:noWrap/>
            <w:vAlign w:val="bottom"/>
            <w:hideMark/>
          </w:tcPr>
          <w:p w14:paraId="5A566404"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19</w:t>
            </w:r>
          </w:p>
        </w:tc>
        <w:tc>
          <w:tcPr>
            <w:tcW w:w="597" w:type="pct"/>
            <w:tcBorders>
              <w:top w:val="nil"/>
              <w:left w:val="single" w:sz="4" w:space="0" w:color="auto"/>
              <w:bottom w:val="nil"/>
              <w:right w:val="single" w:sz="4" w:space="0" w:color="auto"/>
            </w:tcBorders>
            <w:shd w:val="clear" w:color="auto" w:fill="auto"/>
            <w:noWrap/>
            <w:vAlign w:val="bottom"/>
            <w:hideMark/>
          </w:tcPr>
          <w:p w14:paraId="3F47C9EA"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20</w:t>
            </w:r>
          </w:p>
        </w:tc>
        <w:tc>
          <w:tcPr>
            <w:tcW w:w="658" w:type="pct"/>
            <w:tcBorders>
              <w:top w:val="nil"/>
              <w:left w:val="nil"/>
              <w:bottom w:val="nil"/>
              <w:right w:val="nil"/>
            </w:tcBorders>
            <w:shd w:val="clear" w:color="auto" w:fill="auto"/>
            <w:noWrap/>
            <w:vAlign w:val="bottom"/>
            <w:hideMark/>
          </w:tcPr>
          <w:p w14:paraId="4019F564"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41</w:t>
            </w:r>
          </w:p>
        </w:tc>
        <w:tc>
          <w:tcPr>
            <w:tcW w:w="741" w:type="pct"/>
            <w:tcBorders>
              <w:top w:val="nil"/>
              <w:left w:val="single" w:sz="4" w:space="0" w:color="auto"/>
              <w:bottom w:val="nil"/>
              <w:right w:val="single" w:sz="4" w:space="0" w:color="auto"/>
            </w:tcBorders>
            <w:shd w:val="clear" w:color="auto" w:fill="auto"/>
            <w:noWrap/>
            <w:vAlign w:val="bottom"/>
            <w:hideMark/>
          </w:tcPr>
          <w:p w14:paraId="3EE7DFEF"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2</w:t>
            </w:r>
          </w:p>
        </w:tc>
      </w:tr>
      <w:tr w:rsidR="008F5714" w:rsidRPr="00647951" w14:paraId="22A4402B" w14:textId="77777777" w:rsidTr="003E2BED">
        <w:trPr>
          <w:trHeight w:val="221"/>
          <w:jc w:val="center"/>
        </w:trPr>
        <w:tc>
          <w:tcPr>
            <w:tcW w:w="866" w:type="pct"/>
            <w:tcBorders>
              <w:top w:val="nil"/>
              <w:left w:val="single" w:sz="4" w:space="0" w:color="auto"/>
              <w:bottom w:val="nil"/>
              <w:right w:val="single" w:sz="4" w:space="0" w:color="auto"/>
            </w:tcBorders>
            <w:shd w:val="clear" w:color="auto" w:fill="auto"/>
            <w:vAlign w:val="center"/>
            <w:hideMark/>
          </w:tcPr>
          <w:p w14:paraId="29FAA1D8" w14:textId="77777777" w:rsidR="008F5714" w:rsidRPr="00457B35" w:rsidRDefault="008F5714" w:rsidP="009A1E7F">
            <w:pPr>
              <w:spacing w:after="0" w:line="240" w:lineRule="auto"/>
              <w:rPr>
                <w:rFonts w:ascii="Times New Roman" w:hAnsi="Times New Roman" w:cs="Times New Roman"/>
                <w:b/>
                <w:bCs/>
                <w:color w:val="000000"/>
              </w:rPr>
            </w:pPr>
            <w:r w:rsidRPr="00457B35">
              <w:rPr>
                <w:rFonts w:ascii="Times New Roman" w:hAnsi="Times New Roman" w:cs="Times New Roman"/>
                <w:b/>
                <w:bCs/>
                <w:color w:val="000000"/>
              </w:rPr>
              <w:t>Hong Kong</w:t>
            </w:r>
          </w:p>
        </w:tc>
        <w:tc>
          <w:tcPr>
            <w:tcW w:w="783" w:type="pct"/>
            <w:tcBorders>
              <w:top w:val="nil"/>
              <w:left w:val="nil"/>
              <w:bottom w:val="nil"/>
              <w:right w:val="nil"/>
            </w:tcBorders>
            <w:shd w:val="clear" w:color="auto" w:fill="auto"/>
            <w:noWrap/>
            <w:vAlign w:val="bottom"/>
            <w:hideMark/>
          </w:tcPr>
          <w:p w14:paraId="0F1FAF2B"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4</w:t>
            </w:r>
          </w:p>
        </w:tc>
        <w:tc>
          <w:tcPr>
            <w:tcW w:w="639" w:type="pct"/>
            <w:tcBorders>
              <w:top w:val="nil"/>
              <w:left w:val="single" w:sz="4" w:space="0" w:color="auto"/>
              <w:bottom w:val="nil"/>
              <w:right w:val="single" w:sz="4" w:space="0" w:color="auto"/>
            </w:tcBorders>
            <w:shd w:val="clear" w:color="auto" w:fill="auto"/>
            <w:noWrap/>
            <w:vAlign w:val="bottom"/>
            <w:hideMark/>
          </w:tcPr>
          <w:p w14:paraId="4D8FB3FA"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3</w:t>
            </w:r>
          </w:p>
        </w:tc>
        <w:tc>
          <w:tcPr>
            <w:tcW w:w="716" w:type="pct"/>
            <w:tcBorders>
              <w:top w:val="nil"/>
              <w:left w:val="nil"/>
              <w:bottom w:val="nil"/>
              <w:right w:val="nil"/>
            </w:tcBorders>
            <w:shd w:val="clear" w:color="auto" w:fill="auto"/>
            <w:noWrap/>
            <w:vAlign w:val="bottom"/>
            <w:hideMark/>
          </w:tcPr>
          <w:p w14:paraId="1CF84FDF"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61</w:t>
            </w:r>
          </w:p>
        </w:tc>
        <w:tc>
          <w:tcPr>
            <w:tcW w:w="597" w:type="pct"/>
            <w:tcBorders>
              <w:top w:val="nil"/>
              <w:left w:val="single" w:sz="4" w:space="0" w:color="auto"/>
              <w:bottom w:val="nil"/>
              <w:right w:val="single" w:sz="4" w:space="0" w:color="auto"/>
            </w:tcBorders>
            <w:shd w:val="clear" w:color="auto" w:fill="auto"/>
            <w:noWrap/>
            <w:vAlign w:val="bottom"/>
            <w:hideMark/>
          </w:tcPr>
          <w:p w14:paraId="7D1CCD83"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20</w:t>
            </w:r>
          </w:p>
        </w:tc>
        <w:tc>
          <w:tcPr>
            <w:tcW w:w="658" w:type="pct"/>
            <w:tcBorders>
              <w:top w:val="nil"/>
              <w:left w:val="nil"/>
              <w:bottom w:val="nil"/>
              <w:right w:val="nil"/>
            </w:tcBorders>
            <w:shd w:val="clear" w:color="auto" w:fill="auto"/>
            <w:noWrap/>
            <w:vAlign w:val="bottom"/>
            <w:hideMark/>
          </w:tcPr>
          <w:p w14:paraId="550520EF"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42</w:t>
            </w:r>
          </w:p>
        </w:tc>
        <w:tc>
          <w:tcPr>
            <w:tcW w:w="741" w:type="pct"/>
            <w:tcBorders>
              <w:top w:val="nil"/>
              <w:left w:val="single" w:sz="4" w:space="0" w:color="auto"/>
              <w:bottom w:val="nil"/>
              <w:right w:val="single" w:sz="4" w:space="0" w:color="auto"/>
            </w:tcBorders>
            <w:shd w:val="clear" w:color="auto" w:fill="auto"/>
            <w:noWrap/>
            <w:vAlign w:val="bottom"/>
            <w:hideMark/>
          </w:tcPr>
          <w:p w14:paraId="40CD64E3"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21</w:t>
            </w:r>
          </w:p>
        </w:tc>
      </w:tr>
      <w:tr w:rsidR="008F5714" w:rsidRPr="00647951" w14:paraId="449C371A" w14:textId="77777777" w:rsidTr="003E2BED">
        <w:trPr>
          <w:trHeight w:val="351"/>
          <w:jc w:val="center"/>
        </w:trPr>
        <w:tc>
          <w:tcPr>
            <w:tcW w:w="866" w:type="pct"/>
            <w:tcBorders>
              <w:top w:val="nil"/>
              <w:left w:val="single" w:sz="4" w:space="0" w:color="auto"/>
              <w:bottom w:val="nil"/>
              <w:right w:val="single" w:sz="4" w:space="0" w:color="auto"/>
            </w:tcBorders>
            <w:shd w:val="clear" w:color="auto" w:fill="auto"/>
            <w:vAlign w:val="center"/>
            <w:hideMark/>
          </w:tcPr>
          <w:p w14:paraId="123E7416" w14:textId="77777777" w:rsidR="008F5714" w:rsidRPr="00457B35" w:rsidRDefault="008F5714" w:rsidP="009A1E7F">
            <w:pPr>
              <w:spacing w:after="0" w:line="240" w:lineRule="auto"/>
              <w:rPr>
                <w:rFonts w:ascii="Times New Roman" w:hAnsi="Times New Roman" w:cs="Times New Roman"/>
                <w:b/>
                <w:bCs/>
                <w:color w:val="000000"/>
              </w:rPr>
            </w:pPr>
            <w:r w:rsidRPr="00457B35">
              <w:rPr>
                <w:rFonts w:ascii="Times New Roman" w:hAnsi="Times New Roman" w:cs="Times New Roman"/>
                <w:b/>
                <w:bCs/>
                <w:color w:val="000000"/>
              </w:rPr>
              <w:t>South Korea</w:t>
            </w:r>
          </w:p>
        </w:tc>
        <w:tc>
          <w:tcPr>
            <w:tcW w:w="783" w:type="pct"/>
            <w:tcBorders>
              <w:top w:val="nil"/>
              <w:left w:val="nil"/>
              <w:bottom w:val="nil"/>
              <w:right w:val="nil"/>
            </w:tcBorders>
            <w:shd w:val="clear" w:color="auto" w:fill="auto"/>
            <w:noWrap/>
            <w:vAlign w:val="bottom"/>
            <w:hideMark/>
          </w:tcPr>
          <w:p w14:paraId="00F827E5"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5</w:t>
            </w:r>
          </w:p>
        </w:tc>
        <w:tc>
          <w:tcPr>
            <w:tcW w:w="639" w:type="pct"/>
            <w:tcBorders>
              <w:top w:val="nil"/>
              <w:left w:val="single" w:sz="4" w:space="0" w:color="auto"/>
              <w:bottom w:val="nil"/>
              <w:right w:val="single" w:sz="4" w:space="0" w:color="auto"/>
            </w:tcBorders>
            <w:shd w:val="clear" w:color="auto" w:fill="auto"/>
            <w:noWrap/>
            <w:vAlign w:val="bottom"/>
            <w:hideMark/>
          </w:tcPr>
          <w:p w14:paraId="4B1F1CA3"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11</w:t>
            </w:r>
          </w:p>
        </w:tc>
        <w:tc>
          <w:tcPr>
            <w:tcW w:w="716" w:type="pct"/>
            <w:tcBorders>
              <w:top w:val="nil"/>
              <w:left w:val="nil"/>
              <w:bottom w:val="nil"/>
              <w:right w:val="nil"/>
            </w:tcBorders>
            <w:shd w:val="clear" w:color="auto" w:fill="auto"/>
            <w:noWrap/>
            <w:vAlign w:val="bottom"/>
            <w:hideMark/>
          </w:tcPr>
          <w:p w14:paraId="039A65A6"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39</w:t>
            </w:r>
          </w:p>
        </w:tc>
        <w:tc>
          <w:tcPr>
            <w:tcW w:w="597" w:type="pct"/>
            <w:tcBorders>
              <w:top w:val="nil"/>
              <w:left w:val="single" w:sz="4" w:space="0" w:color="auto"/>
              <w:bottom w:val="nil"/>
              <w:right w:val="single" w:sz="4" w:space="0" w:color="auto"/>
            </w:tcBorders>
            <w:shd w:val="clear" w:color="auto" w:fill="auto"/>
            <w:noWrap/>
            <w:vAlign w:val="bottom"/>
            <w:hideMark/>
          </w:tcPr>
          <w:p w14:paraId="553A345F"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44</w:t>
            </w:r>
          </w:p>
        </w:tc>
        <w:tc>
          <w:tcPr>
            <w:tcW w:w="658" w:type="pct"/>
            <w:tcBorders>
              <w:top w:val="nil"/>
              <w:left w:val="nil"/>
              <w:bottom w:val="nil"/>
              <w:right w:val="nil"/>
            </w:tcBorders>
            <w:shd w:val="clear" w:color="auto" w:fill="auto"/>
            <w:noWrap/>
            <w:vAlign w:val="bottom"/>
            <w:hideMark/>
          </w:tcPr>
          <w:p w14:paraId="34F7FAA7"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32</w:t>
            </w:r>
          </w:p>
        </w:tc>
        <w:tc>
          <w:tcPr>
            <w:tcW w:w="741" w:type="pct"/>
            <w:tcBorders>
              <w:top w:val="nil"/>
              <w:left w:val="single" w:sz="4" w:space="0" w:color="auto"/>
              <w:bottom w:val="nil"/>
              <w:right w:val="single" w:sz="4" w:space="0" w:color="auto"/>
            </w:tcBorders>
            <w:shd w:val="clear" w:color="auto" w:fill="auto"/>
            <w:noWrap/>
            <w:vAlign w:val="bottom"/>
            <w:hideMark/>
          </w:tcPr>
          <w:p w14:paraId="28579FDA"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1</w:t>
            </w:r>
          </w:p>
        </w:tc>
      </w:tr>
      <w:tr w:rsidR="008F5714" w:rsidRPr="00647951" w14:paraId="113CABA6" w14:textId="77777777" w:rsidTr="003E2BED">
        <w:trPr>
          <w:trHeight w:val="272"/>
          <w:jc w:val="center"/>
        </w:trPr>
        <w:tc>
          <w:tcPr>
            <w:tcW w:w="866" w:type="pct"/>
            <w:tcBorders>
              <w:top w:val="nil"/>
              <w:left w:val="single" w:sz="4" w:space="0" w:color="auto"/>
              <w:bottom w:val="nil"/>
              <w:right w:val="single" w:sz="4" w:space="0" w:color="auto"/>
            </w:tcBorders>
            <w:shd w:val="clear" w:color="auto" w:fill="auto"/>
            <w:vAlign w:val="center"/>
            <w:hideMark/>
          </w:tcPr>
          <w:p w14:paraId="37FAB02B" w14:textId="77777777" w:rsidR="008F5714" w:rsidRPr="00457B35" w:rsidRDefault="008F5714" w:rsidP="009A1E7F">
            <w:pPr>
              <w:spacing w:after="0" w:line="240" w:lineRule="auto"/>
              <w:rPr>
                <w:rFonts w:ascii="Times New Roman" w:hAnsi="Times New Roman" w:cs="Times New Roman"/>
                <w:b/>
                <w:bCs/>
                <w:color w:val="000000"/>
              </w:rPr>
            </w:pPr>
            <w:r w:rsidRPr="00457B35">
              <w:rPr>
                <w:rFonts w:ascii="Times New Roman" w:hAnsi="Times New Roman" w:cs="Times New Roman"/>
                <w:b/>
                <w:bCs/>
                <w:color w:val="000000"/>
              </w:rPr>
              <w:t>China</w:t>
            </w:r>
          </w:p>
        </w:tc>
        <w:tc>
          <w:tcPr>
            <w:tcW w:w="783" w:type="pct"/>
            <w:tcBorders>
              <w:top w:val="nil"/>
              <w:left w:val="nil"/>
              <w:bottom w:val="nil"/>
              <w:right w:val="nil"/>
            </w:tcBorders>
            <w:shd w:val="clear" w:color="auto" w:fill="auto"/>
            <w:noWrap/>
            <w:vAlign w:val="bottom"/>
            <w:hideMark/>
          </w:tcPr>
          <w:p w14:paraId="274545A7"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78</w:t>
            </w:r>
          </w:p>
        </w:tc>
        <w:tc>
          <w:tcPr>
            <w:tcW w:w="639" w:type="pct"/>
            <w:tcBorders>
              <w:top w:val="nil"/>
              <w:left w:val="single" w:sz="4" w:space="0" w:color="auto"/>
              <w:bottom w:val="nil"/>
              <w:right w:val="single" w:sz="4" w:space="0" w:color="auto"/>
            </w:tcBorders>
            <w:shd w:val="clear" w:color="auto" w:fill="auto"/>
            <w:noWrap/>
            <w:vAlign w:val="bottom"/>
            <w:hideMark/>
          </w:tcPr>
          <w:p w14:paraId="278DDDF4"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127</w:t>
            </w:r>
          </w:p>
        </w:tc>
        <w:tc>
          <w:tcPr>
            <w:tcW w:w="716" w:type="pct"/>
            <w:tcBorders>
              <w:top w:val="nil"/>
              <w:left w:val="nil"/>
              <w:bottom w:val="nil"/>
              <w:right w:val="nil"/>
            </w:tcBorders>
            <w:shd w:val="clear" w:color="auto" w:fill="auto"/>
            <w:noWrap/>
            <w:vAlign w:val="bottom"/>
            <w:hideMark/>
          </w:tcPr>
          <w:p w14:paraId="08889BA8"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42</w:t>
            </w:r>
          </w:p>
        </w:tc>
        <w:tc>
          <w:tcPr>
            <w:tcW w:w="597" w:type="pct"/>
            <w:tcBorders>
              <w:top w:val="nil"/>
              <w:left w:val="single" w:sz="4" w:space="0" w:color="auto"/>
              <w:bottom w:val="nil"/>
              <w:right w:val="single" w:sz="4" w:space="0" w:color="auto"/>
            </w:tcBorders>
            <w:shd w:val="clear" w:color="auto" w:fill="auto"/>
            <w:noWrap/>
            <w:vAlign w:val="bottom"/>
            <w:hideMark/>
          </w:tcPr>
          <w:p w14:paraId="7BC8307A"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62</w:t>
            </w:r>
          </w:p>
        </w:tc>
        <w:tc>
          <w:tcPr>
            <w:tcW w:w="658" w:type="pct"/>
            <w:tcBorders>
              <w:top w:val="nil"/>
              <w:left w:val="nil"/>
              <w:bottom w:val="nil"/>
              <w:right w:val="nil"/>
            </w:tcBorders>
            <w:shd w:val="clear" w:color="auto" w:fill="auto"/>
            <w:noWrap/>
            <w:vAlign w:val="bottom"/>
            <w:hideMark/>
          </w:tcPr>
          <w:p w14:paraId="49F8BE38"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96</w:t>
            </w:r>
          </w:p>
        </w:tc>
        <w:tc>
          <w:tcPr>
            <w:tcW w:w="741" w:type="pct"/>
            <w:tcBorders>
              <w:top w:val="nil"/>
              <w:left w:val="single" w:sz="4" w:space="0" w:color="auto"/>
              <w:bottom w:val="nil"/>
              <w:right w:val="single" w:sz="4" w:space="0" w:color="auto"/>
            </w:tcBorders>
            <w:shd w:val="clear" w:color="auto" w:fill="auto"/>
            <w:noWrap/>
            <w:vAlign w:val="bottom"/>
            <w:hideMark/>
          </w:tcPr>
          <w:p w14:paraId="66A63498"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5</w:t>
            </w:r>
          </w:p>
        </w:tc>
      </w:tr>
      <w:tr w:rsidR="008F5714" w:rsidRPr="00647951" w14:paraId="63ABF633" w14:textId="77777777" w:rsidTr="003E2BED">
        <w:trPr>
          <w:trHeight w:val="272"/>
          <w:jc w:val="center"/>
        </w:trPr>
        <w:tc>
          <w:tcPr>
            <w:tcW w:w="866" w:type="pct"/>
            <w:tcBorders>
              <w:top w:val="nil"/>
              <w:left w:val="single" w:sz="4" w:space="0" w:color="auto"/>
              <w:bottom w:val="nil"/>
              <w:right w:val="single" w:sz="4" w:space="0" w:color="auto"/>
            </w:tcBorders>
            <w:shd w:val="clear" w:color="auto" w:fill="auto"/>
            <w:vAlign w:val="center"/>
            <w:hideMark/>
          </w:tcPr>
          <w:p w14:paraId="5F91BF84" w14:textId="77777777" w:rsidR="008F5714" w:rsidRPr="00457B35" w:rsidRDefault="008F5714" w:rsidP="009A1E7F">
            <w:pPr>
              <w:spacing w:after="0" w:line="240" w:lineRule="auto"/>
              <w:rPr>
                <w:rFonts w:ascii="Times New Roman" w:hAnsi="Times New Roman" w:cs="Times New Roman"/>
                <w:b/>
                <w:bCs/>
                <w:color w:val="000000"/>
              </w:rPr>
            </w:pPr>
            <w:r w:rsidRPr="00457B35">
              <w:rPr>
                <w:rFonts w:ascii="Times New Roman" w:hAnsi="Times New Roman" w:cs="Times New Roman"/>
                <w:b/>
                <w:bCs/>
                <w:color w:val="000000"/>
              </w:rPr>
              <w:t>Malaysia</w:t>
            </w:r>
          </w:p>
        </w:tc>
        <w:tc>
          <w:tcPr>
            <w:tcW w:w="783" w:type="pct"/>
            <w:tcBorders>
              <w:top w:val="nil"/>
              <w:left w:val="nil"/>
              <w:bottom w:val="nil"/>
              <w:right w:val="nil"/>
            </w:tcBorders>
            <w:shd w:val="clear" w:color="auto" w:fill="auto"/>
            <w:noWrap/>
            <w:vAlign w:val="bottom"/>
            <w:hideMark/>
          </w:tcPr>
          <w:p w14:paraId="756D1E57"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23</w:t>
            </w:r>
          </w:p>
        </w:tc>
        <w:tc>
          <w:tcPr>
            <w:tcW w:w="639" w:type="pct"/>
            <w:tcBorders>
              <w:top w:val="nil"/>
              <w:left w:val="single" w:sz="4" w:space="0" w:color="auto"/>
              <w:bottom w:val="nil"/>
              <w:right w:val="single" w:sz="4" w:space="0" w:color="auto"/>
            </w:tcBorders>
            <w:shd w:val="clear" w:color="auto" w:fill="auto"/>
            <w:noWrap/>
            <w:vAlign w:val="bottom"/>
            <w:hideMark/>
          </w:tcPr>
          <w:p w14:paraId="7631E551"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112</w:t>
            </w:r>
          </w:p>
        </w:tc>
        <w:tc>
          <w:tcPr>
            <w:tcW w:w="716" w:type="pct"/>
            <w:tcBorders>
              <w:top w:val="nil"/>
              <w:left w:val="nil"/>
              <w:bottom w:val="nil"/>
              <w:right w:val="nil"/>
            </w:tcBorders>
            <w:shd w:val="clear" w:color="auto" w:fill="auto"/>
            <w:noWrap/>
            <w:vAlign w:val="bottom"/>
            <w:hideMark/>
          </w:tcPr>
          <w:p w14:paraId="73373C0C"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40</w:t>
            </w:r>
          </w:p>
        </w:tc>
        <w:tc>
          <w:tcPr>
            <w:tcW w:w="597" w:type="pct"/>
            <w:tcBorders>
              <w:top w:val="nil"/>
              <w:left w:val="single" w:sz="4" w:space="0" w:color="auto"/>
              <w:bottom w:val="nil"/>
              <w:right w:val="single" w:sz="4" w:space="0" w:color="auto"/>
            </w:tcBorders>
            <w:shd w:val="clear" w:color="auto" w:fill="auto"/>
            <w:noWrap/>
            <w:vAlign w:val="bottom"/>
            <w:hideMark/>
          </w:tcPr>
          <w:p w14:paraId="2907A0A8"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20</w:t>
            </w:r>
          </w:p>
        </w:tc>
        <w:tc>
          <w:tcPr>
            <w:tcW w:w="658" w:type="pct"/>
            <w:tcBorders>
              <w:top w:val="nil"/>
              <w:left w:val="nil"/>
              <w:bottom w:val="nil"/>
              <w:right w:val="nil"/>
            </w:tcBorders>
            <w:shd w:val="clear" w:color="auto" w:fill="auto"/>
            <w:noWrap/>
            <w:vAlign w:val="bottom"/>
            <w:hideMark/>
          </w:tcPr>
          <w:p w14:paraId="24AB1018"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60</w:t>
            </w:r>
          </w:p>
        </w:tc>
        <w:tc>
          <w:tcPr>
            <w:tcW w:w="741" w:type="pct"/>
            <w:tcBorders>
              <w:top w:val="nil"/>
              <w:left w:val="single" w:sz="4" w:space="0" w:color="auto"/>
              <w:bottom w:val="nil"/>
              <w:right w:val="single" w:sz="4" w:space="0" w:color="auto"/>
            </w:tcBorders>
            <w:shd w:val="clear" w:color="auto" w:fill="auto"/>
            <w:noWrap/>
            <w:vAlign w:val="bottom"/>
            <w:hideMark/>
          </w:tcPr>
          <w:p w14:paraId="519531FF"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42</w:t>
            </w:r>
          </w:p>
        </w:tc>
      </w:tr>
      <w:tr w:rsidR="008F5714" w:rsidRPr="00647951" w14:paraId="4D2A3795" w14:textId="77777777" w:rsidTr="003E2BED">
        <w:trPr>
          <w:trHeight w:val="272"/>
          <w:jc w:val="center"/>
        </w:trPr>
        <w:tc>
          <w:tcPr>
            <w:tcW w:w="866" w:type="pct"/>
            <w:tcBorders>
              <w:top w:val="nil"/>
              <w:left w:val="single" w:sz="4" w:space="0" w:color="auto"/>
              <w:bottom w:val="nil"/>
              <w:right w:val="single" w:sz="4" w:space="0" w:color="auto"/>
            </w:tcBorders>
            <w:shd w:val="clear" w:color="auto" w:fill="auto"/>
            <w:vAlign w:val="center"/>
            <w:hideMark/>
          </w:tcPr>
          <w:p w14:paraId="5710F850" w14:textId="77777777" w:rsidR="008F5714" w:rsidRPr="00457B35" w:rsidRDefault="008F5714" w:rsidP="009A1E7F">
            <w:pPr>
              <w:spacing w:after="0" w:line="240" w:lineRule="auto"/>
              <w:rPr>
                <w:rFonts w:ascii="Times New Roman" w:hAnsi="Times New Roman" w:cs="Times New Roman"/>
                <w:b/>
                <w:bCs/>
                <w:color w:val="000000"/>
              </w:rPr>
            </w:pPr>
            <w:r w:rsidRPr="00457B35">
              <w:rPr>
                <w:rFonts w:ascii="Times New Roman" w:hAnsi="Times New Roman" w:cs="Times New Roman"/>
                <w:b/>
                <w:bCs/>
                <w:color w:val="000000"/>
              </w:rPr>
              <w:t>India</w:t>
            </w:r>
          </w:p>
        </w:tc>
        <w:tc>
          <w:tcPr>
            <w:tcW w:w="783" w:type="pct"/>
            <w:tcBorders>
              <w:top w:val="nil"/>
              <w:left w:val="nil"/>
              <w:bottom w:val="nil"/>
              <w:right w:val="nil"/>
            </w:tcBorders>
            <w:shd w:val="clear" w:color="auto" w:fill="auto"/>
            <w:noWrap/>
            <w:vAlign w:val="bottom"/>
            <w:hideMark/>
          </w:tcPr>
          <w:p w14:paraId="41130395"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130</w:t>
            </w:r>
          </w:p>
        </w:tc>
        <w:tc>
          <w:tcPr>
            <w:tcW w:w="639" w:type="pct"/>
            <w:tcBorders>
              <w:top w:val="nil"/>
              <w:left w:val="single" w:sz="4" w:space="0" w:color="auto"/>
              <w:bottom w:val="nil"/>
              <w:right w:val="single" w:sz="4" w:space="0" w:color="auto"/>
            </w:tcBorders>
            <w:shd w:val="clear" w:color="auto" w:fill="auto"/>
            <w:noWrap/>
            <w:vAlign w:val="bottom"/>
            <w:hideMark/>
          </w:tcPr>
          <w:p w14:paraId="117D41E6"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155</w:t>
            </w:r>
          </w:p>
        </w:tc>
        <w:tc>
          <w:tcPr>
            <w:tcW w:w="716" w:type="pct"/>
            <w:tcBorders>
              <w:top w:val="nil"/>
              <w:left w:val="nil"/>
              <w:bottom w:val="nil"/>
              <w:right w:val="nil"/>
            </w:tcBorders>
            <w:shd w:val="clear" w:color="auto" w:fill="auto"/>
            <w:noWrap/>
            <w:vAlign w:val="bottom"/>
            <w:hideMark/>
          </w:tcPr>
          <w:p w14:paraId="0D55D512"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138</w:t>
            </w:r>
          </w:p>
        </w:tc>
        <w:tc>
          <w:tcPr>
            <w:tcW w:w="597" w:type="pct"/>
            <w:tcBorders>
              <w:top w:val="nil"/>
              <w:left w:val="single" w:sz="4" w:space="0" w:color="auto"/>
              <w:bottom w:val="nil"/>
              <w:right w:val="single" w:sz="4" w:space="0" w:color="auto"/>
            </w:tcBorders>
            <w:shd w:val="clear" w:color="auto" w:fill="auto"/>
            <w:noWrap/>
            <w:vAlign w:val="bottom"/>
            <w:hideMark/>
          </w:tcPr>
          <w:p w14:paraId="30DBD614"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44</w:t>
            </w:r>
          </w:p>
        </w:tc>
        <w:tc>
          <w:tcPr>
            <w:tcW w:w="658" w:type="pct"/>
            <w:tcBorders>
              <w:top w:val="nil"/>
              <w:left w:val="nil"/>
              <w:bottom w:val="nil"/>
              <w:right w:val="nil"/>
            </w:tcBorders>
            <w:shd w:val="clear" w:color="auto" w:fill="auto"/>
            <w:noWrap/>
            <w:vAlign w:val="bottom"/>
            <w:hideMark/>
          </w:tcPr>
          <w:p w14:paraId="7CB07C21"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143</w:t>
            </w:r>
          </w:p>
        </w:tc>
        <w:tc>
          <w:tcPr>
            <w:tcW w:w="741" w:type="pct"/>
            <w:tcBorders>
              <w:top w:val="nil"/>
              <w:left w:val="single" w:sz="4" w:space="0" w:color="auto"/>
              <w:bottom w:val="nil"/>
              <w:right w:val="single" w:sz="4" w:space="0" w:color="auto"/>
            </w:tcBorders>
            <w:shd w:val="clear" w:color="auto" w:fill="auto"/>
            <w:noWrap/>
            <w:vAlign w:val="bottom"/>
            <w:hideMark/>
          </w:tcPr>
          <w:p w14:paraId="1996E70A"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172</w:t>
            </w:r>
          </w:p>
        </w:tc>
      </w:tr>
      <w:tr w:rsidR="008F5714" w:rsidRPr="00647951" w14:paraId="360F672B" w14:textId="77777777" w:rsidTr="003E2BED">
        <w:trPr>
          <w:trHeight w:val="272"/>
          <w:jc w:val="center"/>
        </w:trPr>
        <w:tc>
          <w:tcPr>
            <w:tcW w:w="866" w:type="pct"/>
            <w:tcBorders>
              <w:top w:val="nil"/>
              <w:left w:val="single" w:sz="4" w:space="0" w:color="auto"/>
              <w:bottom w:val="nil"/>
              <w:right w:val="single" w:sz="4" w:space="0" w:color="auto"/>
            </w:tcBorders>
            <w:shd w:val="clear" w:color="auto" w:fill="auto"/>
            <w:vAlign w:val="center"/>
            <w:hideMark/>
          </w:tcPr>
          <w:p w14:paraId="67A33DDF" w14:textId="77777777" w:rsidR="008F5714" w:rsidRPr="00457B35" w:rsidRDefault="008F5714" w:rsidP="009A1E7F">
            <w:pPr>
              <w:spacing w:after="0" w:line="240" w:lineRule="auto"/>
              <w:rPr>
                <w:rFonts w:ascii="Times New Roman" w:hAnsi="Times New Roman" w:cs="Times New Roman"/>
                <w:b/>
                <w:bCs/>
                <w:color w:val="000000"/>
              </w:rPr>
            </w:pPr>
            <w:r w:rsidRPr="00457B35">
              <w:rPr>
                <w:rFonts w:ascii="Times New Roman" w:hAnsi="Times New Roman" w:cs="Times New Roman"/>
                <w:b/>
                <w:bCs/>
                <w:color w:val="000000"/>
              </w:rPr>
              <w:t>Thailand</w:t>
            </w:r>
          </w:p>
        </w:tc>
        <w:tc>
          <w:tcPr>
            <w:tcW w:w="783" w:type="pct"/>
            <w:tcBorders>
              <w:top w:val="nil"/>
              <w:left w:val="nil"/>
              <w:bottom w:val="nil"/>
              <w:right w:val="nil"/>
            </w:tcBorders>
            <w:shd w:val="clear" w:color="auto" w:fill="auto"/>
            <w:noWrap/>
            <w:vAlign w:val="bottom"/>
            <w:hideMark/>
          </w:tcPr>
          <w:p w14:paraId="7C897FAE"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46</w:t>
            </w:r>
          </w:p>
        </w:tc>
        <w:tc>
          <w:tcPr>
            <w:tcW w:w="639" w:type="pct"/>
            <w:tcBorders>
              <w:top w:val="nil"/>
              <w:left w:val="single" w:sz="4" w:space="0" w:color="auto"/>
              <w:bottom w:val="nil"/>
              <w:right w:val="single" w:sz="4" w:space="0" w:color="auto"/>
            </w:tcBorders>
            <w:shd w:val="clear" w:color="auto" w:fill="auto"/>
            <w:noWrap/>
            <w:vAlign w:val="bottom"/>
            <w:hideMark/>
          </w:tcPr>
          <w:p w14:paraId="41F43716"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78</w:t>
            </w:r>
          </w:p>
        </w:tc>
        <w:tc>
          <w:tcPr>
            <w:tcW w:w="716" w:type="pct"/>
            <w:tcBorders>
              <w:top w:val="nil"/>
              <w:left w:val="nil"/>
              <w:bottom w:val="nil"/>
              <w:right w:val="nil"/>
            </w:tcBorders>
            <w:shd w:val="clear" w:color="auto" w:fill="auto"/>
            <w:noWrap/>
            <w:vAlign w:val="bottom"/>
            <w:hideMark/>
          </w:tcPr>
          <w:p w14:paraId="50F23104"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68</w:t>
            </w:r>
          </w:p>
        </w:tc>
        <w:tc>
          <w:tcPr>
            <w:tcW w:w="597" w:type="pct"/>
            <w:tcBorders>
              <w:top w:val="nil"/>
              <w:left w:val="single" w:sz="4" w:space="0" w:color="auto"/>
              <w:bottom w:val="nil"/>
              <w:right w:val="single" w:sz="4" w:space="0" w:color="auto"/>
            </w:tcBorders>
            <w:shd w:val="clear" w:color="auto" w:fill="auto"/>
            <w:noWrap/>
            <w:vAlign w:val="bottom"/>
            <w:hideMark/>
          </w:tcPr>
          <w:p w14:paraId="764F411D"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82</w:t>
            </w:r>
          </w:p>
        </w:tc>
        <w:tc>
          <w:tcPr>
            <w:tcW w:w="658" w:type="pct"/>
            <w:tcBorders>
              <w:top w:val="nil"/>
              <w:left w:val="nil"/>
              <w:bottom w:val="nil"/>
              <w:right w:val="nil"/>
            </w:tcBorders>
            <w:shd w:val="clear" w:color="auto" w:fill="auto"/>
            <w:noWrap/>
            <w:vAlign w:val="bottom"/>
            <w:hideMark/>
          </w:tcPr>
          <w:p w14:paraId="5981ED7E"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56</w:t>
            </w:r>
          </w:p>
        </w:tc>
        <w:tc>
          <w:tcPr>
            <w:tcW w:w="741" w:type="pct"/>
            <w:tcBorders>
              <w:top w:val="nil"/>
              <w:left w:val="single" w:sz="4" w:space="0" w:color="auto"/>
              <w:bottom w:val="nil"/>
              <w:right w:val="single" w:sz="4" w:space="0" w:color="auto"/>
            </w:tcBorders>
            <w:shd w:val="clear" w:color="auto" w:fill="auto"/>
            <w:noWrap/>
            <w:vAlign w:val="bottom"/>
            <w:hideMark/>
          </w:tcPr>
          <w:p w14:paraId="6880F3A1"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51</w:t>
            </w:r>
          </w:p>
        </w:tc>
      </w:tr>
      <w:tr w:rsidR="008F5714" w:rsidRPr="00647951" w14:paraId="44D7E1AD" w14:textId="77777777" w:rsidTr="003E2BED">
        <w:trPr>
          <w:trHeight w:val="272"/>
          <w:jc w:val="center"/>
        </w:trPr>
        <w:tc>
          <w:tcPr>
            <w:tcW w:w="866" w:type="pct"/>
            <w:tcBorders>
              <w:top w:val="nil"/>
              <w:left w:val="single" w:sz="4" w:space="0" w:color="auto"/>
              <w:bottom w:val="nil"/>
              <w:right w:val="single" w:sz="4" w:space="0" w:color="auto"/>
            </w:tcBorders>
            <w:shd w:val="clear" w:color="auto" w:fill="auto"/>
            <w:vAlign w:val="center"/>
            <w:hideMark/>
          </w:tcPr>
          <w:p w14:paraId="07F5A3E2" w14:textId="77777777" w:rsidR="008F5714" w:rsidRPr="00457B35" w:rsidRDefault="008F5714" w:rsidP="009A1E7F">
            <w:pPr>
              <w:spacing w:after="0" w:line="240" w:lineRule="auto"/>
              <w:rPr>
                <w:rFonts w:ascii="Times New Roman" w:hAnsi="Times New Roman" w:cs="Times New Roman"/>
                <w:b/>
                <w:bCs/>
                <w:color w:val="000000"/>
              </w:rPr>
            </w:pPr>
            <w:r w:rsidRPr="00457B35">
              <w:rPr>
                <w:rFonts w:ascii="Times New Roman" w:hAnsi="Times New Roman" w:cs="Times New Roman"/>
                <w:b/>
                <w:bCs/>
                <w:color w:val="000000"/>
              </w:rPr>
              <w:t>Indonesia</w:t>
            </w:r>
          </w:p>
        </w:tc>
        <w:tc>
          <w:tcPr>
            <w:tcW w:w="783" w:type="pct"/>
            <w:tcBorders>
              <w:top w:val="nil"/>
              <w:left w:val="nil"/>
              <w:bottom w:val="nil"/>
              <w:right w:val="nil"/>
            </w:tcBorders>
            <w:shd w:val="clear" w:color="auto" w:fill="auto"/>
            <w:noWrap/>
            <w:vAlign w:val="bottom"/>
            <w:hideMark/>
          </w:tcPr>
          <w:p w14:paraId="759CBE9C"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91</w:t>
            </w:r>
          </w:p>
        </w:tc>
        <w:tc>
          <w:tcPr>
            <w:tcW w:w="639" w:type="pct"/>
            <w:tcBorders>
              <w:top w:val="nil"/>
              <w:left w:val="single" w:sz="4" w:space="0" w:color="auto"/>
              <w:bottom w:val="nil"/>
              <w:right w:val="single" w:sz="4" w:space="0" w:color="auto"/>
            </w:tcBorders>
            <w:shd w:val="clear" w:color="auto" w:fill="auto"/>
            <w:noWrap/>
            <w:vAlign w:val="bottom"/>
            <w:hideMark/>
          </w:tcPr>
          <w:p w14:paraId="194958A4"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151</w:t>
            </w:r>
          </w:p>
        </w:tc>
        <w:tc>
          <w:tcPr>
            <w:tcW w:w="716" w:type="pct"/>
            <w:tcBorders>
              <w:top w:val="nil"/>
              <w:left w:val="nil"/>
              <w:bottom w:val="nil"/>
              <w:right w:val="nil"/>
            </w:tcBorders>
            <w:shd w:val="clear" w:color="auto" w:fill="auto"/>
            <w:noWrap/>
            <w:vAlign w:val="bottom"/>
            <w:hideMark/>
          </w:tcPr>
          <w:p w14:paraId="2DDA49B2"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118</w:t>
            </w:r>
          </w:p>
        </w:tc>
        <w:tc>
          <w:tcPr>
            <w:tcW w:w="597" w:type="pct"/>
            <w:tcBorders>
              <w:top w:val="nil"/>
              <w:left w:val="single" w:sz="4" w:space="0" w:color="auto"/>
              <w:bottom w:val="nil"/>
              <w:right w:val="single" w:sz="4" w:space="0" w:color="auto"/>
            </w:tcBorders>
            <w:shd w:val="clear" w:color="auto" w:fill="auto"/>
            <w:noWrap/>
            <w:vAlign w:val="bottom"/>
            <w:hideMark/>
          </w:tcPr>
          <w:p w14:paraId="2A49FB65"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62</w:t>
            </w:r>
          </w:p>
        </w:tc>
        <w:tc>
          <w:tcPr>
            <w:tcW w:w="658" w:type="pct"/>
            <w:tcBorders>
              <w:top w:val="nil"/>
              <w:left w:val="nil"/>
              <w:bottom w:val="nil"/>
              <w:right w:val="nil"/>
            </w:tcBorders>
            <w:shd w:val="clear" w:color="auto" w:fill="auto"/>
            <w:noWrap/>
            <w:vAlign w:val="bottom"/>
            <w:hideMark/>
          </w:tcPr>
          <w:p w14:paraId="733E2156"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108</w:t>
            </w:r>
          </w:p>
        </w:tc>
        <w:tc>
          <w:tcPr>
            <w:tcW w:w="741" w:type="pct"/>
            <w:tcBorders>
              <w:top w:val="nil"/>
              <w:left w:val="single" w:sz="4" w:space="0" w:color="auto"/>
              <w:bottom w:val="nil"/>
              <w:right w:val="single" w:sz="4" w:space="0" w:color="auto"/>
            </w:tcBorders>
            <w:shd w:val="clear" w:color="auto" w:fill="auto"/>
            <w:noWrap/>
            <w:vAlign w:val="bottom"/>
            <w:hideMark/>
          </w:tcPr>
          <w:p w14:paraId="3191E3AB"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166</w:t>
            </w:r>
          </w:p>
        </w:tc>
      </w:tr>
      <w:tr w:rsidR="008F5714" w:rsidRPr="00647951" w14:paraId="12A7C062" w14:textId="77777777" w:rsidTr="003E2BED">
        <w:trPr>
          <w:trHeight w:val="272"/>
          <w:jc w:val="center"/>
        </w:trPr>
        <w:tc>
          <w:tcPr>
            <w:tcW w:w="866" w:type="pct"/>
            <w:tcBorders>
              <w:top w:val="nil"/>
              <w:left w:val="single" w:sz="4" w:space="0" w:color="auto"/>
              <w:bottom w:val="nil"/>
              <w:right w:val="single" w:sz="4" w:space="0" w:color="auto"/>
            </w:tcBorders>
            <w:shd w:val="clear" w:color="auto" w:fill="auto"/>
            <w:vAlign w:val="center"/>
            <w:hideMark/>
          </w:tcPr>
          <w:p w14:paraId="28F9796C" w14:textId="77777777" w:rsidR="008F5714" w:rsidRPr="00457B35" w:rsidRDefault="008F5714" w:rsidP="009A1E7F">
            <w:pPr>
              <w:spacing w:after="0" w:line="240" w:lineRule="auto"/>
              <w:rPr>
                <w:rFonts w:ascii="Times New Roman" w:hAnsi="Times New Roman" w:cs="Times New Roman"/>
                <w:b/>
                <w:bCs/>
                <w:color w:val="000000"/>
              </w:rPr>
            </w:pPr>
            <w:r w:rsidRPr="00457B35">
              <w:rPr>
                <w:rFonts w:ascii="Times New Roman" w:hAnsi="Times New Roman" w:cs="Times New Roman"/>
                <w:b/>
                <w:bCs/>
                <w:color w:val="000000"/>
              </w:rPr>
              <w:t>Vietnam</w:t>
            </w:r>
          </w:p>
        </w:tc>
        <w:tc>
          <w:tcPr>
            <w:tcW w:w="783" w:type="pct"/>
            <w:tcBorders>
              <w:top w:val="nil"/>
              <w:left w:val="nil"/>
              <w:bottom w:val="nil"/>
              <w:right w:val="nil"/>
            </w:tcBorders>
            <w:shd w:val="clear" w:color="auto" w:fill="auto"/>
            <w:noWrap/>
            <w:vAlign w:val="bottom"/>
            <w:hideMark/>
          </w:tcPr>
          <w:p w14:paraId="05B3FA55"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82</w:t>
            </w:r>
          </w:p>
        </w:tc>
        <w:tc>
          <w:tcPr>
            <w:tcW w:w="639" w:type="pct"/>
            <w:tcBorders>
              <w:top w:val="nil"/>
              <w:left w:val="single" w:sz="4" w:space="0" w:color="auto"/>
              <w:bottom w:val="nil"/>
              <w:right w:val="single" w:sz="4" w:space="0" w:color="auto"/>
            </w:tcBorders>
            <w:shd w:val="clear" w:color="auto" w:fill="auto"/>
            <w:noWrap/>
            <w:vAlign w:val="bottom"/>
            <w:hideMark/>
          </w:tcPr>
          <w:p w14:paraId="6497370A"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121</w:t>
            </w:r>
          </w:p>
        </w:tc>
        <w:tc>
          <w:tcPr>
            <w:tcW w:w="716" w:type="pct"/>
            <w:tcBorders>
              <w:top w:val="nil"/>
              <w:left w:val="nil"/>
              <w:bottom w:val="nil"/>
              <w:right w:val="nil"/>
            </w:tcBorders>
            <w:shd w:val="clear" w:color="auto" w:fill="auto"/>
            <w:noWrap/>
            <w:vAlign w:val="bottom"/>
            <w:hideMark/>
          </w:tcPr>
          <w:p w14:paraId="18276243"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59</w:t>
            </w:r>
          </w:p>
        </w:tc>
        <w:tc>
          <w:tcPr>
            <w:tcW w:w="597" w:type="pct"/>
            <w:tcBorders>
              <w:top w:val="nil"/>
              <w:left w:val="single" w:sz="4" w:space="0" w:color="auto"/>
              <w:bottom w:val="nil"/>
              <w:right w:val="single" w:sz="4" w:space="0" w:color="auto"/>
            </w:tcBorders>
            <w:shd w:val="clear" w:color="auto" w:fill="auto"/>
            <w:noWrap/>
            <w:vAlign w:val="bottom"/>
            <w:hideMark/>
          </w:tcPr>
          <w:p w14:paraId="39F15FD5"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32</w:t>
            </w:r>
          </w:p>
        </w:tc>
        <w:tc>
          <w:tcPr>
            <w:tcW w:w="658" w:type="pct"/>
            <w:tcBorders>
              <w:top w:val="nil"/>
              <w:left w:val="nil"/>
              <w:bottom w:val="nil"/>
              <w:right w:val="nil"/>
            </w:tcBorders>
            <w:shd w:val="clear" w:color="auto" w:fill="auto"/>
            <w:noWrap/>
            <w:vAlign w:val="bottom"/>
            <w:hideMark/>
          </w:tcPr>
          <w:p w14:paraId="7BF650C2"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93</w:t>
            </w:r>
          </w:p>
        </w:tc>
        <w:tc>
          <w:tcPr>
            <w:tcW w:w="741" w:type="pct"/>
            <w:tcBorders>
              <w:top w:val="nil"/>
              <w:left w:val="single" w:sz="4" w:space="0" w:color="auto"/>
              <w:bottom w:val="nil"/>
              <w:right w:val="single" w:sz="4" w:space="0" w:color="auto"/>
            </w:tcBorders>
            <w:shd w:val="clear" w:color="auto" w:fill="auto"/>
            <w:noWrap/>
            <w:vAlign w:val="bottom"/>
            <w:hideMark/>
          </w:tcPr>
          <w:p w14:paraId="33850F46"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69</w:t>
            </w:r>
          </w:p>
        </w:tc>
      </w:tr>
      <w:tr w:rsidR="008F5714" w:rsidRPr="00647951" w14:paraId="5951B481" w14:textId="77777777" w:rsidTr="003E2BED">
        <w:trPr>
          <w:trHeight w:val="272"/>
          <w:jc w:val="center"/>
        </w:trPr>
        <w:tc>
          <w:tcPr>
            <w:tcW w:w="866" w:type="pct"/>
            <w:tcBorders>
              <w:top w:val="nil"/>
              <w:left w:val="single" w:sz="4" w:space="0" w:color="auto"/>
              <w:bottom w:val="single" w:sz="4" w:space="0" w:color="auto"/>
              <w:right w:val="single" w:sz="4" w:space="0" w:color="auto"/>
            </w:tcBorders>
            <w:shd w:val="clear" w:color="auto" w:fill="auto"/>
            <w:vAlign w:val="center"/>
            <w:hideMark/>
          </w:tcPr>
          <w:p w14:paraId="488C1BCF" w14:textId="77777777" w:rsidR="008F5714" w:rsidRPr="00457B35" w:rsidRDefault="008F5714" w:rsidP="009A1E7F">
            <w:pPr>
              <w:spacing w:after="0" w:line="240" w:lineRule="auto"/>
              <w:rPr>
                <w:rFonts w:ascii="Times New Roman" w:hAnsi="Times New Roman" w:cs="Times New Roman"/>
                <w:b/>
                <w:bCs/>
                <w:color w:val="000000"/>
              </w:rPr>
            </w:pPr>
            <w:r w:rsidRPr="00457B35">
              <w:rPr>
                <w:rFonts w:ascii="Times New Roman" w:hAnsi="Times New Roman" w:cs="Times New Roman"/>
                <w:b/>
                <w:bCs/>
                <w:color w:val="000000"/>
              </w:rPr>
              <w:t>Pakistan</w:t>
            </w:r>
          </w:p>
        </w:tc>
        <w:tc>
          <w:tcPr>
            <w:tcW w:w="783" w:type="pct"/>
            <w:tcBorders>
              <w:top w:val="nil"/>
              <w:left w:val="nil"/>
              <w:bottom w:val="single" w:sz="4" w:space="0" w:color="auto"/>
              <w:right w:val="nil"/>
            </w:tcBorders>
            <w:shd w:val="clear" w:color="auto" w:fill="auto"/>
            <w:noWrap/>
            <w:vAlign w:val="bottom"/>
            <w:hideMark/>
          </w:tcPr>
          <w:p w14:paraId="4213B47B"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144</w:t>
            </w:r>
          </w:p>
        </w:tc>
        <w:tc>
          <w:tcPr>
            <w:tcW w:w="639" w:type="pct"/>
            <w:tcBorders>
              <w:top w:val="nil"/>
              <w:left w:val="single" w:sz="4" w:space="0" w:color="auto"/>
              <w:bottom w:val="single" w:sz="4" w:space="0" w:color="auto"/>
              <w:right w:val="single" w:sz="4" w:space="0" w:color="auto"/>
            </w:tcBorders>
            <w:shd w:val="clear" w:color="auto" w:fill="auto"/>
            <w:noWrap/>
            <w:vAlign w:val="bottom"/>
            <w:hideMark/>
          </w:tcPr>
          <w:p w14:paraId="08FFBC30"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141</w:t>
            </w:r>
          </w:p>
        </w:tc>
        <w:tc>
          <w:tcPr>
            <w:tcW w:w="716" w:type="pct"/>
            <w:tcBorders>
              <w:top w:val="nil"/>
              <w:left w:val="nil"/>
              <w:bottom w:val="single" w:sz="4" w:space="0" w:color="auto"/>
              <w:right w:val="nil"/>
            </w:tcBorders>
            <w:shd w:val="clear" w:color="auto" w:fill="auto"/>
            <w:noWrap/>
            <w:vAlign w:val="bottom"/>
            <w:hideMark/>
          </w:tcPr>
          <w:p w14:paraId="55E32752"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169</w:t>
            </w:r>
          </w:p>
        </w:tc>
        <w:tc>
          <w:tcPr>
            <w:tcW w:w="597" w:type="pct"/>
            <w:tcBorders>
              <w:top w:val="nil"/>
              <w:left w:val="single" w:sz="4" w:space="0" w:color="auto"/>
              <w:bottom w:val="single" w:sz="4" w:space="0" w:color="auto"/>
              <w:right w:val="single" w:sz="4" w:space="0" w:color="auto"/>
            </w:tcBorders>
            <w:shd w:val="clear" w:color="auto" w:fill="auto"/>
            <w:noWrap/>
            <w:vAlign w:val="bottom"/>
            <w:hideMark/>
          </w:tcPr>
          <w:p w14:paraId="0668633D"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82</w:t>
            </w:r>
          </w:p>
        </w:tc>
        <w:tc>
          <w:tcPr>
            <w:tcW w:w="658" w:type="pct"/>
            <w:tcBorders>
              <w:top w:val="nil"/>
              <w:left w:val="nil"/>
              <w:bottom w:val="single" w:sz="4" w:space="0" w:color="auto"/>
              <w:right w:val="nil"/>
            </w:tcBorders>
            <w:shd w:val="clear" w:color="auto" w:fill="auto"/>
            <w:noWrap/>
            <w:vAlign w:val="bottom"/>
            <w:hideMark/>
          </w:tcPr>
          <w:p w14:paraId="6DB3C498"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172</w:t>
            </w:r>
          </w:p>
        </w:tc>
        <w:tc>
          <w:tcPr>
            <w:tcW w:w="741" w:type="pct"/>
            <w:tcBorders>
              <w:top w:val="nil"/>
              <w:left w:val="single" w:sz="4" w:space="0" w:color="auto"/>
              <w:bottom w:val="single" w:sz="4" w:space="0" w:color="auto"/>
              <w:right w:val="single" w:sz="4" w:space="0" w:color="auto"/>
            </w:tcBorders>
            <w:shd w:val="clear" w:color="auto" w:fill="auto"/>
            <w:noWrap/>
            <w:vAlign w:val="bottom"/>
            <w:hideMark/>
          </w:tcPr>
          <w:p w14:paraId="2489E638" w14:textId="77777777" w:rsidR="008F5714" w:rsidRPr="00457B35" w:rsidRDefault="008F5714" w:rsidP="009A1E7F">
            <w:pPr>
              <w:spacing w:after="0" w:line="240" w:lineRule="auto"/>
              <w:jc w:val="center"/>
              <w:rPr>
                <w:rFonts w:ascii="Times New Roman" w:hAnsi="Times New Roman" w:cs="Times New Roman"/>
                <w:bCs/>
                <w:color w:val="000000"/>
              </w:rPr>
            </w:pPr>
            <w:r w:rsidRPr="00457B35">
              <w:rPr>
                <w:rFonts w:ascii="Times New Roman" w:hAnsi="Times New Roman" w:cs="Times New Roman"/>
                <w:bCs/>
                <w:color w:val="000000"/>
              </w:rPr>
              <w:t>157</w:t>
            </w:r>
          </w:p>
        </w:tc>
      </w:tr>
    </w:tbl>
    <w:p w14:paraId="2E86A19D" w14:textId="77777777" w:rsidR="008F5714" w:rsidRPr="00E91F2D" w:rsidRDefault="008F5714" w:rsidP="008F5714">
      <w:pPr>
        <w:ind w:firstLine="720"/>
        <w:rPr>
          <w:rFonts w:ascii="Times New Roman" w:eastAsia="Times New Roman" w:hAnsi="Times New Roman" w:cs="Times New Roman"/>
          <w:b/>
          <w:i/>
          <w:color w:val="000000"/>
          <w:sz w:val="16"/>
        </w:rPr>
      </w:pPr>
      <w:r w:rsidRPr="00457B35">
        <w:rPr>
          <w:rFonts w:ascii="Times New Roman" w:eastAsia="Times New Roman" w:hAnsi="Times New Roman" w:cs="Times New Roman"/>
          <w:b/>
          <w:i/>
          <w:color w:val="000000"/>
        </w:rPr>
        <w:t xml:space="preserve">Source: </w:t>
      </w:r>
      <w:r w:rsidRPr="00647951">
        <w:rPr>
          <w:rFonts w:ascii="Times New Roman" w:hAnsi="Times New Roman" w:cs="Times New Roman"/>
          <w:b/>
          <w:i/>
        </w:rPr>
        <w:t>Doing Business Report 2017, World Bank</w:t>
      </w:r>
    </w:p>
    <w:p w14:paraId="39AC4C10" w14:textId="5962DBD4" w:rsidR="00E91F2D" w:rsidRPr="0060738E" w:rsidRDefault="00E91F2D" w:rsidP="0060738E">
      <w:pPr>
        <w:pStyle w:val="NormalWeb"/>
        <w:spacing w:before="0" w:beforeAutospacing="0" w:after="240" w:afterAutospacing="0" w:line="276" w:lineRule="auto"/>
        <w:jc w:val="both"/>
        <w:rPr>
          <w:bCs/>
        </w:rPr>
      </w:pPr>
      <w:r w:rsidRPr="0060738E">
        <w:rPr>
          <w:bCs/>
        </w:rPr>
        <w:t>Not surprisingly, Bangladesh performs quite poorly on the whole with a rank of 129. All its competitors face a better business environment. In terms of specific regulatory constraints, investors in Bangladesh face a particularly difficult challenge in getting electricity; in registering property; and in enforcing contracts.  Bangladesh, however, does a good job in protecting investors.  On the whole, despite a series of deregulatory reforms since the 1990s, the overall business environment in Bangladesh is difficult relative to competitors that tends to increase the transaction cost and lowers competitiveness. Considerable more progress is needed in a range of business t</w:t>
      </w:r>
      <w:r w:rsidR="007554DC" w:rsidRPr="0060738E">
        <w:rPr>
          <w:bCs/>
        </w:rPr>
        <w:t>ransactions indicated in Table</w:t>
      </w:r>
      <w:r w:rsidR="00313DCE" w:rsidRPr="0060738E">
        <w:rPr>
          <w:bCs/>
        </w:rPr>
        <w:t xml:space="preserve">.7 </w:t>
      </w:r>
      <w:r w:rsidRPr="0060738E">
        <w:rPr>
          <w:bCs/>
        </w:rPr>
        <w:t>with a view to making the Bangladeshi investment climate much more attractive for attracting foreign investment and improving export competitiveness.</w:t>
      </w:r>
    </w:p>
    <w:p w14:paraId="21EEC420" w14:textId="77777777" w:rsidR="00C103AE" w:rsidRDefault="00D81C89" w:rsidP="00A42036">
      <w:pPr>
        <w:pStyle w:val="ListParagraph"/>
        <w:numPr>
          <w:ilvl w:val="0"/>
          <w:numId w:val="8"/>
        </w:numPr>
        <w:spacing w:after="240" w:line="276" w:lineRule="auto"/>
        <w:jc w:val="both"/>
        <w:rPr>
          <w:rFonts w:ascii="Times New Roman" w:hAnsi="Times New Roman" w:cs="Times New Roman"/>
          <w:sz w:val="24"/>
          <w:szCs w:val="24"/>
        </w:rPr>
      </w:pPr>
      <w:r w:rsidRPr="00D81C89">
        <w:rPr>
          <w:rFonts w:ascii="Times New Roman" w:hAnsi="Times New Roman" w:cs="Times New Roman"/>
          <w:b/>
          <w:sz w:val="24"/>
          <w:szCs w:val="24"/>
        </w:rPr>
        <w:lastRenderedPageBreak/>
        <w:t xml:space="preserve">Addressing Low Labor productivity and Skills Gap. </w:t>
      </w:r>
      <w:r w:rsidRPr="00D81C89">
        <w:rPr>
          <w:rFonts w:ascii="Times New Roman" w:hAnsi="Times New Roman" w:cs="Times New Roman"/>
          <w:sz w:val="24"/>
          <w:szCs w:val="24"/>
        </w:rPr>
        <w:t xml:space="preserve">On the labor front, Bangladesh is very favorably endowed with a large supply of under-utilized labor. The flexibility of labor market has helped the RMG sector to mobilize and train workers at low cost (Ahmed, 2012). </w:t>
      </w:r>
      <w:r w:rsidRPr="00D81C89">
        <w:rPr>
          <w:rFonts w:ascii="Times New Roman" w:hAnsi="Times New Roman" w:cs="Times New Roman"/>
          <w:sz w:val="24"/>
          <w:szCs w:val="24"/>
          <w:lang w:bidi="bn-BD"/>
        </w:rPr>
        <w:t xml:space="preserve">Despite having an abundance of human resources, Bangladesh lags behind its Asian neighbors and trade rivals in terms of quality of labour and therefore labour productivity. Growing numbers of foreign workers in Bangladesh point to a shortage of supervisory and mid-level management skills. Mid-level and higher-level management employees are usually hired from neighbor countries rather than the own country indicating a lack of semi-skilled and high-skilled workers. </w:t>
      </w:r>
      <w:r w:rsidRPr="00D81C89">
        <w:rPr>
          <w:rFonts w:ascii="Times New Roman" w:hAnsi="Times New Roman" w:cs="Times New Roman"/>
          <w:sz w:val="24"/>
          <w:szCs w:val="24"/>
        </w:rPr>
        <w:t xml:space="preserve">The incidence of enterprise-based on-the-job training is very low in Bangladesh, especially as compared to other countries particularly in East Asia.  One study suggests that only 25 percent of Bangladeshi manufacturing establishments provide their employees with in service formal training (Riboud and Tan, 2009). This percentage is very low as compared to East Asian countries such as Malaysia and China where the rates are 50 percent and 75 percent respectively. As noted earlier, the RMG sector is in an excellent example of the kind of in-house training that delivers results. This practice needs to be replicated on a wider scale across the manufacturing sector. </w:t>
      </w:r>
    </w:p>
    <w:p w14:paraId="34C46C54" w14:textId="77777777" w:rsidR="0075767B" w:rsidRPr="00737E1D" w:rsidRDefault="0075767B" w:rsidP="0075767B">
      <w:pPr>
        <w:spacing w:after="240"/>
        <w:ind w:left="360"/>
        <w:contextualSpacing/>
        <w:jc w:val="both"/>
        <w:rPr>
          <w:rFonts w:ascii="Times New Roman" w:hAnsi="Times New Roman" w:cs="Times New Roman"/>
          <w:b/>
          <w:sz w:val="24"/>
          <w:szCs w:val="24"/>
        </w:rPr>
      </w:pPr>
      <w:r>
        <w:rPr>
          <w:rFonts w:ascii="Times New Roman" w:hAnsi="Times New Roman" w:cs="Times New Roman"/>
          <w:b/>
          <w:sz w:val="24"/>
          <w:szCs w:val="24"/>
        </w:rPr>
        <w:t xml:space="preserve">II. </w:t>
      </w:r>
      <w:r w:rsidR="005171C3">
        <w:rPr>
          <w:rFonts w:ascii="Times New Roman" w:hAnsi="Times New Roman" w:cs="Times New Roman"/>
          <w:b/>
          <w:sz w:val="24"/>
          <w:szCs w:val="24"/>
        </w:rPr>
        <w:t>Challenges related to t</w:t>
      </w:r>
      <w:r w:rsidR="005171C3" w:rsidRPr="00737E1D">
        <w:rPr>
          <w:rFonts w:ascii="Times New Roman" w:hAnsi="Times New Roman" w:cs="Times New Roman"/>
          <w:b/>
          <w:sz w:val="24"/>
          <w:szCs w:val="24"/>
        </w:rPr>
        <w:t xml:space="preserve">rade policy </w:t>
      </w:r>
      <w:r w:rsidR="005171C3">
        <w:rPr>
          <w:rFonts w:ascii="Times New Roman" w:hAnsi="Times New Roman" w:cs="Times New Roman"/>
          <w:b/>
          <w:sz w:val="24"/>
          <w:szCs w:val="24"/>
        </w:rPr>
        <w:t>and the incentive regime</w:t>
      </w:r>
    </w:p>
    <w:p w14:paraId="6E7C9E31" w14:textId="77777777" w:rsidR="0075767B" w:rsidRDefault="0075767B" w:rsidP="0075767B">
      <w:pPr>
        <w:spacing w:after="0"/>
        <w:ind w:left="360"/>
        <w:jc w:val="both"/>
        <w:rPr>
          <w:rFonts w:ascii="Times New Roman" w:hAnsi="Times New Roman" w:cs="Times New Roman"/>
          <w:sz w:val="24"/>
          <w:szCs w:val="24"/>
        </w:rPr>
      </w:pPr>
    </w:p>
    <w:p w14:paraId="3DCDA92C" w14:textId="77777777" w:rsidR="0075767B" w:rsidRPr="0060738E" w:rsidRDefault="00234A12" w:rsidP="0060738E">
      <w:pPr>
        <w:pStyle w:val="NormalWeb"/>
        <w:spacing w:before="0" w:beforeAutospacing="0" w:after="240" w:afterAutospacing="0" w:line="276" w:lineRule="auto"/>
        <w:jc w:val="both"/>
        <w:rPr>
          <w:bCs/>
        </w:rPr>
      </w:pPr>
      <w:r w:rsidRPr="0060738E">
        <w:rPr>
          <w:bCs/>
        </w:rPr>
        <w:t xml:space="preserve">The experience of the high-performing East Asian economies clearly demonstrates the criticality of export-oriented trade policy for a superior export performance. </w:t>
      </w:r>
      <w:r w:rsidR="0075767B" w:rsidRPr="0060738E">
        <w:rPr>
          <w:bCs/>
        </w:rPr>
        <w:t xml:space="preserve">Trade policy could be a constraint or support to export growth and diversification depending on how it is formulated and implemented to ensure competitiveness of exports. Together with export incentives it also concerns the attractiveness of investors to go into exports vis-à-vis domestic production. The three main components of these policies relate to exchange rate management; trade policy and fiscal incentives. </w:t>
      </w:r>
    </w:p>
    <w:p w14:paraId="15DFE211" w14:textId="26ECE942" w:rsidR="00234A12" w:rsidRPr="00234A12" w:rsidRDefault="00234A12" w:rsidP="00A42036">
      <w:pPr>
        <w:numPr>
          <w:ilvl w:val="0"/>
          <w:numId w:val="8"/>
        </w:numPr>
        <w:autoSpaceDE w:val="0"/>
        <w:autoSpaceDN w:val="0"/>
        <w:adjustRightInd w:val="0"/>
        <w:spacing w:after="240" w:line="276" w:lineRule="auto"/>
        <w:contextualSpacing/>
        <w:jc w:val="both"/>
        <w:rPr>
          <w:rFonts w:ascii="Times New Roman" w:hAnsi="Times New Roman" w:cs="Times New Roman"/>
          <w:sz w:val="24"/>
          <w:szCs w:val="24"/>
        </w:rPr>
      </w:pPr>
      <w:r w:rsidRPr="00234A12">
        <w:rPr>
          <w:rFonts w:ascii="Times New Roman" w:hAnsi="Times New Roman" w:cs="Times New Roman"/>
          <w:b/>
          <w:sz w:val="24"/>
          <w:szCs w:val="24"/>
        </w:rPr>
        <w:t xml:space="preserve">Exchange rate management: </w:t>
      </w:r>
      <w:r w:rsidRPr="00234A12">
        <w:rPr>
          <w:rFonts w:ascii="Times New Roman" w:hAnsi="Times New Roman" w:cs="Times New Roman"/>
          <w:sz w:val="24"/>
          <w:szCs w:val="24"/>
        </w:rPr>
        <w:t>Poorly managed exchange rates can be disastrous for economic growth. According to Dani Rodrik</w:t>
      </w:r>
      <w:r w:rsidR="00474403">
        <w:rPr>
          <w:rFonts w:ascii="Times New Roman" w:hAnsi="Times New Roman" w:cs="Times New Roman"/>
          <w:sz w:val="24"/>
          <w:szCs w:val="24"/>
        </w:rPr>
        <w:t xml:space="preserve"> </w:t>
      </w:r>
      <w:r w:rsidR="00474403" w:rsidRPr="00234A12">
        <w:rPr>
          <w:rFonts w:ascii="Times New Roman" w:hAnsi="Times New Roman" w:cs="Times New Roman"/>
          <w:sz w:val="24"/>
          <w:szCs w:val="24"/>
        </w:rPr>
        <w:t>(Rodrik, 2008)</w:t>
      </w:r>
      <w:r w:rsidRPr="00234A12">
        <w:rPr>
          <w:rFonts w:ascii="Times New Roman" w:hAnsi="Times New Roman" w:cs="Times New Roman"/>
          <w:sz w:val="24"/>
          <w:szCs w:val="24"/>
        </w:rPr>
        <w:t xml:space="preserve">, avoiding significant overvaluation (or appreciation) of the currency is one of the most robust imperatives that can be gleaned from the diverse experience with economic growth around the world, and one that appears to be strongly supported by cross-country statistical evidence. Overvalued currencies are associated with foreign currency shortages, rent seeking and corruption, unsustainably large current account deficits, balance of payments crisis, and stop-and-go macroeconomic cycles, all of which are damaging to economic growth. Just as overvaluation hurts exports and growth, so undervaluation (depreciation) facilitates it. For most countries, periods of rapid growth are associated with undervaluation. Rodrik cites China as the most fascinating case where economic growth tracks movements in the index of undervaluation. The rapid growth of GDP per capita in China since the 1970s was found to closely parallel the increase in the undervaluation index. </w:t>
      </w:r>
    </w:p>
    <w:p w14:paraId="48F05AED" w14:textId="77777777" w:rsidR="00234A12" w:rsidRDefault="00234A12" w:rsidP="00234A12">
      <w:pPr>
        <w:autoSpaceDE w:val="0"/>
        <w:autoSpaceDN w:val="0"/>
        <w:adjustRightInd w:val="0"/>
        <w:spacing w:after="0"/>
        <w:ind w:left="720"/>
        <w:jc w:val="both"/>
        <w:rPr>
          <w:rFonts w:ascii="Times New Roman" w:hAnsi="Times New Roman" w:cs="Times New Roman"/>
          <w:sz w:val="24"/>
          <w:szCs w:val="24"/>
        </w:rPr>
      </w:pPr>
    </w:p>
    <w:p w14:paraId="47DD0B24" w14:textId="77777777" w:rsidR="00234A12" w:rsidRPr="0060738E" w:rsidRDefault="00234A12" w:rsidP="0060738E">
      <w:pPr>
        <w:pStyle w:val="NormalWeb"/>
        <w:spacing w:before="0" w:beforeAutospacing="0" w:after="240" w:afterAutospacing="0" w:line="276" w:lineRule="auto"/>
        <w:jc w:val="both"/>
        <w:rPr>
          <w:bCs/>
        </w:rPr>
      </w:pPr>
      <w:r w:rsidRPr="0060738E">
        <w:rPr>
          <w:bCs/>
        </w:rPr>
        <w:lastRenderedPageBreak/>
        <w:t xml:space="preserve">Thus exchange rate is a critical determinant of export incentives and as such sound exchange rate management is very important for maintaining export competitiveness, particularly for non-RMG exports, which suffer from significant anti-export bias, as will be explained later. The channel through which exchange rate impacts growth is of course through trade. The focus of exchange rate management in Bangladesh has to be on the real </w:t>
      </w:r>
      <w:r w:rsidR="00C50C60" w:rsidRPr="0060738E">
        <w:rPr>
          <w:bCs/>
        </w:rPr>
        <w:t xml:space="preserve">effective </w:t>
      </w:r>
      <w:r w:rsidRPr="0060738E">
        <w:rPr>
          <w:bCs/>
        </w:rPr>
        <w:t>exchange rate</w:t>
      </w:r>
      <w:r w:rsidR="00C50C60" w:rsidRPr="0060738E">
        <w:rPr>
          <w:bCs/>
        </w:rPr>
        <w:t xml:space="preserve"> (REER)</w:t>
      </w:r>
      <w:r w:rsidRPr="0060738E">
        <w:rPr>
          <w:bCs/>
        </w:rPr>
        <w:t xml:space="preserve">, which is essentially the nominal exchange rate adjusted for Bangladesh inflation relative to inflation in its major trading partners. </w:t>
      </w:r>
    </w:p>
    <w:p w14:paraId="06014424" w14:textId="409845D5" w:rsidR="00234A12" w:rsidRPr="0060738E" w:rsidRDefault="00234A12" w:rsidP="0060738E">
      <w:pPr>
        <w:pStyle w:val="NormalWeb"/>
        <w:spacing w:before="0" w:beforeAutospacing="0" w:after="240" w:afterAutospacing="0" w:line="276" w:lineRule="auto"/>
        <w:jc w:val="both"/>
        <w:rPr>
          <w:bCs/>
        </w:rPr>
      </w:pPr>
      <w:r w:rsidRPr="0060738E">
        <w:rPr>
          <w:bCs/>
        </w:rPr>
        <w:t xml:space="preserve">Bangladesh adopted a market-based exchange rate regime with effect from May 2003. By adopting a market-based exchange rate management and combining this with a prudent monetary and fiscal policy management over the longer term, Bangladesh avoided an appreciation of its real effective exchange rate </w:t>
      </w:r>
      <w:r w:rsidR="00474403" w:rsidRPr="0060738E">
        <w:rPr>
          <w:bCs/>
        </w:rPr>
        <w:t>for the most part</w:t>
      </w:r>
      <w:r w:rsidR="00C50C60" w:rsidRPr="0060738E">
        <w:rPr>
          <w:bCs/>
        </w:rPr>
        <w:t xml:space="preserve">. </w:t>
      </w:r>
      <w:r w:rsidRPr="0060738E">
        <w:rPr>
          <w:bCs/>
        </w:rPr>
        <w:t>As a long-term strategy for export</w:t>
      </w:r>
      <w:r w:rsidR="00474403" w:rsidRPr="0060738E">
        <w:rPr>
          <w:bCs/>
        </w:rPr>
        <w:t xml:space="preserve"> expansion</w:t>
      </w:r>
      <w:r w:rsidRPr="0060738E">
        <w:rPr>
          <w:bCs/>
        </w:rPr>
        <w:t>, the appropriate exchange rate management would be to avoid rigidity or real appreciation of REER; a moderately depreciating REER would work better to sustain competitiveness of exports, particularly non-RMG exports.</w:t>
      </w:r>
      <w:r w:rsidR="00474403" w:rsidRPr="0060738E">
        <w:rPr>
          <w:bCs/>
        </w:rPr>
        <w:t xml:space="preserve"> Figure</w:t>
      </w:r>
      <w:r w:rsidR="00980CDF" w:rsidRPr="0060738E">
        <w:rPr>
          <w:bCs/>
        </w:rPr>
        <w:t>.8</w:t>
      </w:r>
      <w:r w:rsidR="00474403" w:rsidRPr="0060738E">
        <w:rPr>
          <w:bCs/>
        </w:rPr>
        <w:t xml:space="preserve">shows that there has been a slippage in this policy as the REER has been appreciating since FY12 making exports less competitive. This situation needs to be reversed as export performance </w:t>
      </w:r>
      <w:r w:rsidR="00124A9B" w:rsidRPr="0060738E">
        <w:rPr>
          <w:bCs/>
        </w:rPr>
        <w:t xml:space="preserve">during FY12-17 </w:t>
      </w:r>
      <w:r w:rsidR="00474403" w:rsidRPr="0060738E">
        <w:rPr>
          <w:bCs/>
        </w:rPr>
        <w:t xml:space="preserve">has suffered in consequence. </w:t>
      </w:r>
    </w:p>
    <w:p w14:paraId="41AB403B" w14:textId="2B09E53E" w:rsidR="008F5714" w:rsidRDefault="008F5714" w:rsidP="00562120">
      <w:pPr>
        <w:pStyle w:val="Heading5"/>
        <w:rPr>
          <w:noProof/>
        </w:rPr>
      </w:pPr>
      <w:bookmarkStart w:id="46" w:name="_Toc342218853"/>
      <w:bookmarkStart w:id="47" w:name="_Toc404442128"/>
      <w:bookmarkStart w:id="48" w:name="_Toc496536542"/>
      <w:bookmarkStart w:id="49" w:name="_Hlk492895350"/>
      <w:r w:rsidRPr="00234A12">
        <w:rPr>
          <w:rFonts w:eastAsia="Times New Roman"/>
        </w:rPr>
        <w:t>Figure</w:t>
      </w:r>
      <w:r w:rsidR="002056F2">
        <w:rPr>
          <w:rFonts w:eastAsia="Times New Roman"/>
        </w:rPr>
        <w:t xml:space="preserve"> </w:t>
      </w:r>
      <w:r w:rsidR="00980CDF">
        <w:rPr>
          <w:rFonts w:eastAsia="Times New Roman"/>
        </w:rPr>
        <w:t>8</w:t>
      </w:r>
      <w:r w:rsidRPr="00234A12">
        <w:rPr>
          <w:rFonts w:eastAsia="Times New Roman"/>
        </w:rPr>
        <w:t>: Exchange Rate Movements FY</w:t>
      </w:r>
      <w:bookmarkEnd w:id="46"/>
      <w:bookmarkEnd w:id="47"/>
      <w:r w:rsidR="00AD3747">
        <w:rPr>
          <w:rFonts w:eastAsia="Times New Roman"/>
        </w:rPr>
        <w:t>03</w:t>
      </w:r>
      <w:r>
        <w:rPr>
          <w:rFonts w:eastAsia="Times New Roman"/>
        </w:rPr>
        <w:t>-FY17</w:t>
      </w:r>
      <w:bookmarkEnd w:id="48"/>
    </w:p>
    <w:p w14:paraId="6340D7A5" w14:textId="41D49AE6" w:rsidR="00AD3747" w:rsidRPr="00AD3747" w:rsidRDefault="00AD3747" w:rsidP="00AD3747">
      <w:pPr>
        <w:jc w:val="center"/>
      </w:pPr>
      <w:r>
        <w:rPr>
          <w:noProof/>
        </w:rPr>
        <w:drawing>
          <wp:inline distT="0" distB="0" distL="0" distR="0" wp14:anchorId="14474798" wp14:editId="7E245572">
            <wp:extent cx="4705351" cy="24765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B020A06" w14:textId="6B90E3FE" w:rsidR="00234A12" w:rsidRPr="00AD3747" w:rsidRDefault="008F5714" w:rsidP="00AD3747">
      <w:pPr>
        <w:jc w:val="center"/>
        <w:rPr>
          <w:rFonts w:ascii="Times New Roman" w:hAnsi="Times New Roman" w:cs="Times New Roman"/>
          <w:b/>
          <w:i/>
        </w:rPr>
      </w:pPr>
      <w:r w:rsidRPr="00AD3747">
        <w:rPr>
          <w:rFonts w:ascii="Times New Roman" w:hAnsi="Times New Roman" w:cs="Times New Roman"/>
          <w:b/>
          <w:i/>
        </w:rPr>
        <w:t>Source: Bangladesh Bank; Note: Rise in REER</w:t>
      </w:r>
      <w:r w:rsidR="001C2DA9" w:rsidRPr="00AD3747">
        <w:rPr>
          <w:rFonts w:ascii="Times New Roman" w:hAnsi="Times New Roman" w:cs="Times New Roman"/>
          <w:b/>
          <w:i/>
        </w:rPr>
        <w:t xml:space="preserve"> index</w:t>
      </w:r>
      <w:r w:rsidRPr="00AD3747">
        <w:rPr>
          <w:rFonts w:ascii="Times New Roman" w:hAnsi="Times New Roman" w:cs="Times New Roman"/>
          <w:b/>
          <w:i/>
        </w:rPr>
        <w:t xml:space="preserve"> indicates appreciation</w:t>
      </w:r>
    </w:p>
    <w:bookmarkEnd w:id="49"/>
    <w:p w14:paraId="68473C2E" w14:textId="77777777" w:rsidR="00846B54" w:rsidRDefault="00C50C60" w:rsidP="00A42036">
      <w:pPr>
        <w:numPr>
          <w:ilvl w:val="0"/>
          <w:numId w:val="8"/>
        </w:numPr>
        <w:spacing w:after="240" w:line="276" w:lineRule="auto"/>
        <w:contextualSpacing/>
        <w:jc w:val="both"/>
        <w:rPr>
          <w:rFonts w:ascii="Times New Roman" w:hAnsi="Times New Roman" w:cs="Times New Roman"/>
          <w:sz w:val="24"/>
          <w:szCs w:val="24"/>
        </w:rPr>
      </w:pPr>
      <w:r w:rsidRPr="00C50C60">
        <w:rPr>
          <w:rFonts w:ascii="Times New Roman" w:hAnsi="Times New Roman" w:cs="Times New Roman"/>
          <w:b/>
          <w:sz w:val="24"/>
          <w:szCs w:val="24"/>
        </w:rPr>
        <w:t>Trade policy</w:t>
      </w:r>
      <w:r w:rsidR="009200A2">
        <w:rPr>
          <w:rFonts w:ascii="Times New Roman" w:hAnsi="Times New Roman" w:cs="Times New Roman"/>
          <w:b/>
          <w:sz w:val="24"/>
          <w:szCs w:val="24"/>
        </w:rPr>
        <w:t xml:space="preserve"> stance</w:t>
      </w:r>
      <w:r w:rsidRPr="00C50C60">
        <w:rPr>
          <w:rFonts w:ascii="Times New Roman" w:hAnsi="Times New Roman" w:cs="Times New Roman"/>
          <w:b/>
          <w:sz w:val="24"/>
          <w:szCs w:val="24"/>
        </w:rPr>
        <w:t xml:space="preserve">: </w:t>
      </w:r>
      <w:r w:rsidRPr="00C50C60">
        <w:rPr>
          <w:rFonts w:ascii="Times New Roman" w:hAnsi="Times New Roman" w:cs="Times New Roman"/>
          <w:sz w:val="24"/>
          <w:szCs w:val="24"/>
        </w:rPr>
        <w:t xml:space="preserve">Though exchange rate management is part and parcel of trade policy, other instruments that affect export incentive include tariffs, quantitative restrictions on imports, subsidies, and so on. Perhaps the single most important determinant of export competitiveness is the incentive regime emerging from trade policy. Bangladesh like other South Asian countries started with an autarkic trade policy regime with a host of quantitative restrictions and high tariffs (Ahmed and Sattar 2004; World Bank 2004). This complex system of anti-trade and anti-export regime slowly got dismantled, especially since 1990. Today the trade regime is much changed compared to the one prevailing in the </w:t>
      </w:r>
      <w:r w:rsidRPr="00C50C60">
        <w:rPr>
          <w:rFonts w:ascii="Times New Roman" w:hAnsi="Times New Roman" w:cs="Times New Roman"/>
          <w:sz w:val="24"/>
          <w:szCs w:val="24"/>
        </w:rPr>
        <w:lastRenderedPageBreak/>
        <w:t xml:space="preserve">1970s and the anti-export bias of the trade regime is </w:t>
      </w:r>
      <w:r w:rsidR="003215B5">
        <w:rPr>
          <w:rFonts w:ascii="Times New Roman" w:hAnsi="Times New Roman" w:cs="Times New Roman"/>
          <w:sz w:val="24"/>
          <w:szCs w:val="24"/>
        </w:rPr>
        <w:t>much</w:t>
      </w:r>
      <w:r w:rsidRPr="00C50C60">
        <w:rPr>
          <w:rFonts w:ascii="Times New Roman" w:hAnsi="Times New Roman" w:cs="Times New Roman"/>
          <w:sz w:val="24"/>
          <w:szCs w:val="24"/>
        </w:rPr>
        <w:t xml:space="preserve"> lower</w:t>
      </w:r>
      <w:r w:rsidR="00846B54">
        <w:rPr>
          <w:rFonts w:ascii="Times New Roman" w:hAnsi="Times New Roman" w:cs="Times New Roman"/>
          <w:sz w:val="24"/>
          <w:szCs w:val="24"/>
        </w:rPr>
        <w:t xml:space="preserve"> but still a significant problem for exports. </w:t>
      </w:r>
    </w:p>
    <w:p w14:paraId="0FDCA3CB" w14:textId="77777777" w:rsidR="00846B54" w:rsidRDefault="00846B54" w:rsidP="0060738E">
      <w:pPr>
        <w:spacing w:after="240" w:line="276" w:lineRule="auto"/>
        <w:ind w:left="360"/>
        <w:contextualSpacing/>
        <w:jc w:val="both"/>
        <w:rPr>
          <w:rFonts w:ascii="Times New Roman" w:hAnsi="Times New Roman" w:cs="Times New Roman"/>
          <w:sz w:val="24"/>
          <w:szCs w:val="24"/>
        </w:rPr>
      </w:pPr>
    </w:p>
    <w:p w14:paraId="1E846D4D" w14:textId="01200EA8" w:rsidR="005E5667" w:rsidRPr="005E5667" w:rsidRDefault="005E5667" w:rsidP="00A42036">
      <w:pPr>
        <w:numPr>
          <w:ilvl w:val="0"/>
          <w:numId w:val="8"/>
        </w:numPr>
        <w:spacing w:after="240" w:line="276" w:lineRule="auto"/>
        <w:contextualSpacing/>
        <w:jc w:val="both"/>
        <w:rPr>
          <w:rFonts w:ascii="Times New Roman" w:hAnsi="Times New Roman" w:cs="Times New Roman"/>
          <w:sz w:val="24"/>
          <w:szCs w:val="24"/>
        </w:rPr>
      </w:pPr>
      <w:r w:rsidRPr="005E5667">
        <w:rPr>
          <w:rFonts w:ascii="Times New Roman" w:hAnsi="Times New Roman" w:cs="Times New Roman"/>
          <w:b/>
          <w:sz w:val="24"/>
          <w:szCs w:val="24"/>
        </w:rPr>
        <w:t>Fiscal</w:t>
      </w:r>
      <w:r>
        <w:rPr>
          <w:rFonts w:ascii="Times New Roman" w:hAnsi="Times New Roman" w:cs="Times New Roman"/>
          <w:b/>
          <w:sz w:val="24"/>
          <w:szCs w:val="24"/>
        </w:rPr>
        <w:t xml:space="preserve"> incentives</w:t>
      </w:r>
      <w:r w:rsidRPr="005E5667">
        <w:rPr>
          <w:rFonts w:ascii="Times New Roman" w:hAnsi="Times New Roman" w:cs="Times New Roman"/>
          <w:b/>
          <w:sz w:val="24"/>
          <w:szCs w:val="24"/>
        </w:rPr>
        <w:t xml:space="preserve">: </w:t>
      </w:r>
      <w:r w:rsidR="009200A2" w:rsidRPr="009200A2">
        <w:rPr>
          <w:rFonts w:ascii="Times New Roman" w:hAnsi="Times New Roman" w:cs="Times New Roman"/>
          <w:sz w:val="24"/>
          <w:szCs w:val="24"/>
        </w:rPr>
        <w:t>Like most</w:t>
      </w:r>
      <w:r w:rsidR="009200A2">
        <w:rPr>
          <w:rFonts w:ascii="Times New Roman" w:hAnsi="Times New Roman" w:cs="Times New Roman"/>
          <w:b/>
          <w:sz w:val="24"/>
          <w:szCs w:val="24"/>
        </w:rPr>
        <w:t xml:space="preserve"> </w:t>
      </w:r>
      <w:r w:rsidR="009200A2">
        <w:rPr>
          <w:rFonts w:ascii="Times New Roman" w:hAnsi="Times New Roman" w:cs="Times New Roman"/>
          <w:sz w:val="24"/>
          <w:szCs w:val="24"/>
        </w:rPr>
        <w:t>developing countries seeking to expand exports, t</w:t>
      </w:r>
      <w:r w:rsidRPr="005E5667">
        <w:rPr>
          <w:rFonts w:ascii="Times New Roman" w:hAnsi="Times New Roman" w:cs="Times New Roman"/>
          <w:sz w:val="24"/>
          <w:szCs w:val="24"/>
        </w:rPr>
        <w:t xml:space="preserve">he Government has taken a positive fiscal stance in promoting exports. The RMG sector is the highest beneficiary of the various fiscal concessions. In addition to the duty drawback scheme </w:t>
      </w:r>
      <w:r w:rsidR="009200A2">
        <w:rPr>
          <w:rFonts w:ascii="Times New Roman" w:hAnsi="Times New Roman" w:cs="Times New Roman"/>
          <w:sz w:val="24"/>
          <w:szCs w:val="24"/>
        </w:rPr>
        <w:t>accorded</w:t>
      </w:r>
      <w:r w:rsidRPr="005E5667">
        <w:rPr>
          <w:rFonts w:ascii="Times New Roman" w:hAnsi="Times New Roman" w:cs="Times New Roman"/>
          <w:sz w:val="24"/>
          <w:szCs w:val="24"/>
        </w:rPr>
        <w:t xml:space="preserve"> to all exporters, the RMG exporters enjoy the special privilege of paying only a nominal income tax on their earnings. The income tax is fixed at a very low level on total gross earnings of the RMG sector as a withholding tax</w:t>
      </w:r>
      <w:r w:rsidR="009200A2">
        <w:rPr>
          <w:rFonts w:ascii="Times New Roman" w:hAnsi="Times New Roman" w:cs="Times New Roman"/>
          <w:sz w:val="24"/>
          <w:szCs w:val="24"/>
        </w:rPr>
        <w:t xml:space="preserve"> on exports</w:t>
      </w:r>
      <w:r w:rsidRPr="005E5667">
        <w:rPr>
          <w:rFonts w:ascii="Times New Roman" w:hAnsi="Times New Roman" w:cs="Times New Roman"/>
          <w:sz w:val="24"/>
          <w:szCs w:val="24"/>
        </w:rPr>
        <w:t xml:space="preserve">, which is also the final tax.  This is now fixed at 0.6 percent </w:t>
      </w:r>
      <w:r w:rsidR="009200A2">
        <w:rPr>
          <w:rFonts w:ascii="Times New Roman" w:hAnsi="Times New Roman" w:cs="Times New Roman"/>
          <w:sz w:val="24"/>
          <w:szCs w:val="24"/>
        </w:rPr>
        <w:t xml:space="preserve">(FY2018) </w:t>
      </w:r>
      <w:r w:rsidRPr="005E5667">
        <w:rPr>
          <w:rFonts w:ascii="Times New Roman" w:hAnsi="Times New Roman" w:cs="Times New Roman"/>
          <w:sz w:val="24"/>
          <w:szCs w:val="24"/>
        </w:rPr>
        <w:t>of total export earnings, which is a small tax burden in terms of percent</w:t>
      </w:r>
      <w:r w:rsidR="009200A2">
        <w:rPr>
          <w:rFonts w:ascii="Times New Roman" w:hAnsi="Times New Roman" w:cs="Times New Roman"/>
          <w:sz w:val="24"/>
          <w:szCs w:val="24"/>
        </w:rPr>
        <w:t>age</w:t>
      </w:r>
      <w:r w:rsidRPr="005E5667">
        <w:rPr>
          <w:rFonts w:ascii="Times New Roman" w:hAnsi="Times New Roman" w:cs="Times New Roman"/>
          <w:sz w:val="24"/>
          <w:szCs w:val="24"/>
        </w:rPr>
        <w:t xml:space="preserve"> of true profit of the RMG exporters.  While the duty drawback is a legitimate scheme to ensure export competitiveness, the income tax treatment of RMG earnings is highly controversial as its relevance to influence export decision is not clear. In addition, the government offers direct cash subsidy to exports of non-traditional items, announced on an annual basis, with the rate varying from 5% on jute</w:t>
      </w:r>
      <w:r w:rsidR="001C2DA9">
        <w:rPr>
          <w:rFonts w:ascii="Times New Roman" w:hAnsi="Times New Roman" w:cs="Times New Roman"/>
          <w:sz w:val="24"/>
          <w:szCs w:val="24"/>
        </w:rPr>
        <w:t xml:space="preserve"> yarn</w:t>
      </w:r>
      <w:r w:rsidRPr="005E5667">
        <w:rPr>
          <w:rFonts w:ascii="Times New Roman" w:hAnsi="Times New Roman" w:cs="Times New Roman"/>
          <w:sz w:val="24"/>
          <w:szCs w:val="24"/>
        </w:rPr>
        <w:t xml:space="preserve"> to 20% on </w:t>
      </w:r>
      <w:r w:rsidR="001C2DA9">
        <w:rPr>
          <w:rFonts w:ascii="Times New Roman" w:hAnsi="Times New Roman" w:cs="Times New Roman"/>
          <w:sz w:val="24"/>
          <w:szCs w:val="24"/>
        </w:rPr>
        <w:t xml:space="preserve">halal meat and potatoes </w:t>
      </w:r>
      <w:r w:rsidR="009200A2">
        <w:rPr>
          <w:rFonts w:ascii="Times New Roman" w:hAnsi="Times New Roman" w:cs="Times New Roman"/>
          <w:sz w:val="24"/>
          <w:szCs w:val="24"/>
        </w:rPr>
        <w:t>in the current year (FY2018</w:t>
      </w:r>
      <w:r w:rsidRPr="005E5667">
        <w:rPr>
          <w:rFonts w:ascii="Times New Roman" w:hAnsi="Times New Roman" w:cs="Times New Roman"/>
          <w:sz w:val="24"/>
          <w:szCs w:val="24"/>
        </w:rPr>
        <w:t xml:space="preserve">). </w:t>
      </w:r>
    </w:p>
    <w:p w14:paraId="1DA2BAF4" w14:textId="77777777" w:rsidR="003E098E" w:rsidRDefault="003E098E" w:rsidP="0060738E">
      <w:pPr>
        <w:spacing w:after="240"/>
        <w:contextualSpacing/>
        <w:jc w:val="both"/>
        <w:rPr>
          <w:rFonts w:ascii="Times New Roman" w:hAnsi="Times New Roman" w:cs="Times New Roman"/>
          <w:sz w:val="24"/>
          <w:szCs w:val="24"/>
        </w:rPr>
      </w:pPr>
    </w:p>
    <w:p w14:paraId="06EAF12B" w14:textId="77777777" w:rsidR="009200A2" w:rsidRPr="0060738E" w:rsidRDefault="009200A2" w:rsidP="0060738E">
      <w:pPr>
        <w:pStyle w:val="NormalWeb"/>
        <w:spacing w:before="0" w:beforeAutospacing="0" w:after="240" w:afterAutospacing="0" w:line="276" w:lineRule="auto"/>
        <w:jc w:val="both"/>
        <w:rPr>
          <w:bCs/>
        </w:rPr>
      </w:pPr>
      <w:r w:rsidRPr="0060738E">
        <w:rPr>
          <w:b/>
          <w:bCs/>
          <w:i/>
        </w:rPr>
        <w:t>Trade regime and exports.</w:t>
      </w:r>
      <w:r w:rsidRPr="0060738E">
        <w:rPr>
          <w:bCs/>
        </w:rPr>
        <w:t xml:space="preserve"> There is strong international evidence that export performance, and its offshoot, progress in export diversification, is in large part the outcome of the trade policy regime governing export production and trade. Evidence from Bangladesh over the past two decades provides confirmation to the proposition that trade openness has had a positive impact on export performance. But export diversification has stalled in the face of stellar success of RMG exports that only accentuated export concentration. As we saw earlier, a whole host of factors affect export performance, </w:t>
      </w:r>
      <w:r w:rsidR="00E83E80" w:rsidRPr="0060738E">
        <w:rPr>
          <w:bCs/>
        </w:rPr>
        <w:t xml:space="preserve">in addition to trade policy. </w:t>
      </w:r>
      <w:r w:rsidRPr="0060738E">
        <w:rPr>
          <w:bCs/>
        </w:rPr>
        <w:t>In the case of RMG, many special factors played a positive role that are missing for other exporters.</w:t>
      </w:r>
    </w:p>
    <w:p w14:paraId="7E32BFE1" w14:textId="77777777" w:rsidR="009200A2" w:rsidRPr="0060738E" w:rsidRDefault="009200A2" w:rsidP="0060738E">
      <w:pPr>
        <w:pStyle w:val="NormalWeb"/>
        <w:spacing w:before="0" w:beforeAutospacing="0" w:after="240" w:afterAutospacing="0" w:line="276" w:lineRule="auto"/>
        <w:jc w:val="both"/>
        <w:rPr>
          <w:bCs/>
        </w:rPr>
      </w:pPr>
      <w:r w:rsidRPr="0060738E">
        <w:rPr>
          <w:bCs/>
        </w:rPr>
        <w:t>The role of these various factors in explaining the growth of RMG exports illustrates their importance. The key factors and policies that explain the dynamism of RMG exports include the following.</w:t>
      </w:r>
    </w:p>
    <w:p w14:paraId="7BF822F4" w14:textId="77777777" w:rsidR="009200A2" w:rsidRPr="009200A2" w:rsidRDefault="009200A2" w:rsidP="00A42036">
      <w:pPr>
        <w:numPr>
          <w:ilvl w:val="0"/>
          <w:numId w:val="9"/>
        </w:numPr>
        <w:autoSpaceDE w:val="0"/>
        <w:autoSpaceDN w:val="0"/>
        <w:adjustRightInd w:val="0"/>
        <w:spacing w:after="240" w:line="276" w:lineRule="auto"/>
        <w:contextualSpacing/>
        <w:jc w:val="both"/>
        <w:rPr>
          <w:rFonts w:ascii="Times New Roman" w:hAnsi="Times New Roman"/>
          <w:b/>
          <w:sz w:val="24"/>
          <w:szCs w:val="24"/>
        </w:rPr>
      </w:pPr>
      <w:r w:rsidRPr="009200A2">
        <w:rPr>
          <w:rFonts w:ascii="Times New Roman" w:hAnsi="Times New Roman"/>
          <w:b/>
          <w:sz w:val="24"/>
          <w:szCs w:val="24"/>
        </w:rPr>
        <w:t xml:space="preserve">Multifibre Arrangement (MFA) 1974-2005: </w:t>
      </w:r>
      <w:r w:rsidRPr="009200A2">
        <w:rPr>
          <w:rFonts w:ascii="Times New Roman" w:hAnsi="Times New Roman"/>
          <w:sz w:val="24"/>
          <w:szCs w:val="24"/>
        </w:rPr>
        <w:t>The MFA, an external but fortuitous development</w:t>
      </w:r>
      <w:r w:rsidR="00E83E80">
        <w:rPr>
          <w:rFonts w:ascii="Times New Roman" w:hAnsi="Times New Roman"/>
          <w:sz w:val="24"/>
          <w:szCs w:val="24"/>
        </w:rPr>
        <w:t>, provided the initial impetus.</w:t>
      </w:r>
      <w:r w:rsidRPr="009200A2">
        <w:rPr>
          <w:rFonts w:ascii="Times New Roman" w:hAnsi="Times New Roman"/>
          <w:sz w:val="24"/>
          <w:szCs w:val="24"/>
        </w:rPr>
        <w:t xml:space="preserve"> Faced with quota restrictions, Korean firm Daewoo entered into partnership with Desh Garments of Bangladesh to produce garments in Bangladesh using the underused Bangladesh quota in the USA and Europe. The seeds of a dynamic industry were thus sown by improved market access to US and European markets.  Soon other entrepreneurs started entering the profitable venture.</w:t>
      </w:r>
    </w:p>
    <w:p w14:paraId="7961F388" w14:textId="77777777" w:rsidR="009200A2" w:rsidRPr="009200A2" w:rsidRDefault="009200A2" w:rsidP="0060738E">
      <w:pPr>
        <w:autoSpaceDE w:val="0"/>
        <w:autoSpaceDN w:val="0"/>
        <w:adjustRightInd w:val="0"/>
        <w:spacing w:after="240" w:line="276" w:lineRule="auto"/>
        <w:ind w:left="720"/>
        <w:contextualSpacing/>
        <w:jc w:val="both"/>
        <w:rPr>
          <w:rFonts w:ascii="Times New Roman" w:hAnsi="Times New Roman"/>
          <w:b/>
          <w:sz w:val="24"/>
          <w:szCs w:val="24"/>
        </w:rPr>
      </w:pPr>
    </w:p>
    <w:p w14:paraId="3DC8A337" w14:textId="77777777" w:rsidR="009200A2" w:rsidRPr="009200A2" w:rsidRDefault="009200A2" w:rsidP="00A42036">
      <w:pPr>
        <w:numPr>
          <w:ilvl w:val="0"/>
          <w:numId w:val="9"/>
        </w:numPr>
        <w:autoSpaceDE w:val="0"/>
        <w:autoSpaceDN w:val="0"/>
        <w:adjustRightInd w:val="0"/>
        <w:spacing w:after="240" w:line="276" w:lineRule="auto"/>
        <w:contextualSpacing/>
        <w:jc w:val="both"/>
        <w:rPr>
          <w:rFonts w:ascii="Times New Roman" w:hAnsi="Times New Roman"/>
          <w:b/>
          <w:sz w:val="24"/>
          <w:szCs w:val="24"/>
        </w:rPr>
      </w:pPr>
      <w:r w:rsidRPr="009200A2">
        <w:rPr>
          <w:rFonts w:ascii="Times New Roman" w:hAnsi="Times New Roman"/>
          <w:b/>
          <w:sz w:val="24"/>
          <w:szCs w:val="24"/>
        </w:rPr>
        <w:t>Bonded Warehouse System:</w:t>
      </w:r>
      <w:r w:rsidRPr="009200A2">
        <w:rPr>
          <w:rFonts w:ascii="Times New Roman" w:hAnsi="Times New Roman"/>
          <w:sz w:val="24"/>
          <w:szCs w:val="24"/>
        </w:rPr>
        <w:t xml:space="preserve"> To provide world-priced inputs and support the nascent garment industry the Ban</w:t>
      </w:r>
      <w:r w:rsidR="00E83E80">
        <w:rPr>
          <w:rFonts w:ascii="Times New Roman" w:hAnsi="Times New Roman"/>
          <w:sz w:val="24"/>
          <w:szCs w:val="24"/>
        </w:rPr>
        <w:t>gladesh government allowed duty-</w:t>
      </w:r>
      <w:r w:rsidRPr="009200A2">
        <w:rPr>
          <w:rFonts w:ascii="Times New Roman" w:hAnsi="Times New Roman"/>
          <w:sz w:val="24"/>
          <w:szCs w:val="24"/>
        </w:rPr>
        <w:t xml:space="preserve">free access to imports for the RMG sector through the bonded warehouse system. This created a duty-free environment </w:t>
      </w:r>
      <w:r w:rsidRPr="009200A2">
        <w:rPr>
          <w:rFonts w:ascii="Times New Roman" w:hAnsi="Times New Roman"/>
          <w:sz w:val="24"/>
          <w:szCs w:val="24"/>
        </w:rPr>
        <w:lastRenderedPageBreak/>
        <w:t>for the RMG sector even though the rest of the economy faced huge tariff and non-tariff barriers.  This free trade regime for the RMG sector has been a leading factor for spurring the growth of RMG exports.</w:t>
      </w:r>
    </w:p>
    <w:p w14:paraId="552A43BB" w14:textId="77777777" w:rsidR="009200A2" w:rsidRPr="009200A2" w:rsidRDefault="009200A2" w:rsidP="0060738E">
      <w:pPr>
        <w:spacing w:after="240" w:line="276" w:lineRule="auto"/>
        <w:ind w:left="720"/>
        <w:contextualSpacing/>
        <w:jc w:val="both"/>
        <w:rPr>
          <w:rFonts w:ascii="Times New Roman" w:hAnsi="Times New Roman"/>
          <w:b/>
          <w:sz w:val="24"/>
          <w:szCs w:val="24"/>
        </w:rPr>
      </w:pPr>
    </w:p>
    <w:p w14:paraId="5175331A" w14:textId="77777777" w:rsidR="009200A2" w:rsidRPr="009200A2" w:rsidRDefault="009200A2" w:rsidP="00A42036">
      <w:pPr>
        <w:numPr>
          <w:ilvl w:val="0"/>
          <w:numId w:val="9"/>
        </w:numPr>
        <w:autoSpaceDE w:val="0"/>
        <w:autoSpaceDN w:val="0"/>
        <w:adjustRightInd w:val="0"/>
        <w:spacing w:after="240" w:line="276" w:lineRule="auto"/>
        <w:contextualSpacing/>
        <w:jc w:val="both"/>
        <w:rPr>
          <w:rFonts w:ascii="Times New Roman" w:hAnsi="Times New Roman"/>
          <w:b/>
          <w:sz w:val="24"/>
          <w:szCs w:val="24"/>
        </w:rPr>
      </w:pPr>
      <w:r w:rsidRPr="009200A2">
        <w:rPr>
          <w:rFonts w:ascii="Times New Roman" w:hAnsi="Times New Roman"/>
          <w:b/>
          <w:sz w:val="24"/>
          <w:szCs w:val="24"/>
        </w:rPr>
        <w:t xml:space="preserve">Back-to-back Line of Credit (LC):  </w:t>
      </w:r>
      <w:r w:rsidRPr="009200A2">
        <w:rPr>
          <w:rFonts w:ascii="Times New Roman" w:hAnsi="Times New Roman"/>
          <w:sz w:val="24"/>
          <w:szCs w:val="24"/>
        </w:rPr>
        <w:t xml:space="preserve">The RMG sector was able to lower its cost of production by having a system of back-to-back LC by which inputs were procured against export orders.  This saved the industry substantial working capital cost. </w:t>
      </w:r>
    </w:p>
    <w:p w14:paraId="183641F1" w14:textId="77777777" w:rsidR="009200A2" w:rsidRPr="009200A2" w:rsidRDefault="009200A2" w:rsidP="0060738E">
      <w:pPr>
        <w:spacing w:after="240" w:line="276" w:lineRule="auto"/>
        <w:ind w:left="720"/>
        <w:contextualSpacing/>
        <w:jc w:val="both"/>
        <w:rPr>
          <w:rFonts w:ascii="Times New Roman" w:hAnsi="Times New Roman"/>
          <w:b/>
          <w:sz w:val="24"/>
          <w:szCs w:val="24"/>
        </w:rPr>
      </w:pPr>
    </w:p>
    <w:p w14:paraId="748C77B0" w14:textId="77777777" w:rsidR="009200A2" w:rsidRPr="009200A2" w:rsidRDefault="009200A2" w:rsidP="00A42036">
      <w:pPr>
        <w:numPr>
          <w:ilvl w:val="0"/>
          <w:numId w:val="9"/>
        </w:numPr>
        <w:autoSpaceDE w:val="0"/>
        <w:autoSpaceDN w:val="0"/>
        <w:adjustRightInd w:val="0"/>
        <w:spacing w:after="240" w:line="276" w:lineRule="auto"/>
        <w:contextualSpacing/>
        <w:jc w:val="both"/>
        <w:rPr>
          <w:rFonts w:ascii="Times New Roman" w:hAnsi="Times New Roman"/>
          <w:b/>
          <w:sz w:val="24"/>
          <w:szCs w:val="24"/>
        </w:rPr>
      </w:pPr>
      <w:r w:rsidRPr="009200A2">
        <w:rPr>
          <w:rFonts w:ascii="Times New Roman" w:hAnsi="Times New Roman"/>
          <w:b/>
          <w:sz w:val="24"/>
          <w:szCs w:val="24"/>
        </w:rPr>
        <w:t xml:space="preserve">Low Cost Labor: </w:t>
      </w:r>
      <w:r w:rsidRPr="009200A2">
        <w:rPr>
          <w:rFonts w:ascii="Times New Roman" w:hAnsi="Times New Roman"/>
          <w:sz w:val="24"/>
          <w:szCs w:val="24"/>
        </w:rPr>
        <w:t>Bangladesh being a labor surplus country, RMG investors were able to tap into this huge surplus labor. In particular, the RMG sector has relied on female labor that has low participation rates and as such has low reservation wages.  Additionally, this labor is very reliable and disciplined. In more recent years, this access to low cost labor relative to China, India, Sri Lanka and Vietnam has increased tremendously the prospects for expansion of the RMG sector as labor cost increases, particularly in China, making Bangladesh a much more attractive destination for RMG export production.</w:t>
      </w:r>
    </w:p>
    <w:p w14:paraId="4BD8A388" w14:textId="77777777" w:rsidR="009200A2" w:rsidRPr="009200A2" w:rsidRDefault="009200A2" w:rsidP="0060738E">
      <w:pPr>
        <w:spacing w:after="240" w:line="276" w:lineRule="auto"/>
        <w:ind w:left="720"/>
        <w:contextualSpacing/>
        <w:jc w:val="both"/>
        <w:rPr>
          <w:rFonts w:ascii="Times New Roman" w:hAnsi="Times New Roman"/>
          <w:b/>
          <w:sz w:val="24"/>
          <w:szCs w:val="24"/>
        </w:rPr>
      </w:pPr>
    </w:p>
    <w:p w14:paraId="51067757" w14:textId="77777777" w:rsidR="009200A2" w:rsidRPr="009200A2" w:rsidRDefault="009200A2" w:rsidP="00A42036">
      <w:pPr>
        <w:numPr>
          <w:ilvl w:val="0"/>
          <w:numId w:val="9"/>
        </w:numPr>
        <w:autoSpaceDE w:val="0"/>
        <w:autoSpaceDN w:val="0"/>
        <w:adjustRightInd w:val="0"/>
        <w:spacing w:after="240" w:line="276" w:lineRule="auto"/>
        <w:contextualSpacing/>
        <w:jc w:val="both"/>
        <w:rPr>
          <w:rFonts w:ascii="Times New Roman" w:hAnsi="Times New Roman"/>
          <w:b/>
          <w:sz w:val="24"/>
          <w:szCs w:val="24"/>
        </w:rPr>
      </w:pPr>
      <w:r w:rsidRPr="009200A2">
        <w:rPr>
          <w:rFonts w:ascii="Times New Roman" w:hAnsi="Times New Roman"/>
          <w:b/>
          <w:sz w:val="24"/>
          <w:szCs w:val="24"/>
        </w:rPr>
        <w:t xml:space="preserve">Labor Training: </w:t>
      </w:r>
      <w:r w:rsidRPr="009200A2">
        <w:rPr>
          <w:rFonts w:ascii="Times New Roman" w:hAnsi="Times New Roman"/>
          <w:sz w:val="24"/>
          <w:szCs w:val="24"/>
        </w:rPr>
        <w:t xml:space="preserve">RMG labor requires minimum training that could be easily provided in-house and honed in on the job. </w:t>
      </w:r>
    </w:p>
    <w:p w14:paraId="001D23C5" w14:textId="77777777" w:rsidR="009200A2" w:rsidRPr="009200A2" w:rsidRDefault="009200A2" w:rsidP="0060738E">
      <w:pPr>
        <w:spacing w:after="240" w:line="276" w:lineRule="auto"/>
        <w:ind w:left="720"/>
        <w:contextualSpacing/>
        <w:jc w:val="both"/>
        <w:rPr>
          <w:rFonts w:ascii="Times New Roman" w:hAnsi="Times New Roman"/>
          <w:b/>
          <w:sz w:val="24"/>
          <w:szCs w:val="24"/>
        </w:rPr>
      </w:pPr>
    </w:p>
    <w:p w14:paraId="78F1E3E7" w14:textId="77777777" w:rsidR="009200A2" w:rsidRPr="009200A2" w:rsidRDefault="009200A2" w:rsidP="00A42036">
      <w:pPr>
        <w:numPr>
          <w:ilvl w:val="0"/>
          <w:numId w:val="9"/>
        </w:numPr>
        <w:autoSpaceDE w:val="0"/>
        <w:autoSpaceDN w:val="0"/>
        <w:adjustRightInd w:val="0"/>
        <w:spacing w:after="240" w:line="276" w:lineRule="auto"/>
        <w:contextualSpacing/>
        <w:jc w:val="both"/>
        <w:rPr>
          <w:rFonts w:ascii="Times New Roman" w:hAnsi="Times New Roman"/>
          <w:b/>
          <w:sz w:val="24"/>
          <w:szCs w:val="24"/>
        </w:rPr>
      </w:pPr>
      <w:r w:rsidRPr="009200A2">
        <w:rPr>
          <w:rFonts w:ascii="Times New Roman" w:hAnsi="Times New Roman"/>
          <w:b/>
          <w:sz w:val="24"/>
          <w:szCs w:val="24"/>
        </w:rPr>
        <w:t xml:space="preserve">Technology:  </w:t>
      </w:r>
      <w:r w:rsidRPr="009200A2">
        <w:rPr>
          <w:rFonts w:ascii="Times New Roman" w:hAnsi="Times New Roman"/>
          <w:sz w:val="24"/>
          <w:szCs w:val="24"/>
        </w:rPr>
        <w:t>The initial technology transfer happened as Korean investors, armed with the knowhow of RMG production and trade, came to Bangladesh to take advantage of the quota allocated to Bangladesh.  The technology being relatively simple was quickly adapted and transferred to other investors (local) through competitive buying of managers and trained labor.</w:t>
      </w:r>
    </w:p>
    <w:p w14:paraId="72C0FC9E" w14:textId="77777777" w:rsidR="009200A2" w:rsidRPr="009200A2" w:rsidRDefault="009200A2" w:rsidP="0060738E">
      <w:pPr>
        <w:spacing w:after="240" w:line="276" w:lineRule="auto"/>
        <w:ind w:left="720"/>
        <w:contextualSpacing/>
        <w:jc w:val="both"/>
        <w:rPr>
          <w:rFonts w:ascii="Times New Roman" w:hAnsi="Times New Roman"/>
          <w:b/>
          <w:sz w:val="24"/>
          <w:szCs w:val="24"/>
        </w:rPr>
      </w:pPr>
    </w:p>
    <w:p w14:paraId="70A8309B" w14:textId="77777777" w:rsidR="009200A2" w:rsidRPr="009200A2" w:rsidRDefault="009200A2" w:rsidP="00A42036">
      <w:pPr>
        <w:numPr>
          <w:ilvl w:val="0"/>
          <w:numId w:val="9"/>
        </w:numPr>
        <w:autoSpaceDE w:val="0"/>
        <w:autoSpaceDN w:val="0"/>
        <w:adjustRightInd w:val="0"/>
        <w:spacing w:after="240" w:line="276" w:lineRule="auto"/>
        <w:contextualSpacing/>
        <w:jc w:val="both"/>
        <w:rPr>
          <w:rFonts w:ascii="Times New Roman" w:hAnsi="Times New Roman"/>
          <w:b/>
          <w:sz w:val="24"/>
          <w:szCs w:val="24"/>
        </w:rPr>
      </w:pPr>
      <w:r w:rsidRPr="009200A2">
        <w:rPr>
          <w:rFonts w:ascii="Times New Roman" w:hAnsi="Times New Roman"/>
          <w:b/>
          <w:sz w:val="24"/>
          <w:szCs w:val="24"/>
        </w:rPr>
        <w:t>Infrastructure:</w:t>
      </w:r>
      <w:r w:rsidRPr="009200A2">
        <w:rPr>
          <w:rFonts w:ascii="Times New Roman" w:hAnsi="Times New Roman"/>
          <w:sz w:val="24"/>
          <w:szCs w:val="24"/>
        </w:rPr>
        <w:t xml:space="preserve">  Here policy progress has been limited, both in power and in transport. As for power, RMG producers have tended to adjust to the realities of power outages and rationing by having back-up generators.  But this is potentially a factor that will hurt the future expansion of RMG unless actions are taken to improve infrastructure. </w:t>
      </w:r>
    </w:p>
    <w:p w14:paraId="7F5DAA35" w14:textId="77777777" w:rsidR="009200A2" w:rsidRPr="009200A2" w:rsidRDefault="009200A2" w:rsidP="0060738E">
      <w:pPr>
        <w:spacing w:after="240" w:line="276" w:lineRule="auto"/>
        <w:ind w:left="720"/>
        <w:contextualSpacing/>
        <w:jc w:val="both"/>
        <w:rPr>
          <w:rFonts w:ascii="Times New Roman" w:hAnsi="Times New Roman"/>
          <w:b/>
          <w:sz w:val="24"/>
          <w:szCs w:val="24"/>
        </w:rPr>
      </w:pPr>
    </w:p>
    <w:p w14:paraId="4757B5DB" w14:textId="77777777" w:rsidR="009200A2" w:rsidRPr="009200A2" w:rsidRDefault="009200A2" w:rsidP="00A42036">
      <w:pPr>
        <w:numPr>
          <w:ilvl w:val="0"/>
          <w:numId w:val="9"/>
        </w:numPr>
        <w:autoSpaceDE w:val="0"/>
        <w:autoSpaceDN w:val="0"/>
        <w:adjustRightInd w:val="0"/>
        <w:spacing w:after="240" w:line="276" w:lineRule="auto"/>
        <w:contextualSpacing/>
        <w:jc w:val="both"/>
        <w:rPr>
          <w:rFonts w:ascii="Times New Roman" w:hAnsi="Times New Roman"/>
          <w:b/>
          <w:sz w:val="24"/>
          <w:szCs w:val="24"/>
        </w:rPr>
      </w:pPr>
      <w:r w:rsidRPr="009200A2">
        <w:rPr>
          <w:rFonts w:ascii="Times New Roman" w:hAnsi="Times New Roman"/>
          <w:b/>
          <w:sz w:val="24"/>
          <w:szCs w:val="24"/>
        </w:rPr>
        <w:t>Tax</w:t>
      </w:r>
      <w:r w:rsidR="00E83E80">
        <w:rPr>
          <w:rFonts w:ascii="Times New Roman" w:hAnsi="Times New Roman"/>
          <w:b/>
          <w:sz w:val="24"/>
          <w:szCs w:val="24"/>
        </w:rPr>
        <w:t xml:space="preserve"> incentive</w:t>
      </w:r>
      <w:r w:rsidRPr="009200A2">
        <w:rPr>
          <w:rFonts w:ascii="Times New Roman" w:hAnsi="Times New Roman"/>
          <w:b/>
          <w:sz w:val="24"/>
          <w:szCs w:val="24"/>
        </w:rPr>
        <w:t>:</w:t>
      </w:r>
      <w:r w:rsidRPr="009200A2">
        <w:rPr>
          <w:rFonts w:ascii="Times New Roman" w:hAnsi="Times New Roman"/>
          <w:sz w:val="24"/>
          <w:szCs w:val="24"/>
        </w:rPr>
        <w:t xml:space="preserve"> The government has taken a very liberal attitude towards taxation of earnings from RMG by having a very low effective tax rate</w:t>
      </w:r>
      <w:r>
        <w:rPr>
          <w:rFonts w:ascii="Times New Roman" w:hAnsi="Times New Roman"/>
          <w:sz w:val="24"/>
          <w:szCs w:val="24"/>
        </w:rPr>
        <w:t xml:space="preserve"> on income from RMG exports</w:t>
      </w:r>
      <w:r w:rsidRPr="009200A2">
        <w:rPr>
          <w:rFonts w:ascii="Times New Roman" w:hAnsi="Times New Roman"/>
          <w:sz w:val="24"/>
          <w:szCs w:val="24"/>
        </w:rPr>
        <w:t>.</w:t>
      </w:r>
    </w:p>
    <w:p w14:paraId="0AE85D1E" w14:textId="77777777" w:rsidR="009200A2" w:rsidRDefault="009200A2" w:rsidP="0060738E">
      <w:pPr>
        <w:autoSpaceDE w:val="0"/>
        <w:autoSpaceDN w:val="0"/>
        <w:adjustRightInd w:val="0"/>
        <w:spacing w:after="240" w:line="276" w:lineRule="auto"/>
        <w:jc w:val="both"/>
        <w:rPr>
          <w:rFonts w:ascii="Times New Roman" w:hAnsi="Times New Roman" w:cs="Times New Roman"/>
          <w:sz w:val="24"/>
          <w:szCs w:val="24"/>
        </w:rPr>
      </w:pPr>
    </w:p>
    <w:p w14:paraId="0F48F11D" w14:textId="77777777" w:rsidR="009200A2" w:rsidRPr="0060738E" w:rsidRDefault="009200A2" w:rsidP="0060738E">
      <w:pPr>
        <w:pStyle w:val="NormalWeb"/>
        <w:spacing w:before="0" w:beforeAutospacing="0" w:after="240" w:afterAutospacing="0" w:line="276" w:lineRule="auto"/>
        <w:jc w:val="both"/>
        <w:rPr>
          <w:bCs/>
        </w:rPr>
      </w:pPr>
      <w:r w:rsidRPr="0060738E">
        <w:rPr>
          <w:bCs/>
        </w:rPr>
        <w:t xml:space="preserve">After all factors have been considered, evidence shows that Bangladesh leads the world in low cost labor that is largely unskilled or semi-skilled. In essence, low wages appear to effectively compensate for low productivity, so that, in the ultimate analysis, garment exports from Bangladesh become costs competitive. Does this competitive advantage extend to other products as well? Of course, it does, i.e. for most labor-intensive products. Footwear is among the rising star for much the same reason. Shipbuilding (ocean going vessels) is another activity that has </w:t>
      </w:r>
      <w:r w:rsidRPr="0060738E">
        <w:rPr>
          <w:bCs/>
        </w:rPr>
        <w:lastRenderedPageBreak/>
        <w:t>recently combined technical soundness with low labor costs to give it competitive advantage, and Bangladesh has emerged as a competitive exporter of ocean-going vessels (under 10,000 DWT) within a short period</w:t>
      </w:r>
      <w:r w:rsidRPr="0060738E">
        <w:rPr>
          <w:bCs/>
        </w:rPr>
        <w:footnoteReference w:id="3"/>
      </w:r>
      <w:r w:rsidRPr="0060738E">
        <w:rPr>
          <w:bCs/>
        </w:rPr>
        <w:t>. At least for the medium-term, low cost labor will continue to be the source of competitiveness of Bangladesh exports in RMG as well as non-RMG products. However, policymakers and private entrepreneurs will have to look out for (and ready to adopt) the technological advances occurring in the global marketplace in the coming decades in order to ensure sustained competitive advantage</w:t>
      </w:r>
      <w:r w:rsidR="000063E3" w:rsidRPr="0060738E">
        <w:rPr>
          <w:bCs/>
        </w:rPr>
        <w:t xml:space="preserve"> in exports. </w:t>
      </w:r>
    </w:p>
    <w:p w14:paraId="7C569543" w14:textId="77777777" w:rsidR="009200A2" w:rsidRPr="0060738E" w:rsidRDefault="009200A2" w:rsidP="0060738E">
      <w:pPr>
        <w:pStyle w:val="NormalWeb"/>
        <w:spacing w:before="0" w:beforeAutospacing="0" w:after="240" w:afterAutospacing="0" w:line="276" w:lineRule="auto"/>
        <w:jc w:val="both"/>
        <w:rPr>
          <w:bCs/>
        </w:rPr>
      </w:pPr>
      <w:r w:rsidRPr="0060738E">
        <w:rPr>
          <w:bCs/>
        </w:rPr>
        <w:t>The important role of the trade regime in spurring RMG exports was suggested above. In the next section, we will review the trade policy developments and the key features of current and past trade policies that facilitated or impeded the diversification of exports. The main thrust of our argument here is that while deficiencies in trade and transport infrastructure hurt exports in general, Bangladesh trade policy has had built-in bias against the emergence and proliferation of new products in the export basket. That bias con</w:t>
      </w:r>
      <w:r w:rsidR="000063E3" w:rsidRPr="0060738E">
        <w:rPr>
          <w:bCs/>
        </w:rPr>
        <w:t>tinues as of fiscal year 2017-18</w:t>
      </w:r>
      <w:r w:rsidRPr="0060738E">
        <w:rPr>
          <w:bCs/>
        </w:rPr>
        <w:t xml:space="preserve">. </w:t>
      </w:r>
      <w:r w:rsidR="000063E3" w:rsidRPr="0060738E">
        <w:rPr>
          <w:bCs/>
        </w:rPr>
        <w:t>This section will conclude with an articulation of the basic parameters of our future trade policy in strengthening competitive advantage in a transforming global marketplace.</w:t>
      </w:r>
    </w:p>
    <w:p w14:paraId="20A9203B" w14:textId="03B44843" w:rsidR="009200A2" w:rsidRPr="0060738E" w:rsidRDefault="00E83E80" w:rsidP="0060738E">
      <w:pPr>
        <w:pStyle w:val="NormalWeb"/>
        <w:spacing w:before="0" w:beforeAutospacing="0" w:after="240" w:afterAutospacing="0" w:line="276" w:lineRule="auto"/>
        <w:jc w:val="both"/>
        <w:rPr>
          <w:bCs/>
        </w:rPr>
      </w:pPr>
      <w:r w:rsidRPr="0060738E">
        <w:rPr>
          <w:bCs/>
        </w:rPr>
        <w:t>Table</w:t>
      </w:r>
      <w:r w:rsidR="00365335" w:rsidRPr="0060738E">
        <w:rPr>
          <w:bCs/>
        </w:rPr>
        <w:t>.8</w:t>
      </w:r>
      <w:r w:rsidR="009200A2" w:rsidRPr="0060738E">
        <w:rPr>
          <w:bCs/>
        </w:rPr>
        <w:t xml:space="preserve"> gives a snapshot of the current trade regime in Bangladesh. The most significant items to note are the absence of trade QRs, a floating (albeit managed) exchange rate system, two para-tariffs (SD&amp; RD), fewer tariff slabs (</w:t>
      </w:r>
      <w:r w:rsidR="004F4094" w:rsidRPr="0060738E">
        <w:rPr>
          <w:bCs/>
        </w:rPr>
        <w:t>5</w:t>
      </w:r>
      <w:r w:rsidR="009200A2" w:rsidRPr="0060738E">
        <w:rPr>
          <w:bCs/>
        </w:rPr>
        <w:t xml:space="preserve">), and a </w:t>
      </w:r>
      <w:r w:rsidR="004F4094" w:rsidRPr="0060738E">
        <w:rPr>
          <w:bCs/>
        </w:rPr>
        <w:t xml:space="preserve">moderate </w:t>
      </w:r>
      <w:r w:rsidR="009200A2" w:rsidRPr="0060738E">
        <w:rPr>
          <w:bCs/>
        </w:rPr>
        <w:t>trade-GDP ratio.</w:t>
      </w:r>
    </w:p>
    <w:p w14:paraId="134638B3" w14:textId="39297A67" w:rsidR="009200A2" w:rsidRPr="00785BB5" w:rsidRDefault="00E83E80" w:rsidP="008654DB">
      <w:pPr>
        <w:pStyle w:val="Heading4"/>
      </w:pPr>
      <w:bookmarkStart w:id="50" w:name="_Toc318795417"/>
      <w:bookmarkStart w:id="51" w:name="_Toc318795561"/>
      <w:bookmarkStart w:id="52" w:name="_Toc318795896"/>
      <w:bookmarkStart w:id="53" w:name="_Toc345332457"/>
      <w:bookmarkStart w:id="54" w:name="_Toc404442110"/>
      <w:bookmarkStart w:id="55" w:name="_Toc496536532"/>
      <w:bookmarkStart w:id="56" w:name="_Hlk492721489"/>
      <w:r w:rsidRPr="00785BB5">
        <w:t>Table</w:t>
      </w:r>
      <w:r w:rsidR="00B33BDD">
        <w:t xml:space="preserve"> </w:t>
      </w:r>
      <w:r w:rsidR="00365335" w:rsidRPr="00785BB5">
        <w:t>8</w:t>
      </w:r>
      <w:r w:rsidR="009200A2" w:rsidRPr="00785BB5">
        <w:t>: Snapshot of Bangladesh Trade Regime FY201</w:t>
      </w:r>
      <w:bookmarkEnd w:id="50"/>
      <w:bookmarkEnd w:id="51"/>
      <w:bookmarkEnd w:id="52"/>
      <w:bookmarkEnd w:id="53"/>
      <w:bookmarkEnd w:id="54"/>
      <w:r w:rsidR="003302EF" w:rsidRPr="00785BB5">
        <w:t>7</w:t>
      </w:r>
      <w:bookmarkEnd w:id="55"/>
    </w:p>
    <w:tbl>
      <w:tblPr>
        <w:tblW w:w="4665" w:type="pct"/>
        <w:jc w:val="center"/>
        <w:tblLook w:val="0000" w:firstRow="0" w:lastRow="0" w:firstColumn="0" w:lastColumn="0" w:noHBand="0" w:noVBand="0"/>
      </w:tblPr>
      <w:tblGrid>
        <w:gridCol w:w="3866"/>
        <w:gridCol w:w="2429"/>
        <w:gridCol w:w="2429"/>
      </w:tblGrid>
      <w:tr w:rsidR="004F4094" w:rsidRPr="002056F2" w14:paraId="051BE1D2" w14:textId="77777777" w:rsidTr="002056F2">
        <w:trPr>
          <w:trHeight w:val="283"/>
          <w:tblHeader/>
          <w:jc w:val="center"/>
        </w:trPr>
        <w:tc>
          <w:tcPr>
            <w:tcW w:w="2215" w:type="pct"/>
            <w:tcBorders>
              <w:top w:val="single" w:sz="4" w:space="0" w:color="000000"/>
              <w:left w:val="single" w:sz="4" w:space="0" w:color="000000"/>
              <w:bottom w:val="single" w:sz="4" w:space="0" w:color="000000"/>
              <w:right w:val="single" w:sz="4" w:space="0" w:color="000000"/>
            </w:tcBorders>
            <w:tcMar>
              <w:top w:w="0" w:type="dxa"/>
              <w:left w:w="118" w:type="dxa"/>
              <w:bottom w:w="0" w:type="dxa"/>
              <w:right w:w="108" w:type="dxa"/>
            </w:tcMar>
          </w:tcPr>
          <w:p w14:paraId="07F9E686" w14:textId="77777777" w:rsidR="004F4094" w:rsidRPr="002056F2" w:rsidRDefault="004F4094" w:rsidP="003302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rPr>
                <w:rFonts w:ascii="Times New Roman" w:hAnsi="Times New Roman" w:cs="Times New Roman"/>
                <w:sz w:val="18"/>
              </w:rPr>
            </w:pPr>
            <w:r w:rsidRPr="002056F2">
              <w:rPr>
                <w:rFonts w:ascii="Times New Roman" w:hAnsi="Times New Roman" w:cs="Times New Roman"/>
                <w:b/>
                <w:sz w:val="18"/>
                <w:lang w:val="es-MX"/>
              </w:rPr>
              <w:t>Policy Instrument</w:t>
            </w:r>
          </w:p>
        </w:tc>
        <w:tc>
          <w:tcPr>
            <w:tcW w:w="1392" w:type="pct"/>
            <w:tcBorders>
              <w:top w:val="single" w:sz="4" w:space="0" w:color="000000"/>
              <w:left w:val="single" w:sz="4" w:space="0" w:color="000000"/>
              <w:bottom w:val="single" w:sz="4" w:space="0" w:color="000000"/>
              <w:right w:val="single" w:sz="4" w:space="0" w:color="000000"/>
            </w:tcBorders>
            <w:tcMar>
              <w:top w:w="0" w:type="dxa"/>
              <w:left w:w="118" w:type="dxa"/>
              <w:bottom w:w="0" w:type="dxa"/>
              <w:right w:w="118" w:type="dxa"/>
            </w:tcMar>
          </w:tcPr>
          <w:p w14:paraId="190D5EB3"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center"/>
              <w:rPr>
                <w:rFonts w:ascii="Times New Roman" w:hAnsi="Times New Roman" w:cs="Times New Roman"/>
                <w:b/>
                <w:sz w:val="18"/>
              </w:rPr>
            </w:pPr>
            <w:r w:rsidRPr="002056F2">
              <w:rPr>
                <w:rFonts w:ascii="Times New Roman" w:hAnsi="Times New Roman" w:cs="Times New Roman"/>
                <w:b/>
                <w:sz w:val="18"/>
              </w:rPr>
              <w:t>Bangladesh</w:t>
            </w:r>
          </w:p>
        </w:tc>
        <w:tc>
          <w:tcPr>
            <w:tcW w:w="1392" w:type="pct"/>
            <w:tcBorders>
              <w:top w:val="single" w:sz="4" w:space="0" w:color="000000"/>
              <w:left w:val="single" w:sz="4" w:space="0" w:color="000000"/>
              <w:bottom w:val="single" w:sz="4" w:space="0" w:color="000000"/>
              <w:right w:val="single" w:sz="4" w:space="0" w:color="000000"/>
            </w:tcBorders>
          </w:tcPr>
          <w:p w14:paraId="30F6BF76" w14:textId="77777777" w:rsidR="004F4094" w:rsidRPr="002056F2" w:rsidRDefault="00AE024B"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jc w:val="center"/>
              <w:rPr>
                <w:rFonts w:ascii="Times New Roman" w:hAnsi="Times New Roman" w:cs="Times New Roman"/>
                <w:b/>
                <w:sz w:val="18"/>
              </w:rPr>
            </w:pPr>
            <w:r w:rsidRPr="002056F2">
              <w:rPr>
                <w:rFonts w:ascii="Times New Roman" w:hAnsi="Times New Roman" w:cs="Times New Roman"/>
                <w:b/>
                <w:sz w:val="18"/>
              </w:rPr>
              <w:t xml:space="preserve">S. </w:t>
            </w:r>
            <w:r w:rsidR="004F4094" w:rsidRPr="002056F2">
              <w:rPr>
                <w:rFonts w:ascii="Times New Roman" w:hAnsi="Times New Roman" w:cs="Times New Roman"/>
                <w:b/>
                <w:sz w:val="18"/>
              </w:rPr>
              <w:t>Korea</w:t>
            </w:r>
          </w:p>
        </w:tc>
      </w:tr>
      <w:tr w:rsidR="004F4094" w:rsidRPr="002056F2" w14:paraId="662683C2" w14:textId="77777777" w:rsidTr="002056F2">
        <w:trPr>
          <w:trHeight w:val="283"/>
          <w:jc w:val="center"/>
        </w:trPr>
        <w:tc>
          <w:tcPr>
            <w:tcW w:w="2215" w:type="pct"/>
            <w:tcBorders>
              <w:top w:val="single" w:sz="4" w:space="0" w:color="000000"/>
              <w:left w:val="single" w:sz="4" w:space="0" w:color="000000"/>
              <w:bottom w:val="single" w:sz="4" w:space="0" w:color="000000"/>
              <w:right w:val="single" w:sz="4" w:space="0" w:color="000000"/>
            </w:tcBorders>
            <w:tcMar>
              <w:top w:w="0" w:type="dxa"/>
              <w:left w:w="118" w:type="dxa"/>
              <w:bottom w:w="0" w:type="dxa"/>
              <w:right w:w="108" w:type="dxa"/>
            </w:tcMar>
          </w:tcPr>
          <w:p w14:paraId="19B2E180"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rPr>
                <w:rFonts w:ascii="Times New Roman" w:hAnsi="Times New Roman" w:cs="Times New Roman"/>
                <w:sz w:val="18"/>
                <w:szCs w:val="24"/>
              </w:rPr>
            </w:pPr>
            <w:r w:rsidRPr="002056F2">
              <w:rPr>
                <w:rFonts w:ascii="Times New Roman" w:hAnsi="Times New Roman" w:cs="Times New Roman"/>
                <w:sz w:val="18"/>
                <w:szCs w:val="24"/>
              </w:rPr>
              <w:t>Exchange Rate Regime</w:t>
            </w:r>
          </w:p>
        </w:tc>
        <w:tc>
          <w:tcPr>
            <w:tcW w:w="1392" w:type="pct"/>
            <w:tcBorders>
              <w:top w:val="single" w:sz="4" w:space="0" w:color="000000"/>
              <w:left w:val="single" w:sz="4" w:space="0" w:color="000000"/>
              <w:bottom w:val="single" w:sz="4" w:space="0" w:color="000000"/>
              <w:right w:val="single" w:sz="4" w:space="0" w:color="000000"/>
            </w:tcBorders>
            <w:tcMar>
              <w:top w:w="0" w:type="dxa"/>
              <w:left w:w="118" w:type="dxa"/>
              <w:bottom w:w="0" w:type="dxa"/>
              <w:right w:w="118" w:type="dxa"/>
            </w:tcMar>
          </w:tcPr>
          <w:p w14:paraId="7E81A56B"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rPr>
                <w:rFonts w:ascii="Times New Roman" w:hAnsi="Times New Roman" w:cs="Times New Roman"/>
                <w:sz w:val="18"/>
                <w:szCs w:val="24"/>
              </w:rPr>
            </w:pPr>
            <w:r w:rsidRPr="002056F2">
              <w:rPr>
                <w:rFonts w:ascii="Times New Roman" w:hAnsi="Times New Roman" w:cs="Times New Roman"/>
                <w:sz w:val="18"/>
                <w:szCs w:val="24"/>
              </w:rPr>
              <w:t>Unified, Managed Float</w:t>
            </w:r>
          </w:p>
        </w:tc>
        <w:tc>
          <w:tcPr>
            <w:tcW w:w="1392" w:type="pct"/>
            <w:tcBorders>
              <w:top w:val="single" w:sz="4" w:space="0" w:color="000000"/>
              <w:left w:val="single" w:sz="4" w:space="0" w:color="000000"/>
              <w:bottom w:val="single" w:sz="4" w:space="0" w:color="000000"/>
              <w:right w:val="single" w:sz="4" w:space="0" w:color="000000"/>
            </w:tcBorders>
          </w:tcPr>
          <w:p w14:paraId="4EB3E35F"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rPr>
                <w:rFonts w:ascii="Times New Roman" w:hAnsi="Times New Roman" w:cs="Times New Roman"/>
                <w:sz w:val="18"/>
                <w:szCs w:val="24"/>
              </w:rPr>
            </w:pPr>
            <w:r w:rsidRPr="002056F2">
              <w:rPr>
                <w:rFonts w:ascii="Times New Roman" w:hAnsi="Times New Roman" w:cs="Times New Roman"/>
                <w:sz w:val="18"/>
                <w:szCs w:val="24"/>
              </w:rPr>
              <w:t>Unified, Managed Float</w:t>
            </w:r>
          </w:p>
        </w:tc>
      </w:tr>
      <w:tr w:rsidR="004F4094" w:rsidRPr="002056F2" w14:paraId="480ECDE9" w14:textId="77777777" w:rsidTr="002056F2">
        <w:trPr>
          <w:trHeight w:val="283"/>
          <w:jc w:val="center"/>
        </w:trPr>
        <w:tc>
          <w:tcPr>
            <w:tcW w:w="2215" w:type="pct"/>
            <w:tcBorders>
              <w:top w:val="single" w:sz="4" w:space="0" w:color="000000"/>
              <w:left w:val="single" w:sz="4" w:space="0" w:color="000000"/>
              <w:bottom w:val="single" w:sz="4" w:space="0" w:color="000000"/>
              <w:right w:val="single" w:sz="4" w:space="0" w:color="000000"/>
            </w:tcBorders>
            <w:tcMar>
              <w:top w:w="0" w:type="dxa"/>
              <w:left w:w="118" w:type="dxa"/>
              <w:bottom w:w="0" w:type="dxa"/>
              <w:right w:w="108" w:type="dxa"/>
            </w:tcMar>
          </w:tcPr>
          <w:p w14:paraId="6E9997EB"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r w:rsidRPr="002056F2">
              <w:rPr>
                <w:rFonts w:ascii="Times New Roman" w:hAnsi="Times New Roman" w:cs="Times New Roman"/>
                <w:sz w:val="18"/>
                <w:szCs w:val="24"/>
              </w:rPr>
              <w:t xml:space="preserve">Payment convertibility       </w:t>
            </w:r>
          </w:p>
          <w:p w14:paraId="15660889"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r w:rsidRPr="002056F2">
              <w:rPr>
                <w:rFonts w:ascii="Times New Roman" w:hAnsi="Times New Roman" w:cs="Times New Roman"/>
                <w:sz w:val="18"/>
                <w:szCs w:val="24"/>
              </w:rPr>
              <w:t xml:space="preserve">            Current account </w:t>
            </w:r>
          </w:p>
          <w:p w14:paraId="0662347C"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r w:rsidRPr="002056F2">
              <w:rPr>
                <w:rFonts w:ascii="Times New Roman" w:hAnsi="Times New Roman" w:cs="Times New Roman"/>
                <w:sz w:val="18"/>
                <w:szCs w:val="24"/>
              </w:rPr>
              <w:t xml:space="preserve">            Capital account</w:t>
            </w:r>
          </w:p>
        </w:tc>
        <w:tc>
          <w:tcPr>
            <w:tcW w:w="1392" w:type="pct"/>
            <w:tcBorders>
              <w:top w:val="single" w:sz="4" w:space="0" w:color="000000"/>
              <w:left w:val="single" w:sz="4" w:space="0" w:color="000000"/>
              <w:bottom w:val="single" w:sz="4" w:space="0" w:color="000000"/>
              <w:right w:val="single" w:sz="4" w:space="0" w:color="000000"/>
            </w:tcBorders>
            <w:tcMar>
              <w:top w:w="0" w:type="dxa"/>
              <w:left w:w="118" w:type="dxa"/>
              <w:bottom w:w="0" w:type="dxa"/>
              <w:right w:w="118" w:type="dxa"/>
            </w:tcMar>
          </w:tcPr>
          <w:p w14:paraId="00841BD1"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p>
          <w:p w14:paraId="672BDF30"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r w:rsidRPr="002056F2">
              <w:rPr>
                <w:rFonts w:ascii="Times New Roman" w:hAnsi="Times New Roman" w:cs="Times New Roman"/>
                <w:sz w:val="18"/>
                <w:szCs w:val="24"/>
              </w:rPr>
              <w:t>Yes, some limits</w:t>
            </w:r>
          </w:p>
          <w:p w14:paraId="191E3279"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r w:rsidRPr="002056F2">
              <w:rPr>
                <w:rFonts w:ascii="Times New Roman" w:hAnsi="Times New Roman" w:cs="Times New Roman"/>
                <w:sz w:val="18"/>
                <w:szCs w:val="24"/>
              </w:rPr>
              <w:t xml:space="preserve">No </w:t>
            </w:r>
          </w:p>
        </w:tc>
        <w:tc>
          <w:tcPr>
            <w:tcW w:w="1392" w:type="pct"/>
            <w:tcBorders>
              <w:top w:val="single" w:sz="4" w:space="0" w:color="000000"/>
              <w:left w:val="single" w:sz="4" w:space="0" w:color="000000"/>
              <w:bottom w:val="single" w:sz="4" w:space="0" w:color="000000"/>
              <w:right w:val="single" w:sz="4" w:space="0" w:color="000000"/>
            </w:tcBorders>
          </w:tcPr>
          <w:p w14:paraId="3682F877"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p>
          <w:p w14:paraId="5982C306"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r w:rsidRPr="002056F2">
              <w:rPr>
                <w:rFonts w:ascii="Times New Roman" w:hAnsi="Times New Roman" w:cs="Times New Roman"/>
                <w:sz w:val="18"/>
                <w:szCs w:val="24"/>
              </w:rPr>
              <w:t>Yes</w:t>
            </w:r>
            <w:r w:rsidR="00AE024B" w:rsidRPr="002056F2">
              <w:rPr>
                <w:rFonts w:ascii="Times New Roman" w:hAnsi="Times New Roman" w:cs="Times New Roman"/>
                <w:sz w:val="18"/>
                <w:szCs w:val="24"/>
              </w:rPr>
              <w:t>, largely unlimited</w:t>
            </w:r>
          </w:p>
          <w:p w14:paraId="08809633"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r w:rsidRPr="002056F2">
              <w:rPr>
                <w:rFonts w:ascii="Times New Roman" w:hAnsi="Times New Roman" w:cs="Times New Roman"/>
                <w:sz w:val="18"/>
                <w:szCs w:val="24"/>
              </w:rPr>
              <w:t>Yes, some limits</w:t>
            </w:r>
          </w:p>
        </w:tc>
      </w:tr>
      <w:tr w:rsidR="004F4094" w:rsidRPr="002056F2" w14:paraId="7C1D9F02" w14:textId="77777777" w:rsidTr="002056F2">
        <w:trPr>
          <w:trHeight w:val="283"/>
          <w:jc w:val="center"/>
        </w:trPr>
        <w:tc>
          <w:tcPr>
            <w:tcW w:w="2215" w:type="pct"/>
            <w:tcBorders>
              <w:top w:val="single" w:sz="4" w:space="0" w:color="000000"/>
              <w:left w:val="single" w:sz="4" w:space="0" w:color="000000"/>
              <w:bottom w:val="single" w:sz="4" w:space="0" w:color="000000"/>
              <w:right w:val="single" w:sz="4" w:space="0" w:color="000000"/>
            </w:tcBorders>
            <w:tcMar>
              <w:top w:w="0" w:type="dxa"/>
              <w:left w:w="118" w:type="dxa"/>
              <w:bottom w:w="0" w:type="dxa"/>
              <w:right w:w="108" w:type="dxa"/>
            </w:tcMar>
          </w:tcPr>
          <w:p w14:paraId="7AFE4400"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r w:rsidRPr="002056F2">
              <w:rPr>
                <w:rFonts w:ascii="Times New Roman" w:hAnsi="Times New Roman" w:cs="Times New Roman"/>
                <w:sz w:val="18"/>
                <w:szCs w:val="24"/>
              </w:rPr>
              <w:t>Import restrictions</w:t>
            </w:r>
          </w:p>
          <w:p w14:paraId="0783A479"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r w:rsidRPr="002056F2">
              <w:rPr>
                <w:rFonts w:ascii="Times New Roman" w:hAnsi="Times New Roman" w:cs="Times New Roman"/>
                <w:sz w:val="18"/>
                <w:szCs w:val="24"/>
              </w:rPr>
              <w:t xml:space="preserve">    Import licensing</w:t>
            </w:r>
          </w:p>
          <w:p w14:paraId="60495BCB"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r w:rsidRPr="002056F2">
              <w:rPr>
                <w:rFonts w:ascii="Times New Roman" w:hAnsi="Times New Roman" w:cs="Times New Roman"/>
                <w:sz w:val="18"/>
                <w:szCs w:val="24"/>
              </w:rPr>
              <w:t xml:space="preserve">    QRs on imports</w:t>
            </w:r>
          </w:p>
        </w:tc>
        <w:tc>
          <w:tcPr>
            <w:tcW w:w="1392" w:type="pct"/>
            <w:tcBorders>
              <w:top w:val="single" w:sz="4" w:space="0" w:color="000000"/>
              <w:left w:val="single" w:sz="4" w:space="0" w:color="000000"/>
              <w:bottom w:val="single" w:sz="4" w:space="0" w:color="000000"/>
              <w:right w:val="single" w:sz="4" w:space="0" w:color="000000"/>
            </w:tcBorders>
            <w:tcMar>
              <w:top w:w="0" w:type="dxa"/>
              <w:left w:w="118" w:type="dxa"/>
              <w:bottom w:w="0" w:type="dxa"/>
              <w:right w:w="118" w:type="dxa"/>
            </w:tcMar>
          </w:tcPr>
          <w:p w14:paraId="79537088"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p>
          <w:p w14:paraId="1110FFEE"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r w:rsidRPr="002056F2">
              <w:rPr>
                <w:rFonts w:ascii="Times New Roman" w:hAnsi="Times New Roman" w:cs="Times New Roman"/>
                <w:sz w:val="18"/>
                <w:szCs w:val="24"/>
              </w:rPr>
              <w:t>No</w:t>
            </w:r>
          </w:p>
          <w:p w14:paraId="5436FDF0"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r w:rsidRPr="002056F2">
              <w:rPr>
                <w:rFonts w:ascii="Times New Roman" w:hAnsi="Times New Roman" w:cs="Times New Roman"/>
                <w:sz w:val="18"/>
                <w:szCs w:val="24"/>
              </w:rPr>
              <w:t>Trade QRs gone</w:t>
            </w:r>
          </w:p>
          <w:p w14:paraId="5CB8CE08"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r w:rsidRPr="002056F2">
              <w:rPr>
                <w:rFonts w:ascii="Times New Roman" w:hAnsi="Times New Roman" w:cs="Times New Roman"/>
                <w:sz w:val="18"/>
                <w:szCs w:val="24"/>
              </w:rPr>
              <w:t>WTO compliant QRs remain</w:t>
            </w:r>
          </w:p>
        </w:tc>
        <w:tc>
          <w:tcPr>
            <w:tcW w:w="1392" w:type="pct"/>
            <w:tcBorders>
              <w:top w:val="single" w:sz="4" w:space="0" w:color="000000"/>
              <w:left w:val="single" w:sz="4" w:space="0" w:color="000000"/>
              <w:bottom w:val="single" w:sz="4" w:space="0" w:color="000000"/>
              <w:right w:val="single" w:sz="4" w:space="0" w:color="000000"/>
            </w:tcBorders>
          </w:tcPr>
          <w:p w14:paraId="38C4EDB0"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p>
          <w:p w14:paraId="75DF382D" w14:textId="77777777" w:rsidR="00AE024B" w:rsidRPr="002056F2" w:rsidRDefault="00AE024B"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r w:rsidRPr="002056F2">
              <w:rPr>
                <w:rFonts w:ascii="Times New Roman" w:hAnsi="Times New Roman" w:cs="Times New Roman"/>
                <w:sz w:val="18"/>
                <w:szCs w:val="24"/>
              </w:rPr>
              <w:t>No</w:t>
            </w:r>
          </w:p>
          <w:p w14:paraId="0F7AFBE1" w14:textId="77777777" w:rsidR="00AE024B" w:rsidRPr="002056F2" w:rsidRDefault="00AE024B"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r w:rsidRPr="002056F2">
              <w:rPr>
                <w:rFonts w:ascii="Times New Roman" w:hAnsi="Times New Roman" w:cs="Times New Roman"/>
                <w:sz w:val="18"/>
                <w:szCs w:val="24"/>
              </w:rPr>
              <w:t>Only WTO compliant ones</w:t>
            </w:r>
          </w:p>
        </w:tc>
      </w:tr>
      <w:tr w:rsidR="004F4094" w:rsidRPr="002056F2" w14:paraId="37D0464D" w14:textId="77777777" w:rsidTr="002056F2">
        <w:trPr>
          <w:trHeight w:val="283"/>
          <w:jc w:val="center"/>
        </w:trPr>
        <w:tc>
          <w:tcPr>
            <w:tcW w:w="2215" w:type="pct"/>
            <w:tcBorders>
              <w:top w:val="single" w:sz="4" w:space="0" w:color="000000"/>
              <w:left w:val="single" w:sz="4" w:space="0" w:color="000000"/>
              <w:bottom w:val="single" w:sz="4" w:space="0" w:color="000000"/>
              <w:right w:val="single" w:sz="4" w:space="0" w:color="000000"/>
            </w:tcBorders>
            <w:tcMar>
              <w:top w:w="0" w:type="dxa"/>
              <w:left w:w="118" w:type="dxa"/>
              <w:bottom w:w="0" w:type="dxa"/>
              <w:right w:w="108" w:type="dxa"/>
            </w:tcMar>
          </w:tcPr>
          <w:p w14:paraId="1769F961"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r w:rsidRPr="002056F2">
              <w:rPr>
                <w:rFonts w:ascii="Times New Roman" w:hAnsi="Times New Roman" w:cs="Times New Roman"/>
                <w:sz w:val="18"/>
                <w:szCs w:val="24"/>
              </w:rPr>
              <w:t>Tariff structure</w:t>
            </w:r>
          </w:p>
          <w:p w14:paraId="5790B635"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r w:rsidRPr="002056F2">
              <w:rPr>
                <w:rFonts w:ascii="Times New Roman" w:hAnsi="Times New Roman" w:cs="Times New Roman"/>
                <w:sz w:val="18"/>
                <w:szCs w:val="24"/>
              </w:rPr>
              <w:t xml:space="preserve">    Top CD rate</w:t>
            </w:r>
          </w:p>
          <w:p w14:paraId="65AB0364"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r w:rsidRPr="002056F2">
              <w:rPr>
                <w:rFonts w:ascii="Times New Roman" w:hAnsi="Times New Roman" w:cs="Times New Roman"/>
                <w:sz w:val="18"/>
                <w:szCs w:val="24"/>
              </w:rPr>
              <w:t xml:space="preserve">    Average protective rate</w:t>
            </w:r>
          </w:p>
          <w:p w14:paraId="6CAE01FF"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r w:rsidRPr="002056F2">
              <w:rPr>
                <w:rFonts w:ascii="Times New Roman" w:hAnsi="Times New Roman" w:cs="Times New Roman"/>
                <w:sz w:val="18"/>
                <w:szCs w:val="24"/>
              </w:rPr>
              <w:t xml:space="preserve">    Tariff slabs (customs duty)</w:t>
            </w:r>
          </w:p>
          <w:p w14:paraId="6A8F7857" w14:textId="77777777" w:rsidR="004F4094" w:rsidRPr="002056F2" w:rsidRDefault="00AE024B"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r w:rsidRPr="002056F2">
              <w:rPr>
                <w:rFonts w:ascii="Times New Roman" w:hAnsi="Times New Roman" w:cs="Times New Roman"/>
                <w:sz w:val="18"/>
                <w:szCs w:val="24"/>
              </w:rPr>
              <w:t xml:space="preserve">    </w:t>
            </w:r>
            <w:r w:rsidR="004F4094" w:rsidRPr="002056F2">
              <w:rPr>
                <w:rFonts w:ascii="Times New Roman" w:hAnsi="Times New Roman" w:cs="Times New Roman"/>
                <w:sz w:val="18"/>
                <w:szCs w:val="24"/>
              </w:rPr>
              <w:t xml:space="preserve">Para-tariffs </w:t>
            </w:r>
          </w:p>
        </w:tc>
        <w:tc>
          <w:tcPr>
            <w:tcW w:w="1392" w:type="pct"/>
            <w:tcBorders>
              <w:top w:val="single" w:sz="4" w:space="0" w:color="000000"/>
              <w:left w:val="single" w:sz="4" w:space="0" w:color="000000"/>
              <w:bottom w:val="single" w:sz="4" w:space="0" w:color="000000"/>
              <w:right w:val="single" w:sz="4" w:space="0" w:color="000000"/>
            </w:tcBorders>
            <w:tcMar>
              <w:top w:w="0" w:type="dxa"/>
              <w:left w:w="118" w:type="dxa"/>
              <w:bottom w:w="0" w:type="dxa"/>
              <w:right w:w="118" w:type="dxa"/>
            </w:tcMar>
          </w:tcPr>
          <w:p w14:paraId="1D08803E"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p>
          <w:p w14:paraId="6A2C8DCF"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r w:rsidRPr="002056F2">
              <w:rPr>
                <w:rFonts w:ascii="Times New Roman" w:hAnsi="Times New Roman" w:cs="Times New Roman"/>
                <w:sz w:val="18"/>
                <w:szCs w:val="24"/>
              </w:rPr>
              <w:t>25</w:t>
            </w:r>
          </w:p>
          <w:p w14:paraId="4A491C62"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r w:rsidRPr="002056F2">
              <w:rPr>
                <w:rFonts w:ascii="Times New Roman" w:hAnsi="Times New Roman" w:cs="Times New Roman"/>
                <w:sz w:val="18"/>
                <w:szCs w:val="24"/>
              </w:rPr>
              <w:t>26.9</w:t>
            </w:r>
          </w:p>
          <w:p w14:paraId="71D2C1CD"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r w:rsidRPr="002056F2">
              <w:rPr>
                <w:rFonts w:ascii="Times New Roman" w:hAnsi="Times New Roman" w:cs="Times New Roman"/>
                <w:sz w:val="18"/>
                <w:szCs w:val="24"/>
              </w:rPr>
              <w:t>3, 5, 12, 25</w:t>
            </w:r>
          </w:p>
          <w:p w14:paraId="3D61CC62"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r w:rsidRPr="002056F2">
              <w:rPr>
                <w:rFonts w:ascii="Times New Roman" w:hAnsi="Times New Roman" w:cs="Times New Roman"/>
                <w:sz w:val="18"/>
                <w:szCs w:val="24"/>
              </w:rPr>
              <w:t xml:space="preserve">RD and SD* </w:t>
            </w:r>
          </w:p>
        </w:tc>
        <w:tc>
          <w:tcPr>
            <w:tcW w:w="1392" w:type="pct"/>
            <w:tcBorders>
              <w:top w:val="single" w:sz="4" w:space="0" w:color="000000"/>
              <w:left w:val="single" w:sz="4" w:space="0" w:color="000000"/>
              <w:bottom w:val="single" w:sz="4" w:space="0" w:color="000000"/>
              <w:right w:val="single" w:sz="4" w:space="0" w:color="000000"/>
            </w:tcBorders>
          </w:tcPr>
          <w:p w14:paraId="6BEAAFA1"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p>
          <w:p w14:paraId="0C9FFB93" w14:textId="5CC84416" w:rsidR="003302EF" w:rsidRPr="002056F2" w:rsidRDefault="003302EF"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r w:rsidRPr="002056F2">
              <w:rPr>
                <w:rFonts w:ascii="Times New Roman" w:hAnsi="Times New Roman" w:cs="Times New Roman"/>
                <w:sz w:val="18"/>
                <w:szCs w:val="24"/>
              </w:rPr>
              <w:t>8.0</w:t>
            </w:r>
          </w:p>
          <w:p w14:paraId="09E8F230" w14:textId="08FD3405" w:rsidR="003302EF" w:rsidRPr="002056F2" w:rsidRDefault="003302EF"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r w:rsidRPr="002056F2">
              <w:rPr>
                <w:rFonts w:ascii="Times New Roman" w:hAnsi="Times New Roman" w:cs="Times New Roman"/>
                <w:sz w:val="18"/>
                <w:szCs w:val="24"/>
              </w:rPr>
              <w:t>8.0</w:t>
            </w:r>
          </w:p>
          <w:p w14:paraId="74C160F4" w14:textId="75764181" w:rsidR="003302EF" w:rsidRPr="002056F2" w:rsidRDefault="003302EF"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r w:rsidRPr="002056F2">
              <w:rPr>
                <w:rFonts w:ascii="Times New Roman" w:hAnsi="Times New Roman" w:cs="Times New Roman"/>
                <w:sz w:val="18"/>
                <w:szCs w:val="24"/>
              </w:rPr>
              <w:t>Many</w:t>
            </w:r>
          </w:p>
          <w:p w14:paraId="041514EC" w14:textId="591EC608" w:rsidR="00AE024B" w:rsidRPr="002056F2" w:rsidRDefault="00AE024B"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line="240" w:lineRule="auto"/>
              <w:rPr>
                <w:rFonts w:ascii="Times New Roman" w:hAnsi="Times New Roman" w:cs="Times New Roman"/>
                <w:sz w:val="18"/>
                <w:szCs w:val="24"/>
              </w:rPr>
            </w:pPr>
            <w:r w:rsidRPr="002056F2">
              <w:rPr>
                <w:rFonts w:ascii="Times New Roman" w:hAnsi="Times New Roman" w:cs="Times New Roman"/>
                <w:sz w:val="18"/>
                <w:szCs w:val="24"/>
              </w:rPr>
              <w:t>No</w:t>
            </w:r>
          </w:p>
        </w:tc>
      </w:tr>
      <w:tr w:rsidR="004F4094" w:rsidRPr="002056F2" w14:paraId="2E6B2F5B" w14:textId="77777777" w:rsidTr="002056F2">
        <w:trPr>
          <w:trHeight w:val="283"/>
          <w:jc w:val="center"/>
        </w:trPr>
        <w:tc>
          <w:tcPr>
            <w:tcW w:w="2215" w:type="pct"/>
            <w:tcBorders>
              <w:top w:val="single" w:sz="4" w:space="0" w:color="000000"/>
              <w:left w:val="single" w:sz="4" w:space="0" w:color="000000"/>
              <w:bottom w:val="single" w:sz="4" w:space="0" w:color="000000"/>
              <w:right w:val="single" w:sz="4" w:space="0" w:color="000000"/>
            </w:tcBorders>
            <w:tcMar>
              <w:top w:w="0" w:type="dxa"/>
              <w:left w:w="118" w:type="dxa"/>
              <w:bottom w:w="0" w:type="dxa"/>
              <w:right w:w="108" w:type="dxa"/>
            </w:tcMar>
          </w:tcPr>
          <w:p w14:paraId="4C25C406" w14:textId="77777777" w:rsidR="004F4094" w:rsidRPr="002056F2" w:rsidRDefault="004F4094"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rPr>
                <w:rFonts w:ascii="Times New Roman" w:hAnsi="Times New Roman" w:cs="Times New Roman"/>
                <w:sz w:val="18"/>
                <w:szCs w:val="24"/>
              </w:rPr>
            </w:pPr>
            <w:r w:rsidRPr="002056F2">
              <w:rPr>
                <w:rFonts w:ascii="Times New Roman" w:hAnsi="Times New Roman" w:cs="Times New Roman"/>
                <w:sz w:val="18"/>
                <w:szCs w:val="24"/>
              </w:rPr>
              <w:t xml:space="preserve">Trade openness, trade-GDP ratio (%) </w:t>
            </w:r>
          </w:p>
        </w:tc>
        <w:tc>
          <w:tcPr>
            <w:tcW w:w="1392" w:type="pct"/>
            <w:tcBorders>
              <w:top w:val="single" w:sz="4" w:space="0" w:color="000000"/>
              <w:left w:val="single" w:sz="4" w:space="0" w:color="000000"/>
              <w:bottom w:val="single" w:sz="4" w:space="0" w:color="000000"/>
              <w:right w:val="single" w:sz="4" w:space="0" w:color="000000"/>
            </w:tcBorders>
            <w:tcMar>
              <w:top w:w="0" w:type="dxa"/>
              <w:left w:w="118" w:type="dxa"/>
              <w:bottom w:w="0" w:type="dxa"/>
              <w:right w:w="118" w:type="dxa"/>
            </w:tcMar>
          </w:tcPr>
          <w:p w14:paraId="5FDE0207" w14:textId="4E6BB9A2" w:rsidR="004F4094" w:rsidRPr="002056F2" w:rsidRDefault="003302EF"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rPr>
                <w:rFonts w:ascii="Times New Roman" w:hAnsi="Times New Roman" w:cs="Times New Roman"/>
                <w:sz w:val="18"/>
                <w:szCs w:val="24"/>
              </w:rPr>
            </w:pPr>
            <w:r w:rsidRPr="002056F2">
              <w:rPr>
                <w:rFonts w:ascii="Times New Roman" w:hAnsi="Times New Roman" w:cs="Times New Roman"/>
                <w:sz w:val="18"/>
                <w:szCs w:val="24"/>
              </w:rPr>
              <w:t>31.7</w:t>
            </w:r>
          </w:p>
        </w:tc>
        <w:tc>
          <w:tcPr>
            <w:tcW w:w="1392" w:type="pct"/>
            <w:tcBorders>
              <w:top w:val="single" w:sz="4" w:space="0" w:color="000000"/>
              <w:left w:val="single" w:sz="4" w:space="0" w:color="000000"/>
              <w:bottom w:val="single" w:sz="4" w:space="0" w:color="000000"/>
              <w:right w:val="single" w:sz="4" w:space="0" w:color="000000"/>
            </w:tcBorders>
          </w:tcPr>
          <w:p w14:paraId="6300BD4D" w14:textId="5DC7E091" w:rsidR="004F4094" w:rsidRPr="002056F2" w:rsidRDefault="003302EF" w:rsidP="009200A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rPr>
                <w:rFonts w:ascii="Times New Roman" w:hAnsi="Times New Roman" w:cs="Times New Roman"/>
                <w:sz w:val="18"/>
                <w:szCs w:val="24"/>
              </w:rPr>
            </w:pPr>
            <w:r w:rsidRPr="002056F2">
              <w:rPr>
                <w:rFonts w:ascii="Times New Roman" w:hAnsi="Times New Roman" w:cs="Times New Roman"/>
                <w:sz w:val="18"/>
                <w:szCs w:val="24"/>
              </w:rPr>
              <w:t>63.8</w:t>
            </w:r>
          </w:p>
        </w:tc>
      </w:tr>
    </w:tbl>
    <w:p w14:paraId="61047D9D" w14:textId="77777777" w:rsidR="009200A2" w:rsidRDefault="009200A2" w:rsidP="009200A2">
      <w:pPr>
        <w:rPr>
          <w:rFonts w:ascii="Times New Roman" w:hAnsi="Times New Roman" w:cs="Times New Roman"/>
          <w:b/>
          <w:i/>
          <w:sz w:val="16"/>
        </w:rPr>
      </w:pPr>
      <w:r w:rsidRPr="009200A2">
        <w:rPr>
          <w:rFonts w:ascii="Times New Roman" w:hAnsi="Times New Roman" w:cs="Times New Roman"/>
          <w:b/>
          <w:i/>
          <w:sz w:val="16"/>
        </w:rPr>
        <w:tab/>
        <w:t>Source: NBR, Ministry of Commerce and PRI staff estimates</w:t>
      </w:r>
    </w:p>
    <w:bookmarkEnd w:id="56"/>
    <w:p w14:paraId="0453DBC9" w14:textId="0E013A3B" w:rsidR="009200A2" w:rsidRPr="00AD3747" w:rsidRDefault="009200A2" w:rsidP="00AD3747">
      <w:pPr>
        <w:pStyle w:val="NormalWeb"/>
        <w:spacing w:before="0" w:beforeAutospacing="0" w:after="240" w:afterAutospacing="0" w:line="276" w:lineRule="auto"/>
        <w:jc w:val="both"/>
        <w:rPr>
          <w:bCs/>
        </w:rPr>
      </w:pPr>
      <w:r w:rsidRPr="00AD3747">
        <w:rPr>
          <w:bCs/>
        </w:rPr>
        <w:t>One worrisome development in Bangladesh budgetary management and tariff policy is the growing importance of a range of para-tariffs (supplementary and regulatory duties) that have grown in significance and are almost inversely correlated with the reduction in custom duties</w:t>
      </w:r>
      <w:r w:rsidR="00D967B4" w:rsidRPr="00AD3747">
        <w:rPr>
          <w:bCs/>
        </w:rPr>
        <w:t xml:space="preserve"> </w:t>
      </w:r>
      <w:r w:rsidRPr="00AD3747">
        <w:rPr>
          <w:bCs/>
        </w:rPr>
        <w:t>(Figure</w:t>
      </w:r>
      <w:r w:rsidR="00365335" w:rsidRPr="00AD3747">
        <w:rPr>
          <w:bCs/>
        </w:rPr>
        <w:t>.9</w:t>
      </w:r>
      <w:r w:rsidRPr="00AD3747">
        <w:rPr>
          <w:bCs/>
        </w:rPr>
        <w:t xml:space="preserve">), thus essentially undercutting any movement in the direction of tariff rationalization. These para-tariffs have tended to offset much of the gains intended for raising productivity and </w:t>
      </w:r>
      <w:r w:rsidRPr="00AD3747">
        <w:rPr>
          <w:bCs/>
        </w:rPr>
        <w:lastRenderedPageBreak/>
        <w:t xml:space="preserve">competitiveness of exports through the impact of lower customs duties on protection.  The large dispersion of both custom duties and para-tariffs tends to distort production incentives through high rates of effective protection to import substitutes. Importantly, the current tariff regime undermines export competitiveness and impedes growth of new exports, thus inhibiting progress in export diversification. </w:t>
      </w:r>
    </w:p>
    <w:p w14:paraId="20236924" w14:textId="77777777" w:rsidR="009200A2" w:rsidRPr="00AD3747" w:rsidRDefault="009200A2" w:rsidP="00AD3747">
      <w:pPr>
        <w:pStyle w:val="NormalWeb"/>
        <w:spacing w:before="0" w:beforeAutospacing="0" w:after="240" w:afterAutospacing="0" w:line="276" w:lineRule="auto"/>
        <w:jc w:val="both"/>
        <w:rPr>
          <w:bCs/>
        </w:rPr>
      </w:pPr>
      <w:r w:rsidRPr="00AD3747">
        <w:rPr>
          <w:bCs/>
        </w:rPr>
        <w:t xml:space="preserve">In light of the preceding analysis, Bangladesh’s trade policy stance may be summed up thus: whereas a significant degree of trade openness has been realized over the past two decades, through the virtual elimination of all trade-related QRs, tariff rationalization, after the initial intensive phase in the early 1990s, faced considerable setbacks and was not carried through to its conclusive phase. On balance, the tariff structure and its consequent protective effect appears to favor import substituting industrialization rather than exports. Indeed, when effective rates of protection (ERP) to domestic sales are brought into the picture, the anti-export bias of the incentive regime becomes pronounced. </w:t>
      </w:r>
    </w:p>
    <w:p w14:paraId="0985499F" w14:textId="77777777" w:rsidR="009200A2" w:rsidRPr="00AD3747" w:rsidRDefault="009200A2" w:rsidP="00AD3747">
      <w:pPr>
        <w:pStyle w:val="NormalWeb"/>
        <w:spacing w:before="0" w:beforeAutospacing="0" w:after="240" w:afterAutospacing="0" w:line="276" w:lineRule="auto"/>
        <w:jc w:val="both"/>
        <w:rPr>
          <w:bCs/>
        </w:rPr>
      </w:pPr>
      <w:r w:rsidRPr="00AD3747">
        <w:rPr>
          <w:bCs/>
        </w:rPr>
        <w:t>Note that Bangladesh’s leading and most successful export sector – RMG – is virtually unaffected by the anti-export bias of the tariff regime. Why? From the very beginning, RMG industries evolved within a sort of “free trade enclave” that essentially neutralized an otherwise high tariff regime through the institution of Special Bonded Warehouses (SBW) to ensure duty-free imported inputs. Supporting facility of back-to-back LC system provided much needed access to working capital in foreign exchange</w:t>
      </w:r>
      <w:r w:rsidRPr="00AD3747">
        <w:rPr>
          <w:bCs/>
          <w:vertAlign w:val="superscript"/>
        </w:rPr>
        <w:footnoteReference w:id="4"/>
      </w:r>
      <w:r w:rsidRPr="00AD3747">
        <w:rPr>
          <w:bCs/>
        </w:rPr>
        <w:t>. Later, once RMG became the leading export, it was given high priority for port clearance and other administrative processes. RMG industry thus developed as a 100% export-oriented sector, not in competition with other manufacturing geared to domestic sales. However, other exports were not as privileged as they had to cope with the high tariff regime while importing required raw materials and intermediate or capital inputs</w:t>
      </w:r>
      <w:r w:rsidRPr="00AD3747">
        <w:rPr>
          <w:bCs/>
          <w:vertAlign w:val="superscript"/>
        </w:rPr>
        <w:footnoteReference w:id="5"/>
      </w:r>
      <w:r w:rsidRPr="00AD3747">
        <w:rPr>
          <w:bCs/>
        </w:rPr>
        <w:t xml:space="preserve">. The dysfunctional duty drawback system was no match to the SBW facility. So when non-RMG manufacturing producers compared relative incentives between exports and domestic sales, they found zero or negative ERP for exports and very high ERP for domestic sales. That meant that whereas processing margins were close to free trade margins for exports, they were significantly higher for sales in the domestic market. </w:t>
      </w:r>
    </w:p>
    <w:p w14:paraId="59660D6F" w14:textId="77777777" w:rsidR="009200A2" w:rsidRPr="00AD3747" w:rsidRDefault="009200A2" w:rsidP="00AD3747">
      <w:pPr>
        <w:pStyle w:val="NormalWeb"/>
        <w:spacing w:before="0" w:beforeAutospacing="0" w:after="240" w:afterAutospacing="0" w:line="276" w:lineRule="auto"/>
        <w:jc w:val="both"/>
        <w:rPr>
          <w:bCs/>
        </w:rPr>
      </w:pPr>
      <w:r w:rsidRPr="00AD3747">
        <w:rPr>
          <w:bCs/>
        </w:rPr>
        <w:t xml:space="preserve">This is how the trade policy regime reveals an anti-export bias for non-RMG exports thus discouraging emergence and expansion of new products in Bangladesh’s export basket. As shown earlier, although the number of HS-4 export products over $1 million rose from 170 in FY05 to 259 in FY12, only a handful of products exceeded $100 million. Most were under $10 million and remained so for long periods without much expansion. A significant proportion of domestic producers outside the RMG sector are now in the export business in addition to producing for the </w:t>
      </w:r>
      <w:r w:rsidRPr="00AD3747">
        <w:rPr>
          <w:bCs/>
        </w:rPr>
        <w:lastRenderedPageBreak/>
        <w:t xml:space="preserve">domestic market. However, the balance of incentives seems to discourage them from expanding export production or launching new export products. Getting access to export markets and retaining them requires cost and quality competitiveness – two challenging aspects of export success – which might be too much for some producers who find the sheltered domestic market more profitable and far easier to handle. In consequence, product diversification in exports becomes a casualty. </w:t>
      </w:r>
    </w:p>
    <w:p w14:paraId="3B1E4FC3" w14:textId="77777777" w:rsidR="009200A2" w:rsidRPr="00AD3747" w:rsidRDefault="009200A2" w:rsidP="00AD3747">
      <w:pPr>
        <w:pStyle w:val="NormalWeb"/>
        <w:spacing w:before="0" w:beforeAutospacing="0" w:after="240" w:afterAutospacing="0" w:line="276" w:lineRule="auto"/>
        <w:jc w:val="both"/>
        <w:rPr>
          <w:bCs/>
        </w:rPr>
      </w:pPr>
      <w:r w:rsidRPr="00AD3747">
        <w:rPr>
          <w:bCs/>
        </w:rPr>
        <w:t>In concluding, it is important to bear in mind that the special instruments – e.g. SBW and back-to-back LC system – directed towards the RMG industry had the effect of creating a free trade channel or enclave within a high tariff regime that applied to the rest of the export or import-substitute industries. The whole purpose of these instruments was to ensure world-priced inputs for the RMG industry so that they can compete at par with others in the world market. Unlike the dispensation of direct or indirect subsidies or duty drawback facility which are meant to offset duties paid on imported inputs, SBW is not a compensating mechanism but an export facilitating measure that eliminates the upfront cost-raising effect of input tariffs that would make exports uncompetitive. The presumed revenue loss on account of the existence of this facility has never been a policy issue (known as tax expenditure) in the wake of the exemplary gains made by the RMG industry in terms of domestic employment creation and export expansion. Exports have zero protection in the destination markets; hence their inputs cannot be subject to positive duties. The administrative complexities of managing the SBW system due to leakages arise from the existence of generally high tariffs elsewhere. As import tariffs generally decline, the incentive for leakage is significantly reduced, as has been the case for RMG, where exporters found the challenge of opening new markets much more rewarding than the quick monies that might be earned from duty-free inputs leaked onto the domestic market. After long debate, the footwear export industry also received the same SBW facility</w:t>
      </w:r>
      <w:r w:rsidR="00564EA6" w:rsidRPr="00AD3747">
        <w:rPr>
          <w:bCs/>
        </w:rPr>
        <w:t xml:space="preserve"> but the vast array of small exporters have not</w:t>
      </w:r>
      <w:r w:rsidRPr="00AD3747">
        <w:rPr>
          <w:bCs/>
        </w:rPr>
        <w:t xml:space="preserve">. Electronic </w:t>
      </w:r>
      <w:r w:rsidR="007E2A95" w:rsidRPr="00AD3747">
        <w:rPr>
          <w:bCs/>
        </w:rPr>
        <w:t xml:space="preserve">and digitized </w:t>
      </w:r>
      <w:r w:rsidRPr="00AD3747">
        <w:rPr>
          <w:bCs/>
        </w:rPr>
        <w:t>management of SBW system can substantially reduce the administrative costs and improve efficiency of the system</w:t>
      </w:r>
      <w:r w:rsidR="00564EA6" w:rsidRPr="00AD3747">
        <w:rPr>
          <w:bCs/>
        </w:rPr>
        <w:t xml:space="preserve"> when accorded to all exporters</w:t>
      </w:r>
      <w:r w:rsidRPr="00AD3747">
        <w:rPr>
          <w:bCs/>
        </w:rPr>
        <w:t xml:space="preserve">. </w:t>
      </w:r>
    </w:p>
    <w:p w14:paraId="14E6D006" w14:textId="77777777" w:rsidR="009200A2" w:rsidRPr="00AD3747" w:rsidRDefault="009200A2" w:rsidP="00AD3747">
      <w:pPr>
        <w:pStyle w:val="NormalWeb"/>
        <w:spacing w:before="0" w:beforeAutospacing="0" w:after="240" w:afterAutospacing="0" w:line="276" w:lineRule="auto"/>
        <w:jc w:val="both"/>
        <w:rPr>
          <w:bCs/>
        </w:rPr>
      </w:pPr>
      <w:r w:rsidRPr="00AD3747">
        <w:rPr>
          <w:bCs/>
        </w:rPr>
        <w:t xml:space="preserve">Cost competitiveness in the global marketplace is measured by cents not dollars. </w:t>
      </w:r>
      <w:r w:rsidR="00FF0DBA" w:rsidRPr="00AD3747">
        <w:rPr>
          <w:bCs/>
        </w:rPr>
        <w:t xml:space="preserve">Unless exporters are fully compensated for duties paid on imported inputs they lose competitiveness. </w:t>
      </w:r>
      <w:r w:rsidR="00564EA6" w:rsidRPr="00AD3747">
        <w:rPr>
          <w:bCs/>
        </w:rPr>
        <w:t xml:space="preserve">It is a basic principle of export competitiveness that all exporters must be ensured world-priced inputs. </w:t>
      </w:r>
      <w:r w:rsidR="00FF0DBA" w:rsidRPr="00AD3747">
        <w:rPr>
          <w:bCs/>
        </w:rPr>
        <w:t xml:space="preserve">Recognizing this, </w:t>
      </w:r>
      <w:r w:rsidRPr="00AD3747">
        <w:rPr>
          <w:bCs/>
        </w:rPr>
        <w:t>NBR has been selectively albeit hesitatingly granting SBW facility to non-RMG exporters but evidence suggests that the practice has not taken off</w:t>
      </w:r>
      <w:r w:rsidR="007E2A95" w:rsidRPr="00AD3747">
        <w:rPr>
          <w:bCs/>
        </w:rPr>
        <w:t>, at least for the vast numbers of small exporters</w:t>
      </w:r>
      <w:r w:rsidRPr="00AD3747">
        <w:rPr>
          <w:bCs/>
        </w:rPr>
        <w:t xml:space="preserve">. </w:t>
      </w:r>
      <w:r w:rsidR="00564EA6" w:rsidRPr="00AD3747">
        <w:rPr>
          <w:bCs/>
        </w:rPr>
        <w:t xml:space="preserve">This is clearly one reason why </w:t>
      </w:r>
      <w:r w:rsidRPr="00AD3747">
        <w:rPr>
          <w:bCs/>
        </w:rPr>
        <w:t xml:space="preserve">non-RMG exports have not reached significant proportions in the export basket. </w:t>
      </w:r>
    </w:p>
    <w:p w14:paraId="7D453561" w14:textId="4A5621D5" w:rsidR="009758D4" w:rsidRPr="009758D4" w:rsidRDefault="009758D4" w:rsidP="00B54A48">
      <w:pPr>
        <w:pStyle w:val="Heading1"/>
      </w:pPr>
      <w:bookmarkStart w:id="57" w:name="_Toc496536519"/>
      <w:r w:rsidRPr="00886715">
        <w:t>EXPORT COMPETITIVENESS AND TRADE POLICIES OF THE FUTURE</w:t>
      </w:r>
      <w:bookmarkEnd w:id="57"/>
    </w:p>
    <w:p w14:paraId="631DB502" w14:textId="77777777" w:rsidR="00F75268" w:rsidRPr="00AD3747" w:rsidRDefault="00564EA6" w:rsidP="00AD3747">
      <w:pPr>
        <w:pStyle w:val="NormalWeb"/>
        <w:spacing w:before="0" w:beforeAutospacing="0" w:after="240" w:afterAutospacing="0" w:line="276" w:lineRule="auto"/>
        <w:jc w:val="both"/>
        <w:rPr>
          <w:bCs/>
        </w:rPr>
      </w:pPr>
      <w:bookmarkStart w:id="58" w:name="_Hlk493417172"/>
      <w:r w:rsidRPr="00AD3747">
        <w:rPr>
          <w:bCs/>
        </w:rPr>
        <w:t xml:space="preserve">Ensuring export competitiveness in the global marketplace must be a key export strategy for all times. </w:t>
      </w:r>
      <w:bookmarkEnd w:id="58"/>
      <w:r w:rsidRPr="00AD3747">
        <w:rPr>
          <w:bCs/>
        </w:rPr>
        <w:t xml:space="preserve">High performing economies of East Asia have always had this principle uppermost in their policies when striving for export-push in the 1970s and 1980s. </w:t>
      </w:r>
      <w:r w:rsidR="0036317E" w:rsidRPr="00AD3747">
        <w:rPr>
          <w:bCs/>
        </w:rPr>
        <w:t xml:space="preserve">Though there was wide variation in the extent of incentives, all of them engaged in some form of selective promotion subsidies, </w:t>
      </w:r>
      <w:r w:rsidR="0036317E" w:rsidRPr="00AD3747">
        <w:rPr>
          <w:bCs/>
        </w:rPr>
        <w:lastRenderedPageBreak/>
        <w:t>preferential financing, tax incentives, subsidized infrastructure, and foreign investment incentives. Because all of them, at some point or the other, had on-going import-substituting policies to support domestic industrialization, export incentives were necessary to effectively</w:t>
      </w:r>
      <w:r w:rsidR="00F75268" w:rsidRPr="00AD3747">
        <w:rPr>
          <w:bCs/>
        </w:rPr>
        <w:t xml:space="preserve"> offset</w:t>
      </w:r>
      <w:r w:rsidR="0036317E" w:rsidRPr="00AD3747">
        <w:rPr>
          <w:bCs/>
        </w:rPr>
        <w:t xml:space="preserve"> the </w:t>
      </w:r>
      <w:r w:rsidR="00F75268" w:rsidRPr="00AD3747">
        <w:rPr>
          <w:bCs/>
        </w:rPr>
        <w:t xml:space="preserve">anti-export bias of </w:t>
      </w:r>
      <w:r w:rsidR="0036317E" w:rsidRPr="00AD3747">
        <w:rPr>
          <w:bCs/>
        </w:rPr>
        <w:t xml:space="preserve">effective protection provided to import-substituting industries. </w:t>
      </w:r>
      <w:r w:rsidR="00F75268" w:rsidRPr="00AD3747">
        <w:rPr>
          <w:bCs/>
        </w:rPr>
        <w:t xml:space="preserve">The record shows that these policies worked and export-push policies produced exemplary export performance for several decades. </w:t>
      </w:r>
    </w:p>
    <w:p w14:paraId="05B607CA" w14:textId="77777777" w:rsidR="004A3E39" w:rsidRPr="00AD3747" w:rsidRDefault="00F75268" w:rsidP="00AD3747">
      <w:pPr>
        <w:pStyle w:val="NormalWeb"/>
        <w:spacing w:before="0" w:beforeAutospacing="0" w:after="240" w:afterAutospacing="0" w:line="276" w:lineRule="auto"/>
        <w:jc w:val="both"/>
        <w:rPr>
          <w:bCs/>
        </w:rPr>
      </w:pPr>
      <w:r w:rsidRPr="00AD3747">
        <w:rPr>
          <w:bCs/>
        </w:rPr>
        <w:t xml:space="preserve">Two points </w:t>
      </w:r>
      <w:r w:rsidR="00097FB8" w:rsidRPr="00AD3747">
        <w:rPr>
          <w:bCs/>
        </w:rPr>
        <w:t xml:space="preserve">relevant for the Bangladesh context </w:t>
      </w:r>
      <w:r w:rsidRPr="00AD3747">
        <w:rPr>
          <w:bCs/>
        </w:rPr>
        <w:t>must be noted: (a) effective protection levels were moderate in those days (</w:t>
      </w:r>
      <w:r w:rsidR="00097FB8" w:rsidRPr="00AD3747">
        <w:rPr>
          <w:bCs/>
        </w:rPr>
        <w:t xml:space="preserve">manufacturing protection were </w:t>
      </w:r>
      <w:r w:rsidRPr="00AD3747">
        <w:rPr>
          <w:bCs/>
        </w:rPr>
        <w:t>under 60%</w:t>
      </w:r>
      <w:r w:rsidR="00097FB8" w:rsidRPr="00AD3747">
        <w:rPr>
          <w:bCs/>
        </w:rPr>
        <w:t xml:space="preserve"> in Korea and Thailand, under 40% in Malaysia and Taiwan</w:t>
      </w:r>
      <w:r w:rsidRPr="00AD3747">
        <w:rPr>
          <w:bCs/>
        </w:rPr>
        <w:t xml:space="preserve">, and declined over time), and (b) the higher the </w:t>
      </w:r>
      <w:r w:rsidR="004A3E39" w:rsidRPr="00AD3747">
        <w:rPr>
          <w:bCs/>
        </w:rPr>
        <w:t xml:space="preserve">import-substitution </w:t>
      </w:r>
      <w:r w:rsidRPr="00AD3747">
        <w:rPr>
          <w:bCs/>
        </w:rPr>
        <w:t xml:space="preserve">protection levels greater the competence of bureaucracy required to offset the anti-export bias of such policies. </w:t>
      </w:r>
    </w:p>
    <w:p w14:paraId="33557FBD" w14:textId="77777777" w:rsidR="00564EA6" w:rsidRPr="00AD3747" w:rsidRDefault="00097FB8" w:rsidP="00AD3747">
      <w:pPr>
        <w:pStyle w:val="NormalWeb"/>
        <w:spacing w:before="0" w:beforeAutospacing="0" w:after="240" w:afterAutospacing="0" w:line="276" w:lineRule="auto"/>
        <w:jc w:val="both"/>
        <w:rPr>
          <w:bCs/>
        </w:rPr>
      </w:pPr>
      <w:r w:rsidRPr="00AD3747">
        <w:rPr>
          <w:bCs/>
        </w:rPr>
        <w:t xml:space="preserve">Because of the wide divergence between input and output tariffs (high tariff escalation) ERPs were </w:t>
      </w:r>
      <w:r w:rsidR="00160707" w:rsidRPr="00AD3747">
        <w:rPr>
          <w:bCs/>
        </w:rPr>
        <w:t>found to range from 100% for beverages to 400% for biscuits and plastics (PRI, 2012)</w:t>
      </w:r>
      <w:r w:rsidR="00B93979" w:rsidRPr="00AD3747">
        <w:rPr>
          <w:bCs/>
        </w:rPr>
        <w:t xml:space="preserve"> with rates averaging upwards of 250% for all manufactured. This is the state when effective protection on exports are close to zero. Such a major incentive bias in favor of protection for domestic sales requires exemplary competence in a bureaucracy to offset the anti-export bias even if that were intended. Bangladesh clearly does not have that kind of administrative acumen in its crop of bureaucracy. </w:t>
      </w:r>
      <w:r w:rsidR="00484FF8" w:rsidRPr="00AD3747">
        <w:rPr>
          <w:bCs/>
        </w:rPr>
        <w:t xml:space="preserve">Which implies that whatever export-push policies that might be designed will have a steep climb to effectiveness in boosting exports and their diversification. </w:t>
      </w:r>
    </w:p>
    <w:p w14:paraId="721247B4" w14:textId="77777777" w:rsidR="004A3E39" w:rsidRPr="00AD3747" w:rsidRDefault="00221582" w:rsidP="00AD3747">
      <w:pPr>
        <w:pStyle w:val="NormalWeb"/>
        <w:spacing w:before="0" w:beforeAutospacing="0" w:after="240" w:afterAutospacing="0" w:line="276" w:lineRule="auto"/>
        <w:jc w:val="both"/>
        <w:rPr>
          <w:bCs/>
        </w:rPr>
      </w:pPr>
      <w:r w:rsidRPr="00AD3747">
        <w:rPr>
          <w:bCs/>
        </w:rPr>
        <w:t xml:space="preserve">The prevailing tariff structure does not resemble that of a UMIC or HIC. </w:t>
      </w:r>
      <w:r w:rsidR="004A3E39" w:rsidRPr="00AD3747">
        <w:rPr>
          <w:bCs/>
        </w:rPr>
        <w:t xml:space="preserve">A major challenge for policymakers in Bangladesh for the next decade and beyond will be to </w:t>
      </w:r>
      <w:r w:rsidR="00995A17" w:rsidRPr="00AD3747">
        <w:rPr>
          <w:bCs/>
        </w:rPr>
        <w:t xml:space="preserve">reorient </w:t>
      </w:r>
      <w:r w:rsidR="00E51E4E" w:rsidRPr="00AD3747">
        <w:rPr>
          <w:bCs/>
        </w:rPr>
        <w:t xml:space="preserve">trade and </w:t>
      </w:r>
      <w:r w:rsidR="00995A17" w:rsidRPr="00AD3747">
        <w:rPr>
          <w:bCs/>
        </w:rPr>
        <w:t>t</w:t>
      </w:r>
      <w:r w:rsidR="00E51E4E" w:rsidRPr="00AD3747">
        <w:rPr>
          <w:bCs/>
        </w:rPr>
        <w:t xml:space="preserve">ariff policy that will be consistent with a dynamic export-oriented economy. </w:t>
      </w:r>
      <w:r w:rsidR="004A3E39" w:rsidRPr="00AD3747">
        <w:rPr>
          <w:bCs/>
        </w:rPr>
        <w:t xml:space="preserve">end the growing divergence between input and output tariffs </w:t>
      </w:r>
      <w:r w:rsidRPr="00AD3747">
        <w:rPr>
          <w:bCs/>
        </w:rPr>
        <w:t xml:space="preserve">and put it in reverse gear so that the trends in input-output tariffs are in line with what we find in the UMIC and HIC economies. </w:t>
      </w:r>
    </w:p>
    <w:p w14:paraId="6ECB73E4" w14:textId="77777777" w:rsidR="00564EA6" w:rsidRPr="00AD3747" w:rsidRDefault="00A6417D" w:rsidP="00AD3747">
      <w:pPr>
        <w:pStyle w:val="NormalWeb"/>
        <w:spacing w:before="0" w:beforeAutospacing="0" w:after="240" w:afterAutospacing="0" w:line="276" w:lineRule="auto"/>
        <w:jc w:val="both"/>
        <w:rPr>
          <w:bCs/>
        </w:rPr>
      </w:pPr>
      <w:r w:rsidRPr="00AD3747">
        <w:rPr>
          <w:bCs/>
        </w:rPr>
        <w:t xml:space="preserve">Trade policy analysis of the preceding sections and the historical evidence from high-performing economies establish </w:t>
      </w:r>
      <w:r w:rsidR="007A5D31" w:rsidRPr="00AD3747">
        <w:rPr>
          <w:bCs/>
        </w:rPr>
        <w:t xml:space="preserve">several </w:t>
      </w:r>
      <w:r w:rsidRPr="00AD3747">
        <w:rPr>
          <w:bCs/>
        </w:rPr>
        <w:t>key features of successful export-push policies for industrialization in an economy with significant level of effective protection</w:t>
      </w:r>
      <w:r w:rsidR="005D3E84" w:rsidRPr="00AD3747">
        <w:rPr>
          <w:bCs/>
        </w:rPr>
        <w:t>, as is the case in Bangladesh</w:t>
      </w:r>
      <w:r w:rsidRPr="00AD3747">
        <w:rPr>
          <w:bCs/>
        </w:rPr>
        <w:t>:</w:t>
      </w:r>
    </w:p>
    <w:p w14:paraId="0E29F3C2" w14:textId="77777777" w:rsidR="00A6417D" w:rsidRPr="003E2BED" w:rsidRDefault="00383662" w:rsidP="00A42036">
      <w:pPr>
        <w:pStyle w:val="ListParagraph"/>
        <w:numPr>
          <w:ilvl w:val="0"/>
          <w:numId w:val="10"/>
        </w:numPr>
        <w:spacing w:after="150"/>
        <w:jc w:val="both"/>
        <w:rPr>
          <w:rFonts w:ascii="Times New Roman" w:eastAsia="Times New Roman" w:hAnsi="Times New Roman" w:cs="Times New Roman"/>
          <w:sz w:val="24"/>
          <w:szCs w:val="24"/>
        </w:rPr>
      </w:pPr>
      <w:r w:rsidRPr="003E2BED">
        <w:rPr>
          <w:rFonts w:ascii="Times New Roman" w:eastAsia="Times New Roman" w:hAnsi="Times New Roman" w:cs="Times New Roman"/>
          <w:i/>
          <w:sz w:val="24"/>
          <w:szCs w:val="24"/>
        </w:rPr>
        <w:t>Protection must be time-bound</w:t>
      </w:r>
      <w:r w:rsidRPr="003E2BED">
        <w:rPr>
          <w:rFonts w:ascii="Times New Roman" w:eastAsia="Times New Roman" w:hAnsi="Times New Roman" w:cs="Times New Roman"/>
          <w:sz w:val="24"/>
          <w:szCs w:val="24"/>
        </w:rPr>
        <w:t xml:space="preserve">. </w:t>
      </w:r>
      <w:r w:rsidR="00A6417D" w:rsidRPr="003E2BED">
        <w:rPr>
          <w:rFonts w:ascii="Times New Roman" w:eastAsia="Times New Roman" w:hAnsi="Times New Roman" w:cs="Times New Roman"/>
          <w:sz w:val="24"/>
          <w:szCs w:val="24"/>
        </w:rPr>
        <w:t>Protection, even if justified on strategic grounds of dynamic comparative advantage, must be made time-bound, with prior announcement for scal</w:t>
      </w:r>
      <w:r w:rsidR="004F0A4C" w:rsidRPr="003E2BED">
        <w:rPr>
          <w:rFonts w:ascii="Times New Roman" w:eastAsia="Times New Roman" w:hAnsi="Times New Roman" w:cs="Times New Roman"/>
          <w:sz w:val="24"/>
          <w:szCs w:val="24"/>
        </w:rPr>
        <w:t xml:space="preserve">ing down protection over time. Protection in LMIC and UMIC economies are modest at best, and in HIC, only for selected agricultural commodities (e.g. rice in Japan and Korea are subject to 300%+ duties). </w:t>
      </w:r>
    </w:p>
    <w:p w14:paraId="7A790BC0" w14:textId="77777777" w:rsidR="00A6417D" w:rsidRPr="003E2BED" w:rsidRDefault="00383662" w:rsidP="00A42036">
      <w:pPr>
        <w:pStyle w:val="ListParagraph"/>
        <w:numPr>
          <w:ilvl w:val="0"/>
          <w:numId w:val="10"/>
        </w:numPr>
        <w:spacing w:after="150"/>
        <w:jc w:val="both"/>
        <w:rPr>
          <w:rFonts w:ascii="Times New Roman" w:eastAsia="Times New Roman" w:hAnsi="Times New Roman" w:cs="Times New Roman"/>
          <w:sz w:val="24"/>
          <w:szCs w:val="24"/>
        </w:rPr>
      </w:pPr>
      <w:bookmarkStart w:id="59" w:name="_Hlk493417203"/>
      <w:r w:rsidRPr="003E2BED">
        <w:rPr>
          <w:rFonts w:ascii="Times New Roman" w:eastAsia="Times New Roman" w:hAnsi="Times New Roman" w:cs="Times New Roman"/>
          <w:i/>
          <w:sz w:val="24"/>
          <w:szCs w:val="24"/>
        </w:rPr>
        <w:t>Access to world-price inputs must be ensured</w:t>
      </w:r>
      <w:r w:rsidRPr="003E2BED">
        <w:rPr>
          <w:rFonts w:ascii="Times New Roman" w:eastAsia="Times New Roman" w:hAnsi="Times New Roman" w:cs="Times New Roman"/>
          <w:sz w:val="24"/>
          <w:szCs w:val="24"/>
        </w:rPr>
        <w:t xml:space="preserve">. </w:t>
      </w:r>
      <w:bookmarkEnd w:id="59"/>
      <w:r w:rsidR="00A6417D" w:rsidRPr="003E2BED">
        <w:rPr>
          <w:rFonts w:ascii="Times New Roman" w:eastAsia="Times New Roman" w:hAnsi="Times New Roman" w:cs="Times New Roman"/>
          <w:sz w:val="24"/>
          <w:szCs w:val="24"/>
        </w:rPr>
        <w:t xml:space="preserve">While import substitution policies prevail, support schemes have to be put in place to ensure that all exporters have access to world-priced inputs so that </w:t>
      </w:r>
      <w:r w:rsidR="005D3E84" w:rsidRPr="003E2BED">
        <w:rPr>
          <w:rFonts w:ascii="Times New Roman" w:eastAsia="Times New Roman" w:hAnsi="Times New Roman" w:cs="Times New Roman"/>
          <w:sz w:val="24"/>
          <w:szCs w:val="24"/>
        </w:rPr>
        <w:t>they compete in the international market on a level playing field</w:t>
      </w:r>
      <w:r w:rsidR="00A6417D" w:rsidRPr="003E2BED">
        <w:rPr>
          <w:rFonts w:ascii="Times New Roman" w:eastAsia="Times New Roman" w:hAnsi="Times New Roman" w:cs="Times New Roman"/>
          <w:sz w:val="24"/>
          <w:szCs w:val="24"/>
        </w:rPr>
        <w:t>;</w:t>
      </w:r>
      <w:r w:rsidR="004F0A4C" w:rsidRPr="003E2BED">
        <w:rPr>
          <w:rFonts w:ascii="Times New Roman" w:eastAsia="Times New Roman" w:hAnsi="Times New Roman" w:cs="Times New Roman"/>
          <w:sz w:val="24"/>
          <w:szCs w:val="24"/>
        </w:rPr>
        <w:t xml:space="preserve"> high protection to import substitutes prevent graduation of such industries from becoming export-oriented. </w:t>
      </w:r>
    </w:p>
    <w:p w14:paraId="10C4C063" w14:textId="77777777" w:rsidR="005D3E84" w:rsidRPr="003E2BED" w:rsidRDefault="005D3E84" w:rsidP="00A42036">
      <w:pPr>
        <w:pStyle w:val="ListParagraph"/>
        <w:numPr>
          <w:ilvl w:val="0"/>
          <w:numId w:val="10"/>
        </w:numPr>
        <w:spacing w:after="150"/>
        <w:jc w:val="both"/>
        <w:rPr>
          <w:rFonts w:ascii="Times New Roman" w:eastAsia="Times New Roman" w:hAnsi="Times New Roman" w:cs="Times New Roman"/>
          <w:sz w:val="24"/>
          <w:szCs w:val="24"/>
        </w:rPr>
      </w:pPr>
      <w:r w:rsidRPr="003E2BED">
        <w:rPr>
          <w:rFonts w:ascii="Times New Roman" w:eastAsia="Times New Roman" w:hAnsi="Times New Roman" w:cs="Times New Roman"/>
          <w:i/>
          <w:sz w:val="24"/>
          <w:szCs w:val="24"/>
        </w:rPr>
        <w:lastRenderedPageBreak/>
        <w:t>Access to long-term and short-term financin</w:t>
      </w:r>
      <w:r w:rsidRPr="003E2BED">
        <w:rPr>
          <w:rFonts w:ascii="Times New Roman" w:eastAsia="Times New Roman" w:hAnsi="Times New Roman" w:cs="Times New Roman"/>
          <w:sz w:val="24"/>
          <w:szCs w:val="24"/>
        </w:rPr>
        <w:t>g must be made available to both large and small exporters in a country where large numbers of small exporters are unable to scale up their export activities due to various constraints</w:t>
      </w:r>
      <w:r w:rsidR="004F0A4C" w:rsidRPr="003E2BED">
        <w:rPr>
          <w:rFonts w:ascii="Times New Roman" w:eastAsia="Times New Roman" w:hAnsi="Times New Roman" w:cs="Times New Roman"/>
          <w:sz w:val="24"/>
          <w:szCs w:val="24"/>
        </w:rPr>
        <w:t>.</w:t>
      </w:r>
    </w:p>
    <w:p w14:paraId="67153E59" w14:textId="77777777" w:rsidR="00004D5F" w:rsidRPr="003E2BED" w:rsidRDefault="00004D5F" w:rsidP="00A42036">
      <w:pPr>
        <w:pStyle w:val="ListParagraph"/>
        <w:numPr>
          <w:ilvl w:val="0"/>
          <w:numId w:val="10"/>
        </w:numPr>
        <w:spacing w:after="150"/>
        <w:jc w:val="both"/>
        <w:rPr>
          <w:rFonts w:ascii="Times New Roman" w:eastAsia="Times New Roman" w:hAnsi="Times New Roman" w:cs="Times New Roman"/>
          <w:sz w:val="24"/>
          <w:szCs w:val="24"/>
        </w:rPr>
      </w:pPr>
      <w:r w:rsidRPr="003E2BED">
        <w:rPr>
          <w:rFonts w:ascii="Times New Roman" w:eastAsia="Times New Roman" w:hAnsi="Times New Roman" w:cs="Times New Roman"/>
          <w:i/>
          <w:sz w:val="24"/>
          <w:szCs w:val="24"/>
        </w:rPr>
        <w:t>Foreign direct investment</w:t>
      </w:r>
      <w:r w:rsidR="002F24F1" w:rsidRPr="003E2BED">
        <w:rPr>
          <w:rFonts w:ascii="Times New Roman" w:eastAsia="Times New Roman" w:hAnsi="Times New Roman" w:cs="Times New Roman"/>
          <w:i/>
          <w:sz w:val="24"/>
          <w:szCs w:val="24"/>
        </w:rPr>
        <w:t xml:space="preserve"> (FDI)</w:t>
      </w:r>
      <w:r w:rsidRPr="003E2BED">
        <w:rPr>
          <w:rFonts w:ascii="Times New Roman" w:eastAsia="Times New Roman" w:hAnsi="Times New Roman" w:cs="Times New Roman"/>
          <w:i/>
          <w:sz w:val="24"/>
          <w:szCs w:val="24"/>
        </w:rPr>
        <w:t xml:space="preserve">. </w:t>
      </w:r>
      <w:r w:rsidRPr="003E2BED">
        <w:rPr>
          <w:rFonts w:ascii="Times New Roman" w:hAnsi="Times New Roman" w:cs="Times New Roman"/>
          <w:sz w:val="24"/>
          <w:szCs w:val="24"/>
        </w:rPr>
        <w:t>Partnership with good international investors that can support technology transfer</w:t>
      </w:r>
      <w:r w:rsidR="002F24F1" w:rsidRPr="003E2BED">
        <w:rPr>
          <w:rFonts w:ascii="Times New Roman" w:hAnsi="Times New Roman" w:cs="Times New Roman"/>
          <w:sz w:val="24"/>
          <w:szCs w:val="24"/>
        </w:rPr>
        <w:t>, create market access abroad and jobs at home,</w:t>
      </w:r>
      <w:r w:rsidRPr="003E2BED">
        <w:rPr>
          <w:rFonts w:ascii="Times New Roman" w:hAnsi="Times New Roman" w:cs="Times New Roman"/>
          <w:sz w:val="24"/>
          <w:szCs w:val="24"/>
        </w:rPr>
        <w:t xml:space="preserve"> </w:t>
      </w:r>
      <w:r w:rsidR="002F24F1" w:rsidRPr="003E2BED">
        <w:rPr>
          <w:rFonts w:ascii="Times New Roman" w:hAnsi="Times New Roman" w:cs="Times New Roman"/>
          <w:sz w:val="24"/>
          <w:szCs w:val="24"/>
        </w:rPr>
        <w:t xml:space="preserve">can be the ultimate boost for exports. Most important for the next decade, FDI can help bridge the technology gap and make Bangladesh manufacturing play catch up with the latest advancement in global manufacturing. </w:t>
      </w:r>
    </w:p>
    <w:p w14:paraId="3505D8DD" w14:textId="77777777" w:rsidR="005D3E84" w:rsidRPr="003E2BED" w:rsidRDefault="00383662" w:rsidP="00A42036">
      <w:pPr>
        <w:pStyle w:val="ListParagraph"/>
        <w:numPr>
          <w:ilvl w:val="0"/>
          <w:numId w:val="10"/>
        </w:numPr>
        <w:spacing w:after="150"/>
        <w:jc w:val="both"/>
        <w:rPr>
          <w:rFonts w:ascii="Times New Roman" w:eastAsia="Times New Roman" w:hAnsi="Times New Roman" w:cs="Times New Roman"/>
          <w:sz w:val="24"/>
          <w:szCs w:val="24"/>
        </w:rPr>
      </w:pPr>
      <w:r w:rsidRPr="003E2BED">
        <w:rPr>
          <w:rFonts w:ascii="Times New Roman" w:eastAsia="Times New Roman" w:hAnsi="Times New Roman" w:cs="Times New Roman"/>
          <w:i/>
          <w:sz w:val="24"/>
          <w:szCs w:val="24"/>
        </w:rPr>
        <w:t>Government support to open external markets.</w:t>
      </w:r>
      <w:r w:rsidRPr="003E2BED">
        <w:rPr>
          <w:rFonts w:ascii="Times New Roman" w:eastAsia="Times New Roman" w:hAnsi="Times New Roman" w:cs="Times New Roman"/>
          <w:sz w:val="24"/>
          <w:szCs w:val="24"/>
        </w:rPr>
        <w:t xml:space="preserve"> </w:t>
      </w:r>
      <w:r w:rsidR="004F0A4C" w:rsidRPr="003E2BED">
        <w:rPr>
          <w:rFonts w:ascii="Times New Roman" w:eastAsia="Times New Roman" w:hAnsi="Times New Roman" w:cs="Times New Roman"/>
          <w:sz w:val="24"/>
          <w:szCs w:val="24"/>
        </w:rPr>
        <w:t xml:space="preserve">For developing countries like Bangladesh preferential access is granted under various schemes (e.g. EBA in EU, GSP in others) in developed markets, but government assistance and support through embassies </w:t>
      </w:r>
      <w:r w:rsidRPr="003E2BED">
        <w:rPr>
          <w:rFonts w:ascii="Times New Roman" w:eastAsia="Times New Roman" w:hAnsi="Times New Roman" w:cs="Times New Roman"/>
          <w:sz w:val="24"/>
          <w:szCs w:val="24"/>
        </w:rPr>
        <w:t xml:space="preserve">are prerequisites for successful market penetration in the largest global markets, such as EU, North America, Japan, and emerging economies. </w:t>
      </w:r>
    </w:p>
    <w:p w14:paraId="3C5D6BC7" w14:textId="77777777" w:rsidR="00383662" w:rsidRPr="003E2BED" w:rsidRDefault="00383662" w:rsidP="00A42036">
      <w:pPr>
        <w:pStyle w:val="ListParagraph"/>
        <w:numPr>
          <w:ilvl w:val="0"/>
          <w:numId w:val="10"/>
        </w:numPr>
        <w:spacing w:after="150"/>
        <w:jc w:val="both"/>
        <w:rPr>
          <w:rFonts w:ascii="Times New Roman" w:eastAsia="Times New Roman" w:hAnsi="Times New Roman" w:cs="Times New Roman"/>
          <w:sz w:val="24"/>
          <w:szCs w:val="24"/>
        </w:rPr>
      </w:pPr>
      <w:r w:rsidRPr="003E2BED">
        <w:rPr>
          <w:rFonts w:ascii="Times New Roman" w:eastAsia="Times New Roman" w:hAnsi="Times New Roman" w:cs="Times New Roman"/>
          <w:i/>
          <w:sz w:val="24"/>
          <w:szCs w:val="24"/>
        </w:rPr>
        <w:t>Policy flexibility helps</w:t>
      </w:r>
      <w:r w:rsidRPr="003E2BED">
        <w:rPr>
          <w:rFonts w:ascii="Times New Roman" w:eastAsia="Times New Roman" w:hAnsi="Times New Roman" w:cs="Times New Roman"/>
          <w:sz w:val="24"/>
          <w:szCs w:val="24"/>
        </w:rPr>
        <w:t xml:space="preserve">. Not all good policies produce their intended outcome. Experience of successful export economies shows how flexibility in policy implementation averts crisis. When a policy does not yield results there should be scope for changing directions. </w:t>
      </w:r>
    </w:p>
    <w:p w14:paraId="66FC94CC" w14:textId="77777777" w:rsidR="00383662" w:rsidRDefault="00383662" w:rsidP="002056F2">
      <w:pPr>
        <w:spacing w:after="0"/>
        <w:ind w:left="360"/>
        <w:jc w:val="both"/>
        <w:rPr>
          <w:rFonts w:ascii="Times New Roman" w:eastAsia="Times New Roman" w:hAnsi="Times New Roman" w:cs="Times New Roman"/>
          <w:color w:val="333333"/>
          <w:sz w:val="24"/>
          <w:szCs w:val="24"/>
        </w:rPr>
      </w:pPr>
    </w:p>
    <w:p w14:paraId="02E53858" w14:textId="7181F439" w:rsidR="00D77992" w:rsidRPr="00D75275" w:rsidRDefault="00D77992" w:rsidP="00D75275">
      <w:pPr>
        <w:spacing w:after="240" w:line="276" w:lineRule="auto"/>
        <w:rPr>
          <w:rFonts w:ascii="Times New Roman" w:hAnsi="Times New Roman" w:cs="Times New Roman"/>
          <w:b/>
          <w:sz w:val="24"/>
        </w:rPr>
      </w:pPr>
      <w:bookmarkStart w:id="60" w:name="_Toc404442083"/>
      <w:r w:rsidRPr="00D75275">
        <w:rPr>
          <w:rFonts w:ascii="Times New Roman" w:hAnsi="Times New Roman" w:cs="Times New Roman"/>
          <w:b/>
          <w:sz w:val="24"/>
        </w:rPr>
        <w:t>Protection Policy</w:t>
      </w:r>
      <w:r w:rsidR="00491F12" w:rsidRPr="00D75275">
        <w:rPr>
          <w:rFonts w:ascii="Times New Roman" w:hAnsi="Times New Roman" w:cs="Times New Roman"/>
          <w:b/>
          <w:sz w:val="24"/>
        </w:rPr>
        <w:t>, Exports</w:t>
      </w:r>
      <w:r w:rsidRPr="00D75275">
        <w:rPr>
          <w:rFonts w:ascii="Times New Roman" w:hAnsi="Times New Roman" w:cs="Times New Roman"/>
          <w:b/>
          <w:sz w:val="24"/>
        </w:rPr>
        <w:t xml:space="preserve"> and Export Diversification</w:t>
      </w:r>
      <w:bookmarkEnd w:id="60"/>
    </w:p>
    <w:p w14:paraId="2EAF4077" w14:textId="6A21C623" w:rsidR="00D77992" w:rsidRPr="00AD3747" w:rsidRDefault="00D77992" w:rsidP="00AD3747">
      <w:pPr>
        <w:pStyle w:val="NormalWeb"/>
        <w:spacing w:before="0" w:beforeAutospacing="0" w:after="240" w:afterAutospacing="0" w:line="276" w:lineRule="auto"/>
        <w:jc w:val="both"/>
        <w:rPr>
          <w:bCs/>
        </w:rPr>
      </w:pPr>
      <w:r w:rsidRPr="00AD3747">
        <w:rPr>
          <w:bCs/>
        </w:rPr>
        <w:t>The most common</w:t>
      </w:r>
      <w:r w:rsidR="007B179F" w:rsidRPr="00AD3747">
        <w:rPr>
          <w:bCs/>
        </w:rPr>
        <w:t xml:space="preserve"> position with regard to trade policy in Bangladesh</w:t>
      </w:r>
      <w:r w:rsidR="008274F4" w:rsidRPr="00AD3747">
        <w:rPr>
          <w:bCs/>
        </w:rPr>
        <w:t xml:space="preserve"> may be summarized thus:</w:t>
      </w:r>
      <w:r w:rsidRPr="00AD3747">
        <w:rPr>
          <w:bCs/>
        </w:rPr>
        <w:t xml:space="preserve"> trade is to be promoted, exports are to be expanded, but imports are to be restricted (a) to protect domestic import substitute industries from stiff import competition, (b) to raise revenues by imposing a wide spectrum of taxes and levies on imports, and (c) to keep the country’s balance of payments at manageable levels. This approach to trade </w:t>
      </w:r>
      <w:r w:rsidR="007B179F" w:rsidRPr="00AD3747">
        <w:rPr>
          <w:bCs/>
        </w:rPr>
        <w:t xml:space="preserve">results in a structure of tariffs that impinge heavily on global competitiveness of exports and import substitute production, necessitating significant </w:t>
      </w:r>
      <w:r w:rsidRPr="00AD3747">
        <w:rPr>
          <w:bCs/>
        </w:rPr>
        <w:t xml:space="preserve">reforms and modernization of </w:t>
      </w:r>
      <w:r w:rsidR="007B179F" w:rsidRPr="00AD3747">
        <w:rPr>
          <w:bCs/>
        </w:rPr>
        <w:t xml:space="preserve">all constituents of trade policy, </w:t>
      </w:r>
      <w:r w:rsidRPr="00AD3747">
        <w:rPr>
          <w:bCs/>
        </w:rPr>
        <w:t>customs administration</w:t>
      </w:r>
      <w:r w:rsidR="007B179F" w:rsidRPr="00AD3747">
        <w:rPr>
          <w:bCs/>
        </w:rPr>
        <w:t>,</w:t>
      </w:r>
      <w:r w:rsidRPr="00AD3747">
        <w:rPr>
          <w:bCs/>
        </w:rPr>
        <w:t xml:space="preserve"> and trade inf</w:t>
      </w:r>
      <w:r w:rsidR="008C19CA" w:rsidRPr="00AD3747">
        <w:rPr>
          <w:bCs/>
        </w:rPr>
        <w:t xml:space="preserve">rastructure, in order for Bangladesh to be dynamically competitive into the next decades of its development. </w:t>
      </w:r>
      <w:r w:rsidR="008274F4" w:rsidRPr="00AD3747">
        <w:rPr>
          <w:bCs/>
        </w:rPr>
        <w:t>It is a</w:t>
      </w:r>
      <w:r w:rsidR="008E3546" w:rsidRPr="00AD3747">
        <w:rPr>
          <w:bCs/>
        </w:rPr>
        <w:t>n empirical</w:t>
      </w:r>
      <w:r w:rsidR="008274F4" w:rsidRPr="00AD3747">
        <w:rPr>
          <w:bCs/>
        </w:rPr>
        <w:t xml:space="preserve"> fact that while tariffs around the world has come down significantly over the past 25 years, tariffs in Bangladesh remain stubbornly high relative to its comparators. </w:t>
      </w:r>
      <w:r w:rsidR="008E3546" w:rsidRPr="00AD3747">
        <w:rPr>
          <w:bCs/>
        </w:rPr>
        <w:t xml:space="preserve">Trade theory and empirical evidence suggests this is not conducive to a dynamic export performance. So there is much to be done. </w:t>
      </w:r>
    </w:p>
    <w:p w14:paraId="1448ED6D" w14:textId="77777777" w:rsidR="00D77992" w:rsidRPr="00AD3747" w:rsidRDefault="00D77992" w:rsidP="00AD3747">
      <w:pPr>
        <w:pStyle w:val="NormalWeb"/>
        <w:spacing w:before="0" w:beforeAutospacing="0" w:after="240" w:afterAutospacing="0" w:line="276" w:lineRule="auto"/>
        <w:jc w:val="both"/>
        <w:rPr>
          <w:bCs/>
        </w:rPr>
      </w:pPr>
      <w:r w:rsidRPr="00AD3747">
        <w:rPr>
          <w:b/>
          <w:bCs/>
          <w:i/>
        </w:rPr>
        <w:t>Tariffs, protection, and trade policy affecting exports.</w:t>
      </w:r>
      <w:r w:rsidRPr="00AD3747">
        <w:rPr>
          <w:bCs/>
        </w:rPr>
        <w:t xml:space="preserve"> Theoretically speaking, a tariff is an indirect subsidy on import substitutes and a tax on exports. The protection that is afforded through nominal and effective tariffs is also a tax on consumers who bear the ultimate burden of the protection tax by having to pay higher than world prices (tariff-inclusive price) for imported products. So policymakers need to balance the support they extend to producers with the social costs of protection. The community as a whole stands to gain from protection only when the objective of protection is met: domestic import substitute producers become globally competitive in the shortest possible time so that protection can be removed and domestic prices of import </w:t>
      </w:r>
      <w:r w:rsidRPr="00AD3747">
        <w:rPr>
          <w:bCs/>
        </w:rPr>
        <w:lastRenderedPageBreak/>
        <w:t xml:space="preserve">substitutes converge to international prices. The longer this takes, higher are the social costs of protection. </w:t>
      </w:r>
    </w:p>
    <w:p w14:paraId="4CC9310F" w14:textId="77777777" w:rsidR="00D77992" w:rsidRPr="00AD3747" w:rsidRDefault="00D77992" w:rsidP="00AD3747">
      <w:pPr>
        <w:pStyle w:val="NormalWeb"/>
        <w:spacing w:before="0" w:beforeAutospacing="0" w:after="240" w:afterAutospacing="0" w:line="276" w:lineRule="auto"/>
        <w:jc w:val="both"/>
        <w:rPr>
          <w:bCs/>
        </w:rPr>
      </w:pPr>
      <w:r w:rsidRPr="00AD3747">
        <w:rPr>
          <w:bCs/>
        </w:rPr>
        <w:t xml:space="preserve">The other adverse implication of tariffs and protection is the anti-export bias they create resulting in dis-protection of exports which, in the first place, have to operate under zero protection in the world market, provided they are fully compensated for duties they have paid on imported inputs prior to exporting. If they do not receive full duty drawback or if they are not given the facility of importing inputs duty-free, export production becomes subject to negative protection – a substantial anti-export bias of policy. </w:t>
      </w:r>
    </w:p>
    <w:p w14:paraId="5D6BEAB5" w14:textId="77777777" w:rsidR="00D77992" w:rsidRPr="00AD3747" w:rsidRDefault="00D77992" w:rsidP="00AD3747">
      <w:pPr>
        <w:pStyle w:val="NormalWeb"/>
        <w:spacing w:before="0" w:beforeAutospacing="0" w:after="240" w:afterAutospacing="0" w:line="276" w:lineRule="auto"/>
        <w:jc w:val="both"/>
        <w:rPr>
          <w:bCs/>
        </w:rPr>
      </w:pPr>
      <w:r w:rsidRPr="00AD3747">
        <w:rPr>
          <w:bCs/>
        </w:rPr>
        <w:t xml:space="preserve">Hence, the </w:t>
      </w:r>
      <w:bookmarkStart w:id="61" w:name="_Hlk493417250"/>
      <w:r w:rsidRPr="00AD3747">
        <w:rPr>
          <w:bCs/>
        </w:rPr>
        <w:t xml:space="preserve">trade policy stance that is suitable for globally competitive export production must be characterized by low and uniform tariffs and a seamless export-import regime that facilitates least-cost transactions at the border. </w:t>
      </w:r>
      <w:bookmarkEnd w:id="61"/>
      <w:r w:rsidRPr="00AD3747">
        <w:rPr>
          <w:bCs/>
        </w:rPr>
        <w:t xml:space="preserve">Does the Bangladesh tariff regime fulfill this requirement? </w:t>
      </w:r>
    </w:p>
    <w:p w14:paraId="10180EED" w14:textId="77777777" w:rsidR="00D77992" w:rsidRPr="00AD3747" w:rsidRDefault="00D77992" w:rsidP="00AD3747">
      <w:pPr>
        <w:pStyle w:val="NormalWeb"/>
        <w:spacing w:before="0" w:beforeAutospacing="0" w:after="240" w:afterAutospacing="0" w:line="276" w:lineRule="auto"/>
        <w:jc w:val="both"/>
        <w:rPr>
          <w:bCs/>
        </w:rPr>
      </w:pPr>
      <w:r w:rsidRPr="00AD3747">
        <w:rPr>
          <w:bCs/>
        </w:rPr>
        <w:t xml:space="preserve">Around 1990, an assessment of the World Bank’s Industrial Sector Adjustment Credit (ISAC II) project revealed that roughly 40% of the tariff lines were subject to over 100% tariffs in addition to widespread bans and restrictions on imports. It produced a highly prohibitive import regime that nevertheless failed to result in any breakthrough in import-substitute production or preventing an impending balance of payments crisis. Tariff rationalization and import liberalization became a trade policy imperative. </w:t>
      </w:r>
    </w:p>
    <w:p w14:paraId="06016687" w14:textId="6023ADFE" w:rsidR="00D77992" w:rsidRDefault="00D77992" w:rsidP="00AD3747">
      <w:pPr>
        <w:pStyle w:val="NormalWeb"/>
        <w:spacing w:before="0" w:beforeAutospacing="0" w:after="240" w:afterAutospacing="0" w:line="276" w:lineRule="auto"/>
        <w:jc w:val="both"/>
      </w:pPr>
      <w:r w:rsidRPr="00AD3747">
        <w:rPr>
          <w:bCs/>
        </w:rPr>
        <w:t>We have come a long way since those days of prohibitive tariffs and import controls. Table</w:t>
      </w:r>
      <w:r w:rsidR="00365335" w:rsidRPr="00AD3747">
        <w:rPr>
          <w:bCs/>
        </w:rPr>
        <w:t>.</w:t>
      </w:r>
      <w:r w:rsidRPr="00AD3747">
        <w:rPr>
          <w:bCs/>
        </w:rPr>
        <w:t xml:space="preserve"> </w:t>
      </w:r>
      <w:r w:rsidR="00365335" w:rsidRPr="00AD3747">
        <w:rPr>
          <w:bCs/>
        </w:rPr>
        <w:t xml:space="preserve">9 </w:t>
      </w:r>
      <w:r w:rsidRPr="00AD3747">
        <w:rPr>
          <w:bCs/>
        </w:rPr>
        <w:t xml:space="preserve">gives a picture of the </w:t>
      </w:r>
      <w:r w:rsidR="00992FB0" w:rsidRPr="00AD3747">
        <w:rPr>
          <w:bCs/>
        </w:rPr>
        <w:t>evolution of tariffs</w:t>
      </w:r>
      <w:r w:rsidRPr="00AD3747">
        <w:rPr>
          <w:bCs/>
        </w:rPr>
        <w:t xml:space="preserve"> in terms of their implications for nominal protection</w:t>
      </w:r>
      <w:r w:rsidRPr="00AD3747">
        <w:rPr>
          <w:bCs/>
          <w:vertAlign w:val="superscript"/>
        </w:rPr>
        <w:footnoteReference w:id="6"/>
      </w:r>
      <w:r w:rsidRPr="00AD3747">
        <w:rPr>
          <w:bCs/>
        </w:rPr>
        <w:t>.</w:t>
      </w:r>
      <w:r>
        <w:t xml:space="preserve"> </w:t>
      </w:r>
    </w:p>
    <w:p w14:paraId="3E76BE47" w14:textId="0121DD0B" w:rsidR="002B78EF" w:rsidRDefault="002B78EF" w:rsidP="002B78EF">
      <w:pPr>
        <w:pStyle w:val="Heading4"/>
      </w:pPr>
      <w:bookmarkStart w:id="62" w:name="_Toc496536533"/>
      <w:r w:rsidRPr="002B78EF">
        <w:t>Table 9: Evolution of Tariffs and Protection</w:t>
      </w:r>
      <w:bookmarkEnd w:id="62"/>
    </w:p>
    <w:tbl>
      <w:tblPr>
        <w:tblStyle w:val="ListTable6Colorful"/>
        <w:tblW w:w="6954" w:type="dxa"/>
        <w:jc w:val="center"/>
        <w:tblLook w:val="04A0" w:firstRow="1" w:lastRow="0" w:firstColumn="1" w:lastColumn="0" w:noHBand="0" w:noVBand="1"/>
      </w:tblPr>
      <w:tblGrid>
        <w:gridCol w:w="2322"/>
        <w:gridCol w:w="1188"/>
        <w:gridCol w:w="996"/>
        <w:gridCol w:w="834"/>
        <w:gridCol w:w="834"/>
        <w:gridCol w:w="780"/>
      </w:tblGrid>
      <w:tr w:rsidR="00800AB1" w:rsidRPr="000A7B56" w14:paraId="43585020" w14:textId="77777777" w:rsidTr="000A7B5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22" w:type="dxa"/>
            <w:noWrap/>
            <w:hideMark/>
          </w:tcPr>
          <w:p w14:paraId="7EC70701" w14:textId="77777777" w:rsidR="00800AB1" w:rsidRPr="000A7B56" w:rsidRDefault="00800AB1" w:rsidP="00AD3747">
            <w:pPr>
              <w:jc w:val="center"/>
              <w:rPr>
                <w:rFonts w:ascii="Times New Roman" w:hAnsi="Times New Roman" w:cs="Times New Roman"/>
                <w:sz w:val="24"/>
              </w:rPr>
            </w:pPr>
            <w:r w:rsidRPr="000A7B56">
              <w:rPr>
                <w:rFonts w:ascii="Times New Roman" w:hAnsi="Times New Roman" w:cs="Times New Roman"/>
                <w:sz w:val="24"/>
              </w:rPr>
              <w:t>Tariffs (%)</w:t>
            </w:r>
          </w:p>
        </w:tc>
        <w:tc>
          <w:tcPr>
            <w:tcW w:w="1188" w:type="dxa"/>
          </w:tcPr>
          <w:p w14:paraId="173BEB25" w14:textId="4CEF2508" w:rsidR="00992FB0" w:rsidRPr="000A7B56" w:rsidRDefault="00992FB0" w:rsidP="00AD37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0A7B56">
              <w:rPr>
                <w:rFonts w:ascii="Times New Roman" w:hAnsi="Times New Roman" w:cs="Times New Roman"/>
                <w:b w:val="0"/>
                <w:sz w:val="24"/>
              </w:rPr>
              <w:t>FY92</w:t>
            </w:r>
          </w:p>
        </w:tc>
        <w:tc>
          <w:tcPr>
            <w:tcW w:w="996" w:type="dxa"/>
            <w:noWrap/>
            <w:hideMark/>
          </w:tcPr>
          <w:p w14:paraId="70B8AE53" w14:textId="77777777" w:rsidR="00800AB1" w:rsidRPr="000A7B56" w:rsidRDefault="00800AB1" w:rsidP="00AD37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0A7B56">
              <w:rPr>
                <w:rFonts w:ascii="Times New Roman" w:hAnsi="Times New Roman" w:cs="Times New Roman"/>
                <w:b w:val="0"/>
                <w:sz w:val="24"/>
              </w:rPr>
              <w:t>FY01</w:t>
            </w:r>
          </w:p>
        </w:tc>
        <w:tc>
          <w:tcPr>
            <w:tcW w:w="834" w:type="dxa"/>
            <w:noWrap/>
            <w:hideMark/>
          </w:tcPr>
          <w:p w14:paraId="780495B8" w14:textId="77777777" w:rsidR="00800AB1" w:rsidRPr="000A7B56" w:rsidRDefault="00800AB1" w:rsidP="00AD37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0A7B56">
              <w:rPr>
                <w:rFonts w:ascii="Times New Roman" w:hAnsi="Times New Roman" w:cs="Times New Roman"/>
                <w:b w:val="0"/>
                <w:sz w:val="24"/>
              </w:rPr>
              <w:t>FY 05</w:t>
            </w:r>
          </w:p>
        </w:tc>
        <w:tc>
          <w:tcPr>
            <w:tcW w:w="834" w:type="dxa"/>
            <w:noWrap/>
            <w:hideMark/>
          </w:tcPr>
          <w:p w14:paraId="62F09F84" w14:textId="77777777" w:rsidR="00800AB1" w:rsidRPr="000A7B56" w:rsidRDefault="00800AB1" w:rsidP="00AD37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0A7B56">
              <w:rPr>
                <w:rFonts w:ascii="Times New Roman" w:hAnsi="Times New Roman" w:cs="Times New Roman"/>
                <w:b w:val="0"/>
                <w:sz w:val="24"/>
              </w:rPr>
              <w:t>FY 10</w:t>
            </w:r>
          </w:p>
        </w:tc>
        <w:tc>
          <w:tcPr>
            <w:tcW w:w="780" w:type="dxa"/>
            <w:noWrap/>
            <w:hideMark/>
          </w:tcPr>
          <w:p w14:paraId="4424658B" w14:textId="77777777" w:rsidR="00800AB1" w:rsidRPr="000A7B56" w:rsidRDefault="00800AB1" w:rsidP="00AD374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0A7B56">
              <w:rPr>
                <w:rFonts w:ascii="Times New Roman" w:hAnsi="Times New Roman" w:cs="Times New Roman"/>
                <w:b w:val="0"/>
                <w:sz w:val="24"/>
              </w:rPr>
              <w:t>FY17</w:t>
            </w:r>
          </w:p>
        </w:tc>
      </w:tr>
      <w:tr w:rsidR="00800AB1" w:rsidRPr="000A7B56" w14:paraId="164B108E" w14:textId="77777777" w:rsidTr="000A7B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22" w:type="dxa"/>
            <w:noWrap/>
            <w:hideMark/>
          </w:tcPr>
          <w:p w14:paraId="2E06B22B" w14:textId="77777777" w:rsidR="00800AB1" w:rsidRPr="000A7B56" w:rsidRDefault="00800AB1" w:rsidP="00AD3747">
            <w:pPr>
              <w:rPr>
                <w:rFonts w:ascii="Times New Roman" w:hAnsi="Times New Roman" w:cs="Times New Roman"/>
                <w:sz w:val="24"/>
              </w:rPr>
            </w:pPr>
            <w:r w:rsidRPr="000A7B56">
              <w:rPr>
                <w:rFonts w:ascii="Times New Roman" w:hAnsi="Times New Roman" w:cs="Times New Roman"/>
                <w:sz w:val="24"/>
              </w:rPr>
              <w:t>Avg. CD (un- weighted)</w:t>
            </w:r>
          </w:p>
        </w:tc>
        <w:tc>
          <w:tcPr>
            <w:tcW w:w="1188" w:type="dxa"/>
          </w:tcPr>
          <w:p w14:paraId="2FC0AF1F" w14:textId="77777777" w:rsidR="00992FB0" w:rsidRPr="000A7B56" w:rsidRDefault="00992FB0" w:rsidP="00AD37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0A7B56">
              <w:rPr>
                <w:rFonts w:ascii="Times New Roman" w:hAnsi="Times New Roman" w:cs="Times New Roman"/>
                <w:sz w:val="24"/>
              </w:rPr>
              <w:t>70.6</w:t>
            </w:r>
          </w:p>
        </w:tc>
        <w:tc>
          <w:tcPr>
            <w:tcW w:w="996" w:type="dxa"/>
            <w:noWrap/>
            <w:hideMark/>
          </w:tcPr>
          <w:p w14:paraId="0E0AF602" w14:textId="77777777" w:rsidR="00800AB1" w:rsidRPr="000A7B56" w:rsidRDefault="00800AB1" w:rsidP="00AD37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0A7B56">
              <w:rPr>
                <w:rFonts w:ascii="Times New Roman" w:hAnsi="Times New Roman" w:cs="Times New Roman"/>
                <w:sz w:val="24"/>
              </w:rPr>
              <w:t>21.1</w:t>
            </w:r>
          </w:p>
        </w:tc>
        <w:tc>
          <w:tcPr>
            <w:tcW w:w="834" w:type="dxa"/>
            <w:noWrap/>
            <w:hideMark/>
          </w:tcPr>
          <w:p w14:paraId="558C519D" w14:textId="77777777" w:rsidR="00800AB1" w:rsidRPr="000A7B56" w:rsidRDefault="00800AB1" w:rsidP="00AD37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0A7B56">
              <w:rPr>
                <w:rFonts w:ascii="Times New Roman" w:hAnsi="Times New Roman" w:cs="Times New Roman"/>
                <w:sz w:val="24"/>
              </w:rPr>
              <w:t>16.3</w:t>
            </w:r>
          </w:p>
        </w:tc>
        <w:tc>
          <w:tcPr>
            <w:tcW w:w="834" w:type="dxa"/>
            <w:noWrap/>
            <w:hideMark/>
          </w:tcPr>
          <w:p w14:paraId="0323D84B" w14:textId="77777777" w:rsidR="00800AB1" w:rsidRPr="000A7B56" w:rsidRDefault="00800AB1" w:rsidP="00AD37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0A7B56">
              <w:rPr>
                <w:rFonts w:ascii="Times New Roman" w:hAnsi="Times New Roman" w:cs="Times New Roman"/>
                <w:sz w:val="24"/>
              </w:rPr>
              <w:t>13.7</w:t>
            </w:r>
          </w:p>
        </w:tc>
        <w:tc>
          <w:tcPr>
            <w:tcW w:w="780" w:type="dxa"/>
            <w:noWrap/>
          </w:tcPr>
          <w:p w14:paraId="112D6A13" w14:textId="77777777" w:rsidR="00800AB1" w:rsidRPr="000A7B56" w:rsidRDefault="00992FB0" w:rsidP="00AD37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0A7B56">
              <w:rPr>
                <w:rFonts w:ascii="Times New Roman" w:hAnsi="Times New Roman" w:cs="Times New Roman"/>
                <w:sz w:val="24"/>
              </w:rPr>
              <w:t>13.3</w:t>
            </w:r>
          </w:p>
        </w:tc>
      </w:tr>
      <w:tr w:rsidR="00800AB1" w:rsidRPr="000A7B56" w14:paraId="4FB85F29" w14:textId="77777777" w:rsidTr="000A7B56">
        <w:trPr>
          <w:trHeight w:val="20"/>
          <w:jc w:val="center"/>
        </w:trPr>
        <w:tc>
          <w:tcPr>
            <w:cnfStyle w:val="001000000000" w:firstRow="0" w:lastRow="0" w:firstColumn="1" w:lastColumn="0" w:oddVBand="0" w:evenVBand="0" w:oddHBand="0" w:evenHBand="0" w:firstRowFirstColumn="0" w:firstRowLastColumn="0" w:lastRowFirstColumn="0" w:lastRowLastColumn="0"/>
            <w:tcW w:w="2322" w:type="dxa"/>
            <w:noWrap/>
            <w:hideMark/>
          </w:tcPr>
          <w:p w14:paraId="58C6E429" w14:textId="77777777" w:rsidR="00800AB1" w:rsidRPr="000A7B56" w:rsidRDefault="00800AB1" w:rsidP="00AD3747">
            <w:pPr>
              <w:rPr>
                <w:rFonts w:ascii="Times New Roman" w:hAnsi="Times New Roman" w:cs="Times New Roman"/>
                <w:sz w:val="24"/>
              </w:rPr>
            </w:pPr>
            <w:r w:rsidRPr="000A7B56">
              <w:rPr>
                <w:rFonts w:ascii="Times New Roman" w:hAnsi="Times New Roman" w:cs="Times New Roman"/>
                <w:sz w:val="24"/>
              </w:rPr>
              <w:t>Avg. para-tariffs</w:t>
            </w:r>
          </w:p>
        </w:tc>
        <w:tc>
          <w:tcPr>
            <w:tcW w:w="1188" w:type="dxa"/>
          </w:tcPr>
          <w:p w14:paraId="6CE95DCE" w14:textId="77777777" w:rsidR="00992FB0" w:rsidRPr="000A7B56" w:rsidRDefault="00992FB0" w:rsidP="00AD37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0A7B56">
              <w:rPr>
                <w:rFonts w:ascii="Times New Roman" w:hAnsi="Times New Roman" w:cs="Times New Roman"/>
                <w:sz w:val="24"/>
              </w:rPr>
              <w:t>2.7</w:t>
            </w:r>
          </w:p>
        </w:tc>
        <w:tc>
          <w:tcPr>
            <w:tcW w:w="996" w:type="dxa"/>
            <w:noWrap/>
            <w:hideMark/>
          </w:tcPr>
          <w:p w14:paraId="4FC0A6D7" w14:textId="77777777" w:rsidR="00800AB1" w:rsidRPr="000A7B56" w:rsidRDefault="00800AB1" w:rsidP="00AD37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0A7B56">
              <w:rPr>
                <w:rFonts w:ascii="Times New Roman" w:hAnsi="Times New Roman" w:cs="Times New Roman"/>
                <w:sz w:val="24"/>
              </w:rPr>
              <w:t>7.1</w:t>
            </w:r>
          </w:p>
        </w:tc>
        <w:tc>
          <w:tcPr>
            <w:tcW w:w="834" w:type="dxa"/>
            <w:noWrap/>
            <w:hideMark/>
          </w:tcPr>
          <w:p w14:paraId="2CCD5B73" w14:textId="77777777" w:rsidR="00800AB1" w:rsidRPr="000A7B56" w:rsidRDefault="00800AB1" w:rsidP="00AD37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0A7B56">
              <w:rPr>
                <w:rFonts w:ascii="Times New Roman" w:hAnsi="Times New Roman" w:cs="Times New Roman"/>
                <w:sz w:val="24"/>
              </w:rPr>
              <w:t>10.2</w:t>
            </w:r>
          </w:p>
        </w:tc>
        <w:tc>
          <w:tcPr>
            <w:tcW w:w="834" w:type="dxa"/>
            <w:noWrap/>
            <w:hideMark/>
          </w:tcPr>
          <w:p w14:paraId="5D3A2058" w14:textId="77777777" w:rsidR="00800AB1" w:rsidRPr="000A7B56" w:rsidRDefault="00800AB1" w:rsidP="00AD37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0A7B56">
              <w:rPr>
                <w:rFonts w:ascii="Times New Roman" w:hAnsi="Times New Roman" w:cs="Times New Roman"/>
                <w:sz w:val="24"/>
              </w:rPr>
              <w:t>10.2</w:t>
            </w:r>
          </w:p>
        </w:tc>
        <w:tc>
          <w:tcPr>
            <w:tcW w:w="780" w:type="dxa"/>
            <w:noWrap/>
          </w:tcPr>
          <w:p w14:paraId="19F7BA72" w14:textId="77777777" w:rsidR="00800AB1" w:rsidRPr="000A7B56" w:rsidRDefault="00992FB0" w:rsidP="00AD37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0A7B56">
              <w:rPr>
                <w:rFonts w:ascii="Times New Roman" w:hAnsi="Times New Roman" w:cs="Times New Roman"/>
                <w:sz w:val="24"/>
              </w:rPr>
              <w:t>12.4</w:t>
            </w:r>
          </w:p>
        </w:tc>
      </w:tr>
      <w:tr w:rsidR="00800AB1" w:rsidRPr="000A7B56" w14:paraId="506BFE1A" w14:textId="77777777" w:rsidTr="000A7B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22" w:type="dxa"/>
            <w:noWrap/>
            <w:hideMark/>
          </w:tcPr>
          <w:p w14:paraId="6F278720" w14:textId="77777777" w:rsidR="00800AB1" w:rsidRPr="000A7B56" w:rsidRDefault="00800AB1" w:rsidP="00AD3747">
            <w:pPr>
              <w:rPr>
                <w:rFonts w:ascii="Times New Roman" w:hAnsi="Times New Roman" w:cs="Times New Roman"/>
                <w:sz w:val="24"/>
              </w:rPr>
            </w:pPr>
            <w:r w:rsidRPr="000A7B56">
              <w:rPr>
                <w:rFonts w:ascii="Times New Roman" w:hAnsi="Times New Roman" w:cs="Times New Roman"/>
                <w:sz w:val="24"/>
              </w:rPr>
              <w:t>Avg. Nominal Protection</w:t>
            </w:r>
          </w:p>
        </w:tc>
        <w:tc>
          <w:tcPr>
            <w:tcW w:w="1188" w:type="dxa"/>
          </w:tcPr>
          <w:p w14:paraId="41B2FDC3" w14:textId="77777777" w:rsidR="00992FB0" w:rsidRPr="000A7B56" w:rsidRDefault="00992FB0" w:rsidP="00AD37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0A7B56">
              <w:rPr>
                <w:rFonts w:ascii="Times New Roman" w:hAnsi="Times New Roman" w:cs="Times New Roman"/>
                <w:sz w:val="24"/>
              </w:rPr>
              <w:t>73.3</w:t>
            </w:r>
          </w:p>
        </w:tc>
        <w:tc>
          <w:tcPr>
            <w:tcW w:w="996" w:type="dxa"/>
            <w:noWrap/>
            <w:hideMark/>
          </w:tcPr>
          <w:p w14:paraId="0ABDF29E" w14:textId="77777777" w:rsidR="00800AB1" w:rsidRPr="000A7B56" w:rsidRDefault="00800AB1" w:rsidP="00AD37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0A7B56">
              <w:rPr>
                <w:rFonts w:ascii="Times New Roman" w:hAnsi="Times New Roman" w:cs="Times New Roman"/>
                <w:sz w:val="24"/>
              </w:rPr>
              <w:t>28.2</w:t>
            </w:r>
          </w:p>
        </w:tc>
        <w:tc>
          <w:tcPr>
            <w:tcW w:w="834" w:type="dxa"/>
            <w:noWrap/>
            <w:hideMark/>
          </w:tcPr>
          <w:p w14:paraId="34114388" w14:textId="77777777" w:rsidR="00800AB1" w:rsidRPr="000A7B56" w:rsidRDefault="00800AB1" w:rsidP="00AD37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0A7B56">
              <w:rPr>
                <w:rFonts w:ascii="Times New Roman" w:hAnsi="Times New Roman" w:cs="Times New Roman"/>
                <w:sz w:val="24"/>
              </w:rPr>
              <w:t>26.5</w:t>
            </w:r>
          </w:p>
        </w:tc>
        <w:tc>
          <w:tcPr>
            <w:tcW w:w="834" w:type="dxa"/>
            <w:noWrap/>
            <w:hideMark/>
          </w:tcPr>
          <w:p w14:paraId="155891B9" w14:textId="77777777" w:rsidR="00800AB1" w:rsidRPr="000A7B56" w:rsidRDefault="00800AB1" w:rsidP="00AD37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0A7B56">
              <w:rPr>
                <w:rFonts w:ascii="Times New Roman" w:hAnsi="Times New Roman" w:cs="Times New Roman"/>
                <w:sz w:val="24"/>
              </w:rPr>
              <w:t>23.9</w:t>
            </w:r>
          </w:p>
        </w:tc>
        <w:tc>
          <w:tcPr>
            <w:tcW w:w="780" w:type="dxa"/>
            <w:noWrap/>
          </w:tcPr>
          <w:p w14:paraId="01DB2D78" w14:textId="77777777" w:rsidR="00800AB1" w:rsidRPr="000A7B56" w:rsidRDefault="00992FB0" w:rsidP="00AD37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0A7B56">
              <w:rPr>
                <w:rFonts w:ascii="Times New Roman" w:hAnsi="Times New Roman" w:cs="Times New Roman"/>
                <w:sz w:val="24"/>
              </w:rPr>
              <w:t>25.6</w:t>
            </w:r>
          </w:p>
        </w:tc>
      </w:tr>
      <w:tr w:rsidR="00800AB1" w:rsidRPr="000A7B56" w14:paraId="16AC140E" w14:textId="77777777" w:rsidTr="000A7B56">
        <w:trPr>
          <w:trHeight w:val="20"/>
          <w:jc w:val="center"/>
        </w:trPr>
        <w:tc>
          <w:tcPr>
            <w:cnfStyle w:val="001000000000" w:firstRow="0" w:lastRow="0" w:firstColumn="1" w:lastColumn="0" w:oddVBand="0" w:evenVBand="0" w:oddHBand="0" w:evenHBand="0" w:firstRowFirstColumn="0" w:firstRowLastColumn="0" w:lastRowFirstColumn="0" w:lastRowLastColumn="0"/>
            <w:tcW w:w="2322" w:type="dxa"/>
            <w:noWrap/>
            <w:hideMark/>
          </w:tcPr>
          <w:p w14:paraId="5A001D6A" w14:textId="77777777" w:rsidR="00800AB1" w:rsidRPr="000A7B56" w:rsidRDefault="00800AB1" w:rsidP="00AD3747">
            <w:pPr>
              <w:rPr>
                <w:rFonts w:ascii="Times New Roman" w:hAnsi="Times New Roman" w:cs="Times New Roman"/>
                <w:sz w:val="24"/>
              </w:rPr>
            </w:pPr>
            <w:r w:rsidRPr="000A7B56">
              <w:rPr>
                <w:rFonts w:ascii="Times New Roman" w:hAnsi="Times New Roman" w:cs="Times New Roman"/>
                <w:sz w:val="24"/>
              </w:rPr>
              <w:t>Top CD rate</w:t>
            </w:r>
          </w:p>
        </w:tc>
        <w:tc>
          <w:tcPr>
            <w:tcW w:w="1188" w:type="dxa"/>
          </w:tcPr>
          <w:p w14:paraId="1A3A4149" w14:textId="77777777" w:rsidR="00992FB0" w:rsidRPr="000A7B56" w:rsidRDefault="00992FB0" w:rsidP="00AD37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0A7B56">
              <w:rPr>
                <w:rFonts w:ascii="Times New Roman" w:hAnsi="Times New Roman" w:cs="Times New Roman"/>
                <w:sz w:val="24"/>
              </w:rPr>
              <w:t>350.0</w:t>
            </w:r>
          </w:p>
        </w:tc>
        <w:tc>
          <w:tcPr>
            <w:tcW w:w="996" w:type="dxa"/>
            <w:hideMark/>
          </w:tcPr>
          <w:p w14:paraId="47E73BC0" w14:textId="77777777" w:rsidR="00800AB1" w:rsidRPr="000A7B56" w:rsidRDefault="00800AB1" w:rsidP="00AD37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0A7B56">
              <w:rPr>
                <w:rFonts w:ascii="Times New Roman" w:hAnsi="Times New Roman" w:cs="Times New Roman"/>
                <w:sz w:val="24"/>
              </w:rPr>
              <w:t>37.5</w:t>
            </w:r>
          </w:p>
        </w:tc>
        <w:tc>
          <w:tcPr>
            <w:tcW w:w="834" w:type="dxa"/>
            <w:noWrap/>
            <w:hideMark/>
          </w:tcPr>
          <w:p w14:paraId="0CEC115D" w14:textId="77777777" w:rsidR="00800AB1" w:rsidRPr="000A7B56" w:rsidRDefault="00800AB1" w:rsidP="00AD37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0A7B56">
              <w:rPr>
                <w:rFonts w:ascii="Times New Roman" w:hAnsi="Times New Roman" w:cs="Times New Roman"/>
                <w:sz w:val="24"/>
              </w:rPr>
              <w:t>25.0</w:t>
            </w:r>
          </w:p>
        </w:tc>
        <w:tc>
          <w:tcPr>
            <w:tcW w:w="834" w:type="dxa"/>
            <w:noWrap/>
            <w:hideMark/>
          </w:tcPr>
          <w:p w14:paraId="5762E3BE" w14:textId="77777777" w:rsidR="00800AB1" w:rsidRPr="000A7B56" w:rsidRDefault="00800AB1" w:rsidP="00AD37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0A7B56">
              <w:rPr>
                <w:rFonts w:ascii="Times New Roman" w:hAnsi="Times New Roman" w:cs="Times New Roman"/>
                <w:sz w:val="24"/>
              </w:rPr>
              <w:t>25.0</w:t>
            </w:r>
          </w:p>
        </w:tc>
        <w:tc>
          <w:tcPr>
            <w:tcW w:w="780" w:type="dxa"/>
            <w:noWrap/>
          </w:tcPr>
          <w:p w14:paraId="07C7CA64" w14:textId="77777777" w:rsidR="00800AB1" w:rsidRPr="000A7B56" w:rsidRDefault="00992FB0" w:rsidP="00AD37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0A7B56">
              <w:rPr>
                <w:rFonts w:ascii="Times New Roman" w:hAnsi="Times New Roman" w:cs="Times New Roman"/>
                <w:sz w:val="24"/>
              </w:rPr>
              <w:t>25.0</w:t>
            </w:r>
          </w:p>
        </w:tc>
      </w:tr>
      <w:tr w:rsidR="00800AB1" w:rsidRPr="000A7B56" w14:paraId="6015051D" w14:textId="77777777" w:rsidTr="000A7B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22" w:type="dxa"/>
            <w:noWrap/>
            <w:hideMark/>
          </w:tcPr>
          <w:p w14:paraId="628A19A0" w14:textId="77777777" w:rsidR="00800AB1" w:rsidRPr="000A7B56" w:rsidRDefault="00800AB1" w:rsidP="00AD3747">
            <w:pPr>
              <w:rPr>
                <w:rFonts w:ascii="Times New Roman" w:hAnsi="Times New Roman" w:cs="Times New Roman"/>
                <w:sz w:val="24"/>
              </w:rPr>
            </w:pPr>
            <w:r w:rsidRPr="000A7B56">
              <w:rPr>
                <w:rFonts w:ascii="Times New Roman" w:hAnsi="Times New Roman" w:cs="Times New Roman"/>
                <w:sz w:val="24"/>
              </w:rPr>
              <w:t>Top NPR*</w:t>
            </w:r>
          </w:p>
        </w:tc>
        <w:tc>
          <w:tcPr>
            <w:tcW w:w="1188" w:type="dxa"/>
          </w:tcPr>
          <w:p w14:paraId="6D2DEAB4" w14:textId="77777777" w:rsidR="00992FB0" w:rsidRPr="000A7B56" w:rsidRDefault="00992FB0" w:rsidP="00AD37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0A7B56">
              <w:rPr>
                <w:rFonts w:ascii="Times New Roman" w:hAnsi="Times New Roman" w:cs="Times New Roman"/>
                <w:sz w:val="24"/>
              </w:rPr>
              <w:t>362.5</w:t>
            </w:r>
          </w:p>
        </w:tc>
        <w:tc>
          <w:tcPr>
            <w:tcW w:w="996" w:type="dxa"/>
            <w:noWrap/>
            <w:hideMark/>
          </w:tcPr>
          <w:p w14:paraId="1591F6F3" w14:textId="77777777" w:rsidR="00800AB1" w:rsidRPr="000A7B56" w:rsidRDefault="00800AB1" w:rsidP="00AD37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0A7B56">
              <w:rPr>
                <w:rFonts w:ascii="Times New Roman" w:hAnsi="Times New Roman" w:cs="Times New Roman"/>
                <w:sz w:val="24"/>
              </w:rPr>
              <w:t>59.0</w:t>
            </w:r>
          </w:p>
        </w:tc>
        <w:tc>
          <w:tcPr>
            <w:tcW w:w="834" w:type="dxa"/>
            <w:noWrap/>
            <w:hideMark/>
          </w:tcPr>
          <w:p w14:paraId="1BBB8FFC" w14:textId="77777777" w:rsidR="00800AB1" w:rsidRPr="000A7B56" w:rsidRDefault="00800AB1" w:rsidP="00AD37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0A7B56">
              <w:rPr>
                <w:rFonts w:ascii="Times New Roman" w:hAnsi="Times New Roman" w:cs="Times New Roman"/>
                <w:sz w:val="24"/>
              </w:rPr>
              <w:t>60.0</w:t>
            </w:r>
          </w:p>
        </w:tc>
        <w:tc>
          <w:tcPr>
            <w:tcW w:w="834" w:type="dxa"/>
            <w:noWrap/>
            <w:hideMark/>
          </w:tcPr>
          <w:p w14:paraId="058F89DF" w14:textId="77777777" w:rsidR="00800AB1" w:rsidRPr="000A7B56" w:rsidRDefault="00800AB1" w:rsidP="00AD37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0A7B56">
              <w:rPr>
                <w:rFonts w:ascii="Times New Roman" w:hAnsi="Times New Roman" w:cs="Times New Roman"/>
                <w:sz w:val="24"/>
              </w:rPr>
              <w:t>79.0</w:t>
            </w:r>
          </w:p>
        </w:tc>
        <w:tc>
          <w:tcPr>
            <w:tcW w:w="780" w:type="dxa"/>
            <w:noWrap/>
          </w:tcPr>
          <w:p w14:paraId="6EA8E2E3" w14:textId="77777777" w:rsidR="00800AB1" w:rsidRPr="000A7B56" w:rsidRDefault="00992FB0" w:rsidP="00AD374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0A7B56">
              <w:rPr>
                <w:rFonts w:ascii="Times New Roman" w:hAnsi="Times New Roman" w:cs="Times New Roman"/>
                <w:sz w:val="24"/>
              </w:rPr>
              <w:t>85.6</w:t>
            </w:r>
          </w:p>
        </w:tc>
      </w:tr>
    </w:tbl>
    <w:p w14:paraId="2172240C" w14:textId="77777777" w:rsidR="00D77992" w:rsidRPr="003473AB" w:rsidRDefault="00D77992" w:rsidP="00D77992">
      <w:pPr>
        <w:spacing w:after="240"/>
        <w:jc w:val="both"/>
        <w:rPr>
          <w:rFonts w:ascii="Times New Roman" w:hAnsi="Times New Roman" w:cs="Times New Roman"/>
          <w:b/>
          <w:i/>
        </w:rPr>
      </w:pPr>
      <w:r>
        <w:rPr>
          <w:rFonts w:ascii="Times New Roman" w:eastAsia="Times New Roman" w:hAnsi="Times New Roman" w:cs="Times New Roman"/>
          <w:b/>
          <w:i/>
          <w:color w:val="000000"/>
        </w:rPr>
        <w:tab/>
      </w:r>
      <w:r w:rsidR="00992FB0">
        <w:rPr>
          <w:rFonts w:ascii="Times New Roman" w:eastAsia="Times New Roman" w:hAnsi="Times New Roman" w:cs="Times New Roman"/>
          <w:b/>
          <w:i/>
          <w:color w:val="000000"/>
        </w:rPr>
        <w:tab/>
      </w:r>
      <w:r w:rsidRPr="00E12A8D">
        <w:rPr>
          <w:rFonts w:ascii="Times New Roman" w:eastAsia="Times New Roman" w:hAnsi="Times New Roman" w:cs="Times New Roman"/>
          <w:b/>
          <w:i/>
          <w:color w:val="000000"/>
        </w:rPr>
        <w:t>Source: NBR &amp; PRI staff estimates</w:t>
      </w:r>
    </w:p>
    <w:p w14:paraId="32DD9329" w14:textId="20FAEAF5" w:rsidR="00D77992" w:rsidRDefault="00D77992" w:rsidP="00A51CF0">
      <w:pPr>
        <w:spacing w:after="240" w:line="276" w:lineRule="auto"/>
        <w:jc w:val="both"/>
        <w:rPr>
          <w:rFonts w:ascii="Times New Roman" w:hAnsi="Times New Roman"/>
          <w:sz w:val="24"/>
          <w:szCs w:val="24"/>
        </w:rPr>
      </w:pPr>
      <w:r>
        <w:rPr>
          <w:rFonts w:ascii="Times New Roman" w:hAnsi="Times New Roman"/>
          <w:sz w:val="24"/>
          <w:szCs w:val="24"/>
        </w:rPr>
        <w:t xml:space="preserve">Tariffs and </w:t>
      </w:r>
      <w:r>
        <w:rPr>
          <w:rFonts w:ascii="Times New Roman" w:hAnsi="Times New Roman" w:cs="Times New Roman"/>
          <w:sz w:val="24"/>
          <w:szCs w:val="24"/>
        </w:rPr>
        <w:t>para-tariffs</w:t>
      </w:r>
      <w:r>
        <w:rPr>
          <w:rStyle w:val="FootnoteReference"/>
          <w:rFonts w:ascii="Times New Roman" w:hAnsi="Times New Roman" w:cs="Times New Roman"/>
          <w:sz w:val="24"/>
          <w:szCs w:val="24"/>
        </w:rPr>
        <w:footnoteReference w:id="7"/>
      </w:r>
      <w:r>
        <w:rPr>
          <w:rFonts w:ascii="Times New Roman" w:hAnsi="Times New Roman"/>
          <w:sz w:val="24"/>
          <w:szCs w:val="24"/>
        </w:rPr>
        <w:t xml:space="preserve">on imports are now the single most important determinant of trade protection after </w:t>
      </w:r>
      <w:r w:rsidRPr="00AF3789">
        <w:rPr>
          <w:rFonts w:ascii="Times New Roman" w:hAnsi="Times New Roman"/>
          <w:sz w:val="24"/>
          <w:szCs w:val="24"/>
        </w:rPr>
        <w:t>successive governments in Bangladesh</w:t>
      </w:r>
      <w:r>
        <w:rPr>
          <w:rFonts w:ascii="Times New Roman" w:hAnsi="Times New Roman"/>
          <w:sz w:val="24"/>
          <w:szCs w:val="24"/>
        </w:rPr>
        <w:t xml:space="preserve"> made p</w:t>
      </w:r>
      <w:r w:rsidRPr="00AF3789">
        <w:rPr>
          <w:rFonts w:ascii="Times New Roman" w:hAnsi="Times New Roman"/>
          <w:sz w:val="24"/>
          <w:szCs w:val="24"/>
        </w:rPr>
        <w:t>rogressive trade openness the cornerstone of trade policy. Whereas tariffs and quantitative restrictions (QR) together determined the extent of openness or restrictiveness of trade policy in the 1990s and before, the QR slate has been wipe</w:t>
      </w:r>
      <w:r>
        <w:rPr>
          <w:rFonts w:ascii="Times New Roman" w:hAnsi="Times New Roman"/>
          <w:sz w:val="24"/>
          <w:szCs w:val="24"/>
        </w:rPr>
        <w:t>d pretty much clean since FY2005</w:t>
      </w:r>
      <w:r w:rsidRPr="00AF3789">
        <w:rPr>
          <w:rFonts w:ascii="Times New Roman" w:hAnsi="Times New Roman"/>
          <w:sz w:val="24"/>
          <w:szCs w:val="24"/>
        </w:rPr>
        <w:t xml:space="preserve">, leaving tariffs as the main instrument of trade policy </w:t>
      </w:r>
      <w:r w:rsidRPr="00AF3789">
        <w:rPr>
          <w:rFonts w:ascii="Times New Roman" w:hAnsi="Times New Roman"/>
          <w:sz w:val="24"/>
          <w:szCs w:val="24"/>
        </w:rPr>
        <w:lastRenderedPageBreak/>
        <w:t>and protection. The tariff structure has been s</w:t>
      </w:r>
      <w:r w:rsidR="00992FB0">
        <w:rPr>
          <w:rFonts w:ascii="Times New Roman" w:hAnsi="Times New Roman"/>
          <w:sz w:val="24"/>
          <w:szCs w:val="24"/>
        </w:rPr>
        <w:t>implified by moving to only six</w:t>
      </w:r>
      <w:r w:rsidRPr="00AF3789">
        <w:rPr>
          <w:rFonts w:ascii="Times New Roman" w:hAnsi="Times New Roman"/>
          <w:sz w:val="24"/>
          <w:szCs w:val="24"/>
        </w:rPr>
        <w:t xml:space="preserve"> no</w:t>
      </w:r>
      <w:r>
        <w:rPr>
          <w:rFonts w:ascii="Times New Roman" w:hAnsi="Times New Roman"/>
          <w:sz w:val="24"/>
          <w:szCs w:val="24"/>
        </w:rPr>
        <w:t xml:space="preserve">n-zero CD slabs – </w:t>
      </w:r>
      <w:r w:rsidR="00992FB0">
        <w:rPr>
          <w:rFonts w:ascii="Times New Roman" w:hAnsi="Times New Roman"/>
          <w:sz w:val="24"/>
          <w:szCs w:val="24"/>
        </w:rPr>
        <w:t xml:space="preserve">1%, 2%, </w:t>
      </w:r>
      <w:r>
        <w:rPr>
          <w:rFonts w:ascii="Times New Roman" w:hAnsi="Times New Roman"/>
          <w:sz w:val="24"/>
          <w:szCs w:val="24"/>
        </w:rPr>
        <w:t>3%, 5%, 10</w:t>
      </w:r>
      <w:r w:rsidRPr="00AF3789">
        <w:rPr>
          <w:rFonts w:ascii="Times New Roman" w:hAnsi="Times New Roman"/>
          <w:sz w:val="24"/>
          <w:szCs w:val="24"/>
        </w:rPr>
        <w:t>% and 25%</w:t>
      </w:r>
      <w:r>
        <w:rPr>
          <w:rFonts w:ascii="Times New Roman" w:hAnsi="Times New Roman"/>
          <w:sz w:val="24"/>
          <w:szCs w:val="24"/>
        </w:rPr>
        <w:t>, but the imposition of a plethora of import taxes and levies (e.g. SD, RD, VAT, AdVAT, AIT) make the tariff structure rather complex</w:t>
      </w:r>
      <w:r w:rsidRPr="00AF3789">
        <w:rPr>
          <w:rFonts w:ascii="Times New Roman" w:hAnsi="Times New Roman"/>
          <w:sz w:val="24"/>
          <w:szCs w:val="24"/>
        </w:rPr>
        <w:t xml:space="preserve">. </w:t>
      </w:r>
      <w:r>
        <w:rPr>
          <w:rFonts w:ascii="Times New Roman" w:hAnsi="Times New Roman"/>
          <w:sz w:val="24"/>
          <w:szCs w:val="24"/>
        </w:rPr>
        <w:t>Al</w:t>
      </w:r>
      <w:r w:rsidRPr="00AF3789">
        <w:rPr>
          <w:rFonts w:ascii="Times New Roman" w:hAnsi="Times New Roman"/>
          <w:sz w:val="24"/>
          <w:szCs w:val="24"/>
        </w:rPr>
        <w:t xml:space="preserve">though the average customs duty </w:t>
      </w:r>
      <w:r w:rsidR="00992FB0">
        <w:rPr>
          <w:rFonts w:ascii="Times New Roman" w:hAnsi="Times New Roman"/>
          <w:sz w:val="24"/>
          <w:szCs w:val="24"/>
        </w:rPr>
        <w:t>has come down over the past 25</w:t>
      </w:r>
      <w:r>
        <w:rPr>
          <w:rFonts w:ascii="Times New Roman" w:hAnsi="Times New Roman"/>
          <w:sz w:val="24"/>
          <w:szCs w:val="24"/>
        </w:rPr>
        <w:t xml:space="preserve"> years, </w:t>
      </w:r>
      <w:r w:rsidRPr="00AF3789">
        <w:rPr>
          <w:rFonts w:ascii="Times New Roman" w:hAnsi="Times New Roman"/>
          <w:sz w:val="24"/>
          <w:szCs w:val="24"/>
        </w:rPr>
        <w:t>the</w:t>
      </w:r>
      <w:r>
        <w:rPr>
          <w:rFonts w:ascii="Times New Roman" w:hAnsi="Times New Roman"/>
          <w:sz w:val="24"/>
          <w:szCs w:val="24"/>
        </w:rPr>
        <w:t xml:space="preserve"> </w:t>
      </w:r>
      <w:r w:rsidRPr="00AF3789">
        <w:rPr>
          <w:rFonts w:ascii="Times New Roman" w:hAnsi="Times New Roman"/>
          <w:sz w:val="24"/>
          <w:szCs w:val="24"/>
        </w:rPr>
        <w:t>average nominal protection rate (NPR)</w:t>
      </w:r>
      <w:r>
        <w:rPr>
          <w:rFonts w:ascii="Times New Roman" w:hAnsi="Times New Roman"/>
          <w:sz w:val="24"/>
          <w:szCs w:val="24"/>
        </w:rPr>
        <w:t xml:space="preserve"> shows mixed trend. It</w:t>
      </w:r>
      <w:r w:rsidR="00630C35">
        <w:rPr>
          <w:rFonts w:ascii="Times New Roman" w:hAnsi="Times New Roman"/>
          <w:sz w:val="24"/>
          <w:szCs w:val="24"/>
        </w:rPr>
        <w:t xml:space="preserve"> initially declined rapidly between FY92 and FY01 but</w:t>
      </w:r>
      <w:r>
        <w:rPr>
          <w:rFonts w:ascii="Times New Roman" w:hAnsi="Times New Roman"/>
          <w:sz w:val="24"/>
          <w:szCs w:val="24"/>
        </w:rPr>
        <w:t xml:space="preserve"> then started rising again over FY10-FY13. </w:t>
      </w:r>
      <w:r w:rsidRPr="00AF3789">
        <w:rPr>
          <w:rFonts w:ascii="Times New Roman" w:hAnsi="Times New Roman"/>
          <w:sz w:val="24"/>
          <w:szCs w:val="24"/>
        </w:rPr>
        <w:t xml:space="preserve">What is notable is </w:t>
      </w:r>
      <w:r>
        <w:rPr>
          <w:rFonts w:ascii="Times New Roman" w:hAnsi="Times New Roman"/>
          <w:sz w:val="24"/>
          <w:szCs w:val="24"/>
        </w:rPr>
        <w:t xml:space="preserve">(a) </w:t>
      </w:r>
      <w:r w:rsidRPr="00AF3789">
        <w:rPr>
          <w:rFonts w:ascii="Times New Roman" w:hAnsi="Times New Roman"/>
          <w:sz w:val="24"/>
          <w:szCs w:val="24"/>
        </w:rPr>
        <w:t>the perceptible divergence between the top NPR</w:t>
      </w:r>
      <w:r>
        <w:rPr>
          <w:rFonts w:ascii="Times New Roman" w:hAnsi="Times New Roman"/>
          <w:sz w:val="24"/>
          <w:szCs w:val="24"/>
        </w:rPr>
        <w:t xml:space="preserve"> rate (which moved up since FY01</w:t>
      </w:r>
      <w:r w:rsidRPr="00AF3789">
        <w:rPr>
          <w:rFonts w:ascii="Times New Roman" w:hAnsi="Times New Roman"/>
          <w:sz w:val="24"/>
          <w:szCs w:val="24"/>
        </w:rPr>
        <w:t xml:space="preserve">) and </w:t>
      </w:r>
      <w:r>
        <w:rPr>
          <w:rFonts w:ascii="Times New Roman" w:hAnsi="Times New Roman"/>
          <w:sz w:val="24"/>
          <w:szCs w:val="24"/>
        </w:rPr>
        <w:t xml:space="preserve">the </w:t>
      </w:r>
      <w:r w:rsidRPr="00AF3789">
        <w:rPr>
          <w:rFonts w:ascii="Times New Roman" w:hAnsi="Times New Roman"/>
          <w:sz w:val="24"/>
          <w:szCs w:val="24"/>
        </w:rPr>
        <w:t>average NPR</w:t>
      </w:r>
      <w:r>
        <w:rPr>
          <w:rFonts w:ascii="Times New Roman" w:hAnsi="Times New Roman"/>
          <w:sz w:val="24"/>
          <w:szCs w:val="24"/>
        </w:rPr>
        <w:t>; (b) the top NPR and top CD rate; and (c) gradual preponderance of para-tariffs (</w:t>
      </w:r>
      <w:r w:rsidRPr="00154E4F">
        <w:rPr>
          <w:rFonts w:ascii="Times New Roman" w:hAnsi="Times New Roman"/>
          <w:sz w:val="24"/>
          <w:szCs w:val="24"/>
        </w:rPr>
        <w:t>Figure</w:t>
      </w:r>
      <w:r>
        <w:rPr>
          <w:rFonts w:ascii="Times New Roman" w:hAnsi="Times New Roman"/>
          <w:sz w:val="24"/>
          <w:szCs w:val="24"/>
        </w:rPr>
        <w:t xml:space="preserve"> 17)</w:t>
      </w:r>
      <w:r w:rsidRPr="00AF3789">
        <w:rPr>
          <w:rFonts w:ascii="Times New Roman" w:hAnsi="Times New Roman"/>
          <w:sz w:val="24"/>
          <w:szCs w:val="24"/>
        </w:rPr>
        <w:t xml:space="preserve">. </w:t>
      </w:r>
      <w:r>
        <w:rPr>
          <w:rFonts w:ascii="Times New Roman" w:hAnsi="Times New Roman"/>
          <w:sz w:val="24"/>
          <w:szCs w:val="24"/>
        </w:rPr>
        <w:t xml:space="preserve">Also notable are the prohibitively high NPRs on consumer goods that are domestically produced. Such high rates, if effective, constitute </w:t>
      </w:r>
      <w:r w:rsidRPr="002D5862">
        <w:rPr>
          <w:rFonts w:ascii="Times New Roman" w:hAnsi="Times New Roman"/>
          <w:i/>
          <w:sz w:val="24"/>
          <w:szCs w:val="24"/>
        </w:rPr>
        <w:t>de facto</w:t>
      </w:r>
      <w:r>
        <w:rPr>
          <w:rFonts w:ascii="Times New Roman" w:hAnsi="Times New Roman"/>
          <w:sz w:val="24"/>
          <w:szCs w:val="24"/>
        </w:rPr>
        <w:t xml:space="preserve"> import bans. </w:t>
      </w:r>
    </w:p>
    <w:p w14:paraId="79636B93" w14:textId="723013E2" w:rsidR="00D77992" w:rsidRDefault="00D77992" w:rsidP="00A51CF0">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The new element is the emergence and sharp rise of para-tariffs (</w:t>
      </w:r>
      <w:r w:rsidRPr="00154E4F">
        <w:rPr>
          <w:rFonts w:ascii="Times New Roman" w:hAnsi="Times New Roman" w:cs="Times New Roman"/>
          <w:sz w:val="24"/>
          <w:szCs w:val="24"/>
        </w:rPr>
        <w:t>Figure</w:t>
      </w:r>
      <w:r w:rsidR="00365335">
        <w:rPr>
          <w:rFonts w:ascii="Times New Roman" w:hAnsi="Times New Roman" w:cs="Times New Roman"/>
          <w:sz w:val="24"/>
          <w:szCs w:val="24"/>
        </w:rPr>
        <w:t>.9</w:t>
      </w:r>
      <w:r>
        <w:rPr>
          <w:rFonts w:ascii="Times New Roman" w:hAnsi="Times New Roman" w:cs="Times New Roman"/>
          <w:sz w:val="24"/>
          <w:szCs w:val="24"/>
        </w:rPr>
        <w:t xml:space="preserve">) as a protective instrument of trade policy, which rose to </w:t>
      </w:r>
      <w:r w:rsidR="00630C35">
        <w:rPr>
          <w:rFonts w:ascii="Times New Roman" w:hAnsi="Times New Roman" w:cs="Times New Roman"/>
          <w:sz w:val="24"/>
          <w:szCs w:val="24"/>
        </w:rPr>
        <w:t xml:space="preserve">about </w:t>
      </w:r>
      <w:r>
        <w:rPr>
          <w:rFonts w:ascii="Times New Roman" w:hAnsi="Times New Roman" w:cs="Times New Roman"/>
          <w:sz w:val="24"/>
          <w:szCs w:val="24"/>
        </w:rPr>
        <w:t xml:space="preserve">50% of average NPR since FY13. Going by </w:t>
      </w:r>
    </w:p>
    <w:p w14:paraId="7622E4E1" w14:textId="79E2CCA7" w:rsidR="00D77992" w:rsidRPr="002056F2" w:rsidRDefault="00D77992" w:rsidP="002056F2">
      <w:pPr>
        <w:pStyle w:val="Heading5"/>
      </w:pPr>
      <w:bookmarkStart w:id="63" w:name="_Toc390336435"/>
      <w:bookmarkStart w:id="64" w:name="_Toc404442129"/>
      <w:bookmarkStart w:id="65" w:name="_Toc496536543"/>
      <w:bookmarkStart w:id="66" w:name="_Hlk492895425"/>
      <w:r w:rsidRPr="002056F2">
        <w:t>Figure</w:t>
      </w:r>
      <w:r w:rsidR="002056F2">
        <w:t xml:space="preserve"> </w:t>
      </w:r>
      <w:r w:rsidR="00365335" w:rsidRPr="002056F2">
        <w:t>9</w:t>
      </w:r>
      <w:r w:rsidRPr="002056F2">
        <w:t>: CD and Para Tariff Trends</w:t>
      </w:r>
      <w:bookmarkEnd w:id="63"/>
      <w:bookmarkEnd w:id="64"/>
      <w:bookmarkEnd w:id="65"/>
    </w:p>
    <w:p w14:paraId="33B37CF5" w14:textId="54DE5D1F" w:rsidR="00D77992" w:rsidRDefault="005F3AD2" w:rsidP="00D77992">
      <w:pPr>
        <w:spacing w:after="240"/>
        <w:jc w:val="center"/>
        <w:rPr>
          <w:rFonts w:ascii="Times New Roman" w:hAnsi="Times New Roman" w:cs="Times New Roman"/>
          <w:sz w:val="24"/>
          <w:szCs w:val="24"/>
        </w:rPr>
      </w:pPr>
      <w:r>
        <w:rPr>
          <w:noProof/>
        </w:rPr>
        <w:drawing>
          <wp:inline distT="0" distB="0" distL="0" distR="0" wp14:anchorId="71A76086" wp14:editId="3D2EF4F5">
            <wp:extent cx="4019550" cy="197167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bookmarkEnd w:id="66"/>
    <w:p w14:paraId="07CD882B" w14:textId="66A3CCD3" w:rsidR="00D77992" w:rsidRDefault="00D77992" w:rsidP="00A51CF0">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NPR rather than CD, it becomes evident that the top NPR, which is an indicator of the highest level of nominal protection given to an import-competing product, is not 25%, but as high as</w:t>
      </w:r>
      <w:r w:rsidRPr="00630C35">
        <w:rPr>
          <w:rFonts w:ascii="Times New Roman" w:hAnsi="Times New Roman" w:cs="Times New Roman"/>
          <w:color w:val="FF0000"/>
          <w:sz w:val="24"/>
          <w:szCs w:val="24"/>
        </w:rPr>
        <w:t xml:space="preserve"> </w:t>
      </w:r>
      <w:r w:rsidR="004D3102" w:rsidRPr="004D3102">
        <w:rPr>
          <w:rFonts w:ascii="Times New Roman" w:hAnsi="Times New Roman" w:cs="Times New Roman"/>
          <w:sz w:val="24"/>
          <w:szCs w:val="24"/>
        </w:rPr>
        <w:t xml:space="preserve">86% </w:t>
      </w:r>
      <w:r w:rsidRPr="004D3102">
        <w:rPr>
          <w:rFonts w:ascii="Times New Roman" w:hAnsi="Times New Roman" w:cs="Times New Roman"/>
          <w:sz w:val="24"/>
          <w:szCs w:val="24"/>
        </w:rPr>
        <w:t xml:space="preserve">imposed on </w:t>
      </w:r>
      <w:r w:rsidR="004D3102" w:rsidRPr="004D3102">
        <w:rPr>
          <w:rFonts w:ascii="Times New Roman" w:hAnsi="Times New Roman" w:cs="Times New Roman"/>
          <w:sz w:val="24"/>
          <w:szCs w:val="24"/>
        </w:rPr>
        <w:t xml:space="preserve">footwear and </w:t>
      </w:r>
      <w:r w:rsidRPr="004D3102">
        <w:rPr>
          <w:rFonts w:ascii="Times New Roman" w:hAnsi="Times New Roman" w:cs="Times New Roman"/>
          <w:sz w:val="24"/>
          <w:szCs w:val="24"/>
        </w:rPr>
        <w:t>textile fabrics</w:t>
      </w:r>
      <w:r>
        <w:rPr>
          <w:rFonts w:ascii="Times New Roman" w:hAnsi="Times New Roman" w:cs="Times New Roman"/>
          <w:sz w:val="24"/>
          <w:szCs w:val="24"/>
        </w:rPr>
        <w:t>. This is the top rate appearing on a significant number of tariff lines, though there are occasionally higher NPRs on such items as biscuits and confectionaries (in excess of 100%); excluding the high tariffs on cars, alcoholic beverages, and cigarettes, which are meant to generate revenue or to discourage consumption. Though cross-country comparison of tariffs is made on the basis of CD</w:t>
      </w:r>
      <w:r>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it is fair to conclude from available cross-country data that NPR levels are relatively high in Bangladesh thus raising the first wall of anti-export bias. Globally, tariffs have been coming down so that there is a general perception that they do not pose any barrier or market access problems any more and attention is now being diverted to non-tariff measures. Once Bangladesh graduates out of its LDC status or moves across the middle-income threshold, exporters to Bangladesh could soon start drawing attention to the relatively high tariff and para-tariff levels. </w:t>
      </w:r>
    </w:p>
    <w:p w14:paraId="72ED7FD5" w14:textId="77777777" w:rsidR="00D77992" w:rsidRDefault="00D77992" w:rsidP="00A51CF0">
      <w:pPr>
        <w:spacing w:after="240" w:line="276" w:lineRule="auto"/>
        <w:jc w:val="both"/>
        <w:rPr>
          <w:rFonts w:ascii="Times New Roman" w:hAnsi="Times New Roman" w:cs="Times New Roman"/>
          <w:sz w:val="24"/>
          <w:szCs w:val="24"/>
        </w:rPr>
      </w:pPr>
      <w:r>
        <w:rPr>
          <w:rFonts w:ascii="Times New Roman" w:hAnsi="Times New Roman"/>
          <w:sz w:val="24"/>
          <w:szCs w:val="24"/>
        </w:rPr>
        <w:lastRenderedPageBreak/>
        <w:t xml:space="preserve">According to the World Bank’s Trade Restrictiveness Index (TTRI) based on MFN tariffs, Bangladesh ranks 97th among 125 countries. That perception is based entirely on nominal tariffs and does not include para-tariffs. </w:t>
      </w:r>
      <w:r>
        <w:rPr>
          <w:rFonts w:ascii="Times New Roman" w:hAnsi="Times New Roman" w:cs="Times New Roman"/>
          <w:sz w:val="24"/>
          <w:szCs w:val="24"/>
        </w:rPr>
        <w:t>A recent PRI study for the World Bank and WTO (PRI, 2012) found effective rates of protection</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(ERP) for most import substitute products to range from 100% to over 300%. </w:t>
      </w:r>
      <w:r>
        <w:rPr>
          <w:rFonts w:ascii="Times New Roman" w:hAnsi="Times New Roman"/>
          <w:sz w:val="24"/>
          <w:szCs w:val="24"/>
        </w:rPr>
        <w:t>The ERP computations across products and firms now reveal that effective protection rates far exceed NPRs by wide margins because average input tariffs are well below output NPRs, ranging from over 100% for agro-based products like fruit juice, to over 300% for such products as bicycles and plastic bottles. Barring a few products like carbon rods and jute textiles, which are intermediate products, most of manufacturing in Bangladesh is concentrated on consumer goods production, all of which have</w:t>
      </w:r>
      <w:r w:rsidR="00630C35">
        <w:rPr>
          <w:rFonts w:ascii="Times New Roman" w:hAnsi="Times New Roman"/>
          <w:sz w:val="24"/>
          <w:szCs w:val="24"/>
        </w:rPr>
        <w:t xml:space="preserve"> output NPR rates between </w:t>
      </w:r>
      <w:r w:rsidR="007A046F">
        <w:rPr>
          <w:rFonts w:ascii="Times New Roman" w:hAnsi="Times New Roman"/>
          <w:sz w:val="24"/>
          <w:szCs w:val="24"/>
        </w:rPr>
        <w:t>47-86% (1</w:t>
      </w:r>
      <w:r>
        <w:rPr>
          <w:rFonts w:ascii="Times New Roman" w:hAnsi="Times New Roman"/>
          <w:sz w:val="24"/>
          <w:szCs w:val="24"/>
        </w:rPr>
        <w:t xml:space="preserve">00% for biscuits!). </w:t>
      </w:r>
      <w:r>
        <w:rPr>
          <w:rFonts w:ascii="Times New Roman" w:hAnsi="Times New Roman" w:cs="Times New Roman"/>
          <w:sz w:val="24"/>
          <w:szCs w:val="24"/>
        </w:rPr>
        <w:t xml:space="preserve">More important for global competitiveness of Bangladesh’s exports, these high NPR and ERP levels create anti-export bias that has perverse resource allocation implications. More than NPR, it is the effective protection levels that accentuate anti-export bias as they are much more pronounced than NPRs. And there seems no indication that these levels are on the decline; rather, the trend seems to be opposite, implying that effective rates of protection are on the rise. Research and cross-country evidence regarding protection confirm that (a) protection once given has a tendency to perpetuate as producers in protected activities develop a vested interest in maintaining it; (b) industries protected for too long become inefficient and uncompetitive at the global level as they have little incentive to innovate or raise productivity. </w:t>
      </w:r>
    </w:p>
    <w:p w14:paraId="1C4E00A6" w14:textId="77777777" w:rsidR="00D77992" w:rsidRDefault="00D77992" w:rsidP="00A51CF0">
      <w:p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If anti-export bias is so prominent in our trade policy orientation, it is pertinent to ask how is it that RMG exports rose to such heights as to make Bangladesh one of the leading RMG exporters of the world. It goes to the sagacity of our policy makers to have devised a “free trade channel” for this 100% export-oriented sector within an otherwise high tariff regime. Aided by the MFA which gave access to world markets, domestic policies designed exclusively for RMG industry, comprising special bonded warehouse and back-to-back LC, were able to soundly neutralize anti-export bias of a high tariff regime. Indeed, these policies constituted the bedrock of success for this labor-intensive industry that symbolized Bangladesh’s strength in low-skill intensive manufacturing, the sort of specialization that should spill over to other industries as well. </w:t>
      </w:r>
    </w:p>
    <w:p w14:paraId="777B93ED" w14:textId="2F097CFF" w:rsidR="00D77992" w:rsidRDefault="00D77992" w:rsidP="00A51CF0">
      <w:pPr>
        <w:spacing w:after="240" w:line="276" w:lineRule="auto"/>
        <w:jc w:val="both"/>
        <w:rPr>
          <w:rFonts w:ascii="Times New Roman" w:hAnsi="Times New Roman"/>
          <w:sz w:val="24"/>
          <w:szCs w:val="24"/>
        </w:rPr>
      </w:pPr>
      <w:r w:rsidRPr="00AF3789">
        <w:rPr>
          <w:rFonts w:ascii="Times New Roman" w:hAnsi="Times New Roman"/>
          <w:sz w:val="24"/>
          <w:szCs w:val="24"/>
        </w:rPr>
        <w:t>A close examination of the structure of tariffs reveals that the decline in average NPR was due primarily to the reduction in tariffs on basic raw materials, capital goods</w:t>
      </w:r>
      <w:r>
        <w:rPr>
          <w:rFonts w:ascii="Times New Roman" w:hAnsi="Times New Roman"/>
          <w:sz w:val="24"/>
          <w:szCs w:val="24"/>
        </w:rPr>
        <w:t xml:space="preserve"> </w:t>
      </w:r>
      <w:r w:rsidRPr="00AF3789">
        <w:rPr>
          <w:rFonts w:ascii="Times New Roman" w:hAnsi="Times New Roman"/>
          <w:sz w:val="24"/>
          <w:szCs w:val="24"/>
        </w:rPr>
        <w:t>and intermediate inputs, while the top CD rate remained flat at 25% since FY05</w:t>
      </w:r>
      <w:r>
        <w:rPr>
          <w:rFonts w:ascii="Times New Roman" w:hAnsi="Times New Roman"/>
          <w:sz w:val="24"/>
          <w:szCs w:val="24"/>
        </w:rPr>
        <w:t>, topped up by generous supplement of levies such as supplementary duty (SD) and regulatory duty (RD) – para-tariffs</w:t>
      </w:r>
      <w:r w:rsidRPr="00AF3789">
        <w:rPr>
          <w:rFonts w:ascii="Times New Roman" w:hAnsi="Times New Roman"/>
          <w:sz w:val="24"/>
          <w:szCs w:val="24"/>
        </w:rPr>
        <w:t xml:space="preserve">. </w:t>
      </w:r>
      <w:bookmarkStart w:id="67" w:name="_Hlk492811906"/>
      <w:r>
        <w:rPr>
          <w:rFonts w:ascii="Times New Roman" w:hAnsi="Times New Roman"/>
          <w:sz w:val="24"/>
          <w:szCs w:val="24"/>
        </w:rPr>
        <w:t>T</w:t>
      </w:r>
      <w:r w:rsidRPr="00AF3789">
        <w:rPr>
          <w:rFonts w:ascii="Times New Roman" w:hAnsi="Times New Roman"/>
          <w:sz w:val="24"/>
          <w:szCs w:val="24"/>
        </w:rPr>
        <w:t>he trends in nominal protection r</w:t>
      </w:r>
      <w:r>
        <w:rPr>
          <w:rFonts w:ascii="Times New Roman" w:hAnsi="Times New Roman"/>
          <w:sz w:val="24"/>
          <w:szCs w:val="24"/>
        </w:rPr>
        <w:t xml:space="preserve">ates of import categories </w:t>
      </w:r>
      <w:r w:rsidRPr="00AF3789">
        <w:rPr>
          <w:rFonts w:ascii="Times New Roman" w:hAnsi="Times New Roman"/>
          <w:sz w:val="24"/>
          <w:szCs w:val="24"/>
        </w:rPr>
        <w:t xml:space="preserve">reveals that </w:t>
      </w:r>
      <w:r>
        <w:rPr>
          <w:rFonts w:ascii="Times New Roman" w:hAnsi="Times New Roman"/>
          <w:sz w:val="24"/>
          <w:szCs w:val="24"/>
        </w:rPr>
        <w:t xml:space="preserve">in the recent past </w:t>
      </w:r>
      <w:r w:rsidRPr="00AF3789">
        <w:rPr>
          <w:rFonts w:ascii="Times New Roman" w:hAnsi="Times New Roman"/>
          <w:sz w:val="24"/>
          <w:szCs w:val="24"/>
        </w:rPr>
        <w:t>the average NPR for input categories have been declining rapidly</w:t>
      </w:r>
      <w:r>
        <w:rPr>
          <w:rFonts w:ascii="Times New Roman" w:hAnsi="Times New Roman"/>
          <w:sz w:val="24"/>
          <w:szCs w:val="24"/>
        </w:rPr>
        <w:t xml:space="preserve"> while </w:t>
      </w:r>
      <w:r w:rsidRPr="00AF3789">
        <w:rPr>
          <w:rFonts w:ascii="Times New Roman" w:hAnsi="Times New Roman"/>
          <w:sz w:val="24"/>
          <w:szCs w:val="24"/>
        </w:rPr>
        <w:t>that of final consumer goods remained</w:t>
      </w:r>
      <w:r>
        <w:rPr>
          <w:rFonts w:ascii="Times New Roman" w:hAnsi="Times New Roman"/>
          <w:sz w:val="24"/>
          <w:szCs w:val="24"/>
        </w:rPr>
        <w:t xml:space="preserve"> pra</w:t>
      </w:r>
      <w:r w:rsidR="001F49AD">
        <w:rPr>
          <w:rFonts w:ascii="Times New Roman" w:hAnsi="Times New Roman"/>
          <w:sz w:val="24"/>
          <w:szCs w:val="24"/>
        </w:rPr>
        <w:t>ctically flat if not increased</w:t>
      </w:r>
      <w:r>
        <w:rPr>
          <w:rFonts w:ascii="Times New Roman" w:hAnsi="Times New Roman"/>
          <w:sz w:val="24"/>
          <w:szCs w:val="24"/>
        </w:rPr>
        <w:t xml:space="preserve">. </w:t>
      </w:r>
      <w:bookmarkEnd w:id="67"/>
      <w:r w:rsidR="009C3FAB">
        <w:rPr>
          <w:rFonts w:ascii="Times New Roman" w:hAnsi="Times New Roman"/>
          <w:sz w:val="24"/>
          <w:szCs w:val="24"/>
        </w:rPr>
        <w:t>The wedge between output and input tariffs has become unusually large</w:t>
      </w:r>
      <w:r w:rsidR="001F49AD">
        <w:rPr>
          <w:rFonts w:ascii="Times New Roman" w:hAnsi="Times New Roman"/>
          <w:sz w:val="24"/>
          <w:szCs w:val="24"/>
        </w:rPr>
        <w:t>, unlike that in any other</w:t>
      </w:r>
      <w:r w:rsidR="009C3FAB">
        <w:rPr>
          <w:rFonts w:ascii="Times New Roman" w:hAnsi="Times New Roman"/>
          <w:sz w:val="24"/>
          <w:szCs w:val="24"/>
        </w:rPr>
        <w:t xml:space="preserve"> </w:t>
      </w:r>
      <w:r w:rsidR="001F49AD">
        <w:rPr>
          <w:rFonts w:ascii="Times New Roman" w:hAnsi="Times New Roman"/>
          <w:sz w:val="24"/>
          <w:szCs w:val="24"/>
        </w:rPr>
        <w:t>country (Fig</w:t>
      </w:r>
      <w:r w:rsidR="00583D6C">
        <w:rPr>
          <w:rFonts w:ascii="Times New Roman" w:hAnsi="Times New Roman"/>
          <w:sz w:val="24"/>
          <w:szCs w:val="24"/>
        </w:rPr>
        <w:t>ure</w:t>
      </w:r>
      <w:r w:rsidR="001F49AD">
        <w:rPr>
          <w:rFonts w:ascii="Times New Roman" w:hAnsi="Times New Roman"/>
          <w:sz w:val="24"/>
          <w:szCs w:val="24"/>
        </w:rPr>
        <w:t>.1</w:t>
      </w:r>
      <w:r w:rsidR="00583D6C">
        <w:rPr>
          <w:rFonts w:ascii="Times New Roman" w:hAnsi="Times New Roman"/>
          <w:sz w:val="24"/>
          <w:szCs w:val="24"/>
        </w:rPr>
        <w:t>0</w:t>
      </w:r>
      <w:r w:rsidR="001F49AD">
        <w:rPr>
          <w:rFonts w:ascii="Times New Roman" w:hAnsi="Times New Roman"/>
          <w:sz w:val="24"/>
          <w:szCs w:val="24"/>
        </w:rPr>
        <w:t xml:space="preserve">). What is seldom recognized is that this trend of </w:t>
      </w:r>
      <w:r w:rsidR="001F49AD">
        <w:rPr>
          <w:rFonts w:ascii="Times New Roman" w:hAnsi="Times New Roman"/>
          <w:sz w:val="24"/>
          <w:szCs w:val="24"/>
        </w:rPr>
        <w:lastRenderedPageBreak/>
        <w:t>input and output tariffs is unique for Bangladesh and deviates far from the pattern followed by the high-performing economies in East Asia.</w:t>
      </w:r>
    </w:p>
    <w:p w14:paraId="0218AF48" w14:textId="2E63152A" w:rsidR="00AA2438" w:rsidRDefault="009C3FAB" w:rsidP="002056F2">
      <w:pPr>
        <w:pStyle w:val="Heading5"/>
        <w:rPr>
          <w:rFonts w:eastAsia="Times New Roman"/>
        </w:rPr>
      </w:pPr>
      <w:bookmarkStart w:id="68" w:name="_Toc496536544"/>
      <w:r w:rsidRPr="00774295">
        <w:rPr>
          <w:rFonts w:eastAsia="Times New Roman"/>
        </w:rPr>
        <w:t>Figure</w:t>
      </w:r>
      <w:r w:rsidR="002056F2">
        <w:rPr>
          <w:rFonts w:eastAsia="Times New Roman"/>
        </w:rPr>
        <w:t xml:space="preserve"> </w:t>
      </w:r>
      <w:r w:rsidR="00365335">
        <w:rPr>
          <w:rFonts w:eastAsia="Times New Roman"/>
        </w:rPr>
        <w:t>10</w:t>
      </w:r>
      <w:r w:rsidRPr="00774295">
        <w:rPr>
          <w:rFonts w:eastAsia="Times New Roman"/>
        </w:rPr>
        <w:t>: Trends in Outpu</w:t>
      </w:r>
      <w:r w:rsidR="00AA2438">
        <w:rPr>
          <w:rFonts w:eastAsia="Times New Roman"/>
        </w:rPr>
        <w:t>t and Input Tariffs: Bangladesh</w:t>
      </w:r>
      <w:bookmarkEnd w:id="68"/>
    </w:p>
    <w:p w14:paraId="423E82B4" w14:textId="28C4D40F" w:rsidR="00BF27B7" w:rsidRDefault="00BF27B7" w:rsidP="000A7B56">
      <w:pPr>
        <w:spacing w:after="0"/>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1552" behindDoc="0" locked="0" layoutInCell="1" allowOverlap="1" wp14:anchorId="460B16AE" wp14:editId="513B54D4">
                <wp:simplePos x="0" y="0"/>
                <wp:positionH relativeFrom="column">
                  <wp:posOffset>2238375</wp:posOffset>
                </wp:positionH>
                <wp:positionV relativeFrom="paragraph">
                  <wp:posOffset>1758950</wp:posOffset>
                </wp:positionV>
                <wp:extent cx="1924050" cy="2381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9240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B183D" w14:textId="77777777" w:rsidR="00BF4C93" w:rsidRPr="00494A53" w:rsidRDefault="00BF4C93" w:rsidP="00BF27B7">
                            <w:pPr>
                              <w:spacing w:after="0"/>
                              <w:jc w:val="center"/>
                              <w:rPr>
                                <w:rFonts w:cstheme="minorHAnsi"/>
                                <w:b/>
                              </w:rPr>
                            </w:pPr>
                            <w:r w:rsidRPr="00494A53">
                              <w:rPr>
                                <w:rFonts w:cstheme="minorHAnsi"/>
                                <w:b/>
                              </w:rPr>
                              <w:t>Bangladesh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B16AE" id="Text Box 31" o:spid="_x0000_s1030" type="#_x0000_t202" style="position:absolute;left:0;text-align:left;margin-left:176.25pt;margin-top:138.5pt;width:151.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" filled="f" stroked="f" strokeweight=".5pt">
                <v:textbox>
                  <w:txbxContent>
                    <w:p w14:paraId="786B183D" w14:textId="77777777" w:rsidR="00BF4C93" w:rsidRPr="00494A53" w:rsidRDefault="00BF4C93" w:rsidP="00BF27B7">
                      <w:pPr>
                        <w:spacing w:after="0"/>
                        <w:jc w:val="center"/>
                        <w:rPr>
                          <w:rFonts w:cstheme="minorHAnsi"/>
                          <w:b/>
                        </w:rPr>
                      </w:pPr>
                      <w:r w:rsidRPr="00494A53">
                        <w:rPr>
                          <w:rFonts w:cstheme="minorHAnsi"/>
                          <w:b/>
                        </w:rPr>
                        <w:t>Bangladesh</w:t>
                      </w:r>
                    </w:p>
                  </w:txbxContent>
                </v:textbox>
              </v:shape>
            </w:pict>
          </mc:Fallback>
        </mc:AlternateContent>
      </w:r>
      <w:r>
        <w:rPr>
          <w:noProof/>
        </w:rPr>
        <w:drawing>
          <wp:inline distT="0" distB="0" distL="0" distR="0" wp14:anchorId="7CB6165A" wp14:editId="786A4DCF">
            <wp:extent cx="3888000" cy="2088000"/>
            <wp:effectExtent l="0" t="0" r="0" b="762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C2CB078" w14:textId="7A4972FA" w:rsidR="00BF27B7" w:rsidRDefault="00BF27B7" w:rsidP="000A7B56">
      <w:pPr>
        <w:spacing w:after="240"/>
        <w:ind w:left="1440" w:firstLine="720"/>
        <w:jc w:val="both"/>
        <w:rPr>
          <w:rFonts w:ascii="Times New Roman" w:hAnsi="Times New Roman"/>
          <w:b/>
          <w:i/>
        </w:rPr>
      </w:pPr>
      <w:r w:rsidRPr="00774295">
        <w:rPr>
          <w:rFonts w:ascii="Times New Roman" w:hAnsi="Times New Roman"/>
          <w:b/>
          <w:i/>
        </w:rPr>
        <w:t xml:space="preserve">Source: </w:t>
      </w:r>
      <w:r>
        <w:rPr>
          <w:rFonts w:ascii="Times New Roman" w:hAnsi="Times New Roman"/>
          <w:b/>
          <w:i/>
        </w:rPr>
        <w:t xml:space="preserve">NBR; </w:t>
      </w:r>
      <w:r w:rsidRPr="00774295">
        <w:rPr>
          <w:rFonts w:ascii="Times New Roman" w:hAnsi="Times New Roman"/>
          <w:b/>
          <w:i/>
        </w:rPr>
        <w:t>WITS Database, World Bank</w:t>
      </w:r>
    </w:p>
    <w:p w14:paraId="5AE6F111" w14:textId="611EBA2B" w:rsidR="00D77992" w:rsidRPr="00A51CF0" w:rsidRDefault="00D77992" w:rsidP="00A51CF0">
      <w:pPr>
        <w:pStyle w:val="NormalWeb"/>
        <w:spacing w:before="0" w:beforeAutospacing="0" w:after="240" w:afterAutospacing="0" w:line="276" w:lineRule="auto"/>
        <w:jc w:val="both"/>
        <w:rPr>
          <w:bCs/>
        </w:rPr>
      </w:pPr>
      <w:r w:rsidRPr="00A51CF0">
        <w:rPr>
          <w:bCs/>
        </w:rPr>
        <w:t xml:space="preserve">The common perception is that reduction in input tariffs while keeping output tariffs high makes domestic production of import substitutes more competitive. But the net outcome of this process is higher effective protection to domestic producers over time yielding windfall profits simply through tariffs and without any improvement in productivity or competitiveness. </w:t>
      </w:r>
      <w:r w:rsidR="001F49AD" w:rsidRPr="00A51CF0">
        <w:rPr>
          <w:bCs/>
        </w:rPr>
        <w:t xml:space="preserve">This simply cannot be a long-term protection strategy for an economy seeking a productive and competitive industrial sector of the future. </w:t>
      </w:r>
    </w:p>
    <w:p w14:paraId="308B41C5" w14:textId="116ECAF3" w:rsidR="00F30C67" w:rsidRPr="00A51CF0" w:rsidRDefault="00F30C67" w:rsidP="00A51CF0">
      <w:pPr>
        <w:pStyle w:val="NormalWeb"/>
        <w:spacing w:before="0" w:beforeAutospacing="0" w:after="240" w:afterAutospacing="0" w:line="276" w:lineRule="auto"/>
        <w:jc w:val="both"/>
        <w:rPr>
          <w:bCs/>
        </w:rPr>
      </w:pPr>
      <w:r w:rsidRPr="00A51CF0">
        <w:rPr>
          <w:bCs/>
        </w:rPr>
        <w:t>Fig</w:t>
      </w:r>
      <w:r w:rsidR="008874C2" w:rsidRPr="00A51CF0">
        <w:rPr>
          <w:bCs/>
        </w:rPr>
        <w:t>ure</w:t>
      </w:r>
      <w:r w:rsidRPr="00A51CF0">
        <w:rPr>
          <w:bCs/>
        </w:rPr>
        <w:t>.</w:t>
      </w:r>
      <w:r w:rsidR="008874C2" w:rsidRPr="00A51CF0">
        <w:rPr>
          <w:bCs/>
        </w:rPr>
        <w:t xml:space="preserve">11 </w:t>
      </w:r>
      <w:r w:rsidRPr="00A51CF0">
        <w:rPr>
          <w:bCs/>
        </w:rPr>
        <w:t xml:space="preserve">presents trends in output and input tariffs over two decades for the four high-performing economies of East Asia. Without exception, all countries have pursued a policy of commensurately lowering output tariffs as they lowered input tariffs. </w:t>
      </w:r>
      <w:r w:rsidR="00A03D13" w:rsidRPr="00A51CF0">
        <w:rPr>
          <w:bCs/>
        </w:rPr>
        <w:t>Not even other developing countries which liberalized trade over decades showed such proclivity for tariff dispersion (Fig</w:t>
      </w:r>
      <w:r w:rsidR="00583D6C" w:rsidRPr="00A51CF0">
        <w:rPr>
          <w:bCs/>
        </w:rPr>
        <w:t>ure</w:t>
      </w:r>
      <w:r w:rsidR="00A03D13" w:rsidRPr="00A51CF0">
        <w:rPr>
          <w:bCs/>
        </w:rPr>
        <w:t>.</w:t>
      </w:r>
      <w:r w:rsidR="00016C7A" w:rsidRPr="00A51CF0">
        <w:rPr>
          <w:bCs/>
        </w:rPr>
        <w:t>1</w:t>
      </w:r>
      <w:r w:rsidR="002D1649" w:rsidRPr="00A51CF0">
        <w:rPr>
          <w:bCs/>
        </w:rPr>
        <w:t>2</w:t>
      </w:r>
      <w:r w:rsidR="00583D6C" w:rsidRPr="00A51CF0">
        <w:rPr>
          <w:bCs/>
        </w:rPr>
        <w:t xml:space="preserve"> </w:t>
      </w:r>
      <w:r w:rsidR="00A03D13" w:rsidRPr="00A51CF0">
        <w:rPr>
          <w:bCs/>
        </w:rPr>
        <w:t xml:space="preserve">for Vietnam, India). Besides, the divergence between input and output tariffs were nowhere near the exorbitant levels seen in Bangladesh. </w:t>
      </w:r>
      <w:r w:rsidRPr="00A51CF0">
        <w:rPr>
          <w:bCs/>
        </w:rPr>
        <w:t>Clearly, this is a long-term strategy of lowering effective protection to import substitute production with a view to improving efficiency and global competitiveness – as trade theory would suggest. This is also a strategy for elimination of anti-export bias of tariff policy which has yielded good results in that all of the countries in question have been able to transform import substitute industries for export production, or create new export-oriented industries, resulting in substantial increase</w:t>
      </w:r>
      <w:r w:rsidR="00A03D13" w:rsidRPr="00A51CF0">
        <w:rPr>
          <w:bCs/>
        </w:rPr>
        <w:t xml:space="preserve"> in export-GDP ratio over time (Table</w:t>
      </w:r>
      <w:r w:rsidR="003C2997" w:rsidRPr="00A51CF0">
        <w:rPr>
          <w:bCs/>
        </w:rPr>
        <w:t>.10</w:t>
      </w:r>
      <w:r w:rsidR="00A03D13" w:rsidRPr="00A51CF0">
        <w:rPr>
          <w:bCs/>
        </w:rPr>
        <w:t>))</w:t>
      </w:r>
      <w:r w:rsidRPr="00A51CF0">
        <w:rPr>
          <w:bCs/>
        </w:rPr>
        <w:t xml:space="preserve">. </w:t>
      </w:r>
    </w:p>
    <w:p w14:paraId="101FDE5C" w14:textId="77777777" w:rsidR="00D75275" w:rsidRDefault="00D75275">
      <w:pPr>
        <w:rPr>
          <w:rFonts w:ascii="Times New Roman" w:eastAsia="Times New Roman" w:hAnsi="Times New Roman" w:cs="Times New Roman"/>
          <w:b/>
          <w:sz w:val="24"/>
          <w:szCs w:val="24"/>
        </w:rPr>
      </w:pPr>
      <w:bookmarkStart w:id="69" w:name="_Hlk492481913"/>
      <w:r>
        <w:rPr>
          <w:rFonts w:eastAsia="Times New Roman"/>
        </w:rPr>
        <w:br w:type="page"/>
      </w:r>
    </w:p>
    <w:p w14:paraId="54D7180B" w14:textId="46679DDC" w:rsidR="009C3FAB" w:rsidRDefault="009C3FAB" w:rsidP="002056F2">
      <w:pPr>
        <w:pStyle w:val="Heading5"/>
        <w:rPr>
          <w:rFonts w:eastAsia="Times New Roman"/>
        </w:rPr>
      </w:pPr>
      <w:bookmarkStart w:id="70" w:name="_Toc496536545"/>
      <w:r w:rsidRPr="00774295">
        <w:rPr>
          <w:rFonts w:eastAsia="Times New Roman"/>
        </w:rPr>
        <w:lastRenderedPageBreak/>
        <w:t>Figure</w:t>
      </w:r>
      <w:r w:rsidR="002056F2">
        <w:rPr>
          <w:rFonts w:eastAsia="Times New Roman"/>
        </w:rPr>
        <w:t xml:space="preserve"> </w:t>
      </w:r>
      <w:r w:rsidR="00583D6C">
        <w:rPr>
          <w:rFonts w:eastAsia="Times New Roman"/>
        </w:rPr>
        <w:t>11</w:t>
      </w:r>
      <w:r w:rsidRPr="00774295">
        <w:rPr>
          <w:rFonts w:eastAsia="Times New Roman"/>
        </w:rPr>
        <w:t xml:space="preserve">: Trends in Output and Input Tariffs: </w:t>
      </w:r>
      <w:r>
        <w:rPr>
          <w:rFonts w:eastAsia="Times New Roman"/>
        </w:rPr>
        <w:t>High-performing economies</w:t>
      </w:r>
      <w:bookmarkEnd w:id="70"/>
    </w:p>
    <w:tbl>
      <w:tblPr>
        <w:tblStyle w:val="TableGrid"/>
        <w:tblW w:w="5039"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firstRow="1" w:lastRow="0" w:firstColumn="1" w:lastColumn="0" w:noHBand="0" w:noVBand="1"/>
      </w:tblPr>
      <w:tblGrid>
        <w:gridCol w:w="4802"/>
        <w:gridCol w:w="4621"/>
      </w:tblGrid>
      <w:tr w:rsidR="009C3FAB" w:rsidRPr="00774295" w14:paraId="66DC6A4F" w14:textId="77777777" w:rsidTr="00D40915">
        <w:trPr>
          <w:trHeight w:val="19"/>
          <w:jc w:val="center"/>
        </w:trPr>
        <w:tc>
          <w:tcPr>
            <w:tcW w:w="5000" w:type="pct"/>
            <w:gridSpan w:val="2"/>
          </w:tcPr>
          <w:p w14:paraId="5AC230F1" w14:textId="165D8019" w:rsidR="009C3FAB" w:rsidRPr="00774295" w:rsidRDefault="009C3FAB" w:rsidP="00D40915">
            <w:pPr>
              <w:spacing w:after="120"/>
              <w:jc w:val="center"/>
              <w:outlineLvl w:val="5"/>
              <w:rPr>
                <w:rFonts w:ascii="Times New Roman" w:eastAsia="Times New Roman" w:hAnsi="Times New Roman"/>
                <w:b/>
                <w:bCs/>
                <w:i/>
                <w:iCs/>
                <w:sz w:val="24"/>
              </w:rPr>
            </w:pPr>
          </w:p>
        </w:tc>
      </w:tr>
      <w:tr w:rsidR="009C3FAB" w:rsidRPr="00774295" w14:paraId="714D9875" w14:textId="77777777" w:rsidTr="00D40915">
        <w:trPr>
          <w:trHeight w:val="19"/>
          <w:jc w:val="center"/>
        </w:trPr>
        <w:tc>
          <w:tcPr>
            <w:tcW w:w="2548" w:type="pct"/>
          </w:tcPr>
          <w:p w14:paraId="30E753F5" w14:textId="77777777" w:rsidR="009C3FAB" w:rsidRPr="00774295" w:rsidRDefault="009C3FAB" w:rsidP="009C3FAB">
            <w:r>
              <w:rPr>
                <w:noProof/>
              </w:rPr>
              <w:drawing>
                <wp:inline distT="0" distB="0" distL="0" distR="0" wp14:anchorId="649AE058" wp14:editId="249D7F04">
                  <wp:extent cx="2834640" cy="1828800"/>
                  <wp:effectExtent l="0" t="0" r="381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2452" w:type="pct"/>
          </w:tcPr>
          <w:p w14:paraId="358CB020" w14:textId="77777777" w:rsidR="009C3FAB" w:rsidRPr="00774295" w:rsidRDefault="009C3FAB" w:rsidP="009C3FAB">
            <w:r>
              <w:rPr>
                <w:noProof/>
              </w:rPr>
              <w:drawing>
                <wp:inline distT="0" distB="0" distL="0" distR="0" wp14:anchorId="491E7746" wp14:editId="30D28276">
                  <wp:extent cx="2743200" cy="177165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9C3FAB" w:rsidRPr="00774295" w14:paraId="727D66C6" w14:textId="77777777" w:rsidTr="00D40915">
        <w:trPr>
          <w:trHeight w:val="19"/>
          <w:jc w:val="center"/>
        </w:trPr>
        <w:tc>
          <w:tcPr>
            <w:tcW w:w="2548" w:type="pct"/>
          </w:tcPr>
          <w:p w14:paraId="48DEC2BB" w14:textId="77777777" w:rsidR="009C3FAB" w:rsidRPr="00774295" w:rsidRDefault="009C3FAB" w:rsidP="009C3FAB">
            <w:pPr>
              <w:jc w:val="center"/>
              <w:rPr>
                <w:b/>
              </w:rPr>
            </w:pPr>
            <w:r w:rsidRPr="00774295">
              <w:rPr>
                <w:b/>
              </w:rPr>
              <w:t>Malaysia</w:t>
            </w:r>
          </w:p>
        </w:tc>
        <w:tc>
          <w:tcPr>
            <w:tcW w:w="2452" w:type="pct"/>
          </w:tcPr>
          <w:p w14:paraId="24E14E16" w14:textId="77777777" w:rsidR="009C3FAB" w:rsidRPr="00774295" w:rsidRDefault="009C3FAB" w:rsidP="009C3FAB">
            <w:pPr>
              <w:jc w:val="center"/>
              <w:rPr>
                <w:b/>
              </w:rPr>
            </w:pPr>
            <w:r w:rsidRPr="00774295">
              <w:rPr>
                <w:b/>
              </w:rPr>
              <w:t>Thailand</w:t>
            </w:r>
          </w:p>
        </w:tc>
      </w:tr>
      <w:tr w:rsidR="009C3FAB" w:rsidRPr="00774295" w14:paraId="092CE5A8" w14:textId="77777777" w:rsidTr="00D40915">
        <w:trPr>
          <w:trHeight w:val="19"/>
          <w:jc w:val="center"/>
        </w:trPr>
        <w:tc>
          <w:tcPr>
            <w:tcW w:w="2548" w:type="pct"/>
          </w:tcPr>
          <w:p w14:paraId="4FDCB064" w14:textId="77777777" w:rsidR="009C3FAB" w:rsidRPr="00774295" w:rsidRDefault="009C3FAB" w:rsidP="009C3FAB">
            <w:r>
              <w:rPr>
                <w:noProof/>
              </w:rPr>
              <w:drawing>
                <wp:inline distT="0" distB="0" distL="0" distR="0" wp14:anchorId="16E3AE07" wp14:editId="37980F1F">
                  <wp:extent cx="2838450" cy="1638300"/>
                  <wp:effectExtent l="0" t="0" r="1905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2452" w:type="pct"/>
          </w:tcPr>
          <w:p w14:paraId="6067CCE9" w14:textId="77777777" w:rsidR="009C3FAB" w:rsidRPr="00774295" w:rsidRDefault="009C3FAB" w:rsidP="009C3FAB">
            <w:r>
              <w:rPr>
                <w:noProof/>
              </w:rPr>
              <w:drawing>
                <wp:inline distT="0" distB="0" distL="0" distR="0" wp14:anchorId="5F88E42A" wp14:editId="21A5F92D">
                  <wp:extent cx="2743200" cy="1638300"/>
                  <wp:effectExtent l="0" t="0" r="1905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9C3FAB" w:rsidRPr="00774295" w14:paraId="4D341C03" w14:textId="77777777" w:rsidTr="00D40915">
        <w:trPr>
          <w:trHeight w:val="19"/>
          <w:jc w:val="center"/>
        </w:trPr>
        <w:tc>
          <w:tcPr>
            <w:tcW w:w="2548" w:type="pct"/>
          </w:tcPr>
          <w:p w14:paraId="1A731DCC" w14:textId="77777777" w:rsidR="009C3FAB" w:rsidRPr="00774295" w:rsidRDefault="009C3FAB" w:rsidP="009C3FAB">
            <w:pPr>
              <w:jc w:val="center"/>
              <w:rPr>
                <w:b/>
              </w:rPr>
            </w:pPr>
            <w:r>
              <w:rPr>
                <w:b/>
              </w:rPr>
              <w:t>South Korea</w:t>
            </w:r>
          </w:p>
        </w:tc>
        <w:tc>
          <w:tcPr>
            <w:tcW w:w="2452" w:type="pct"/>
          </w:tcPr>
          <w:p w14:paraId="4D4AE4B0" w14:textId="77777777" w:rsidR="009C3FAB" w:rsidRPr="00774295" w:rsidRDefault="009C3FAB" w:rsidP="009C3FAB">
            <w:pPr>
              <w:jc w:val="center"/>
              <w:rPr>
                <w:b/>
              </w:rPr>
            </w:pPr>
            <w:r>
              <w:rPr>
                <w:b/>
              </w:rPr>
              <w:t>Taiwan (China)</w:t>
            </w:r>
          </w:p>
        </w:tc>
      </w:tr>
    </w:tbl>
    <w:p w14:paraId="63238464" w14:textId="77777777" w:rsidR="009C3FAB" w:rsidRPr="00324FDF" w:rsidRDefault="009C3FAB" w:rsidP="009C3FAB">
      <w:pPr>
        <w:spacing w:after="240"/>
        <w:jc w:val="both"/>
      </w:pPr>
      <w:r w:rsidRPr="00774295">
        <w:rPr>
          <w:rFonts w:ascii="Times New Roman" w:hAnsi="Times New Roman"/>
          <w:b/>
          <w:i/>
        </w:rPr>
        <w:t>Source: WITS Database, World Bank</w:t>
      </w:r>
    </w:p>
    <w:p w14:paraId="6B7BFEE9" w14:textId="60234B8F" w:rsidR="00D77992" w:rsidRDefault="00F30C67" w:rsidP="002056F2">
      <w:pPr>
        <w:pStyle w:val="Heading5"/>
      </w:pPr>
      <w:bookmarkStart w:id="71" w:name="_Toc390336436"/>
      <w:bookmarkStart w:id="72" w:name="_Toc404442130"/>
      <w:bookmarkStart w:id="73" w:name="_Toc496536546"/>
      <w:r>
        <w:t>Figure</w:t>
      </w:r>
      <w:r w:rsidR="002056F2">
        <w:t xml:space="preserve"> </w:t>
      </w:r>
      <w:r w:rsidR="002D1649">
        <w:t>12</w:t>
      </w:r>
      <w:r w:rsidR="00D77992" w:rsidRPr="00D40C74">
        <w:t>: Trends in Output and Input Tariffs:</w:t>
      </w:r>
      <w:r w:rsidR="00AA2438">
        <w:t xml:space="preserve"> Vietnam</w:t>
      </w:r>
      <w:r w:rsidR="00D77992" w:rsidRPr="00D40C74">
        <w:t xml:space="preserve"> and India</w:t>
      </w:r>
      <w:bookmarkEnd w:id="71"/>
      <w:bookmarkEnd w:id="72"/>
      <w:bookmarkEnd w:id="73"/>
    </w:p>
    <w:p w14:paraId="4C8D2EB7" w14:textId="652E9068" w:rsidR="00F2186B" w:rsidRDefault="00AB43A0" w:rsidP="000A7B56">
      <w:pPr>
        <w:tabs>
          <w:tab w:val="left" w:pos="2430"/>
        </w:tabs>
        <w:jc w:val="center"/>
      </w:pPr>
      <w:r>
        <w:rPr>
          <w:rFonts w:ascii="Times New Roman" w:hAnsi="Times New Roman"/>
          <w:noProof/>
          <w:sz w:val="24"/>
          <w:szCs w:val="24"/>
        </w:rPr>
        <mc:AlternateContent>
          <mc:Choice Requires="wps">
            <w:drawing>
              <wp:anchor distT="0" distB="0" distL="114300" distR="114300" simplePos="0" relativeHeight="251682816" behindDoc="0" locked="0" layoutInCell="1" allowOverlap="1" wp14:anchorId="2C44346E" wp14:editId="04E43D2E">
                <wp:simplePos x="0" y="0"/>
                <wp:positionH relativeFrom="margin">
                  <wp:posOffset>666750</wp:posOffset>
                </wp:positionH>
                <wp:positionV relativeFrom="paragraph">
                  <wp:posOffset>1873692</wp:posOffset>
                </wp:positionV>
                <wp:extent cx="1714500" cy="23812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1714500" cy="238125"/>
                        </a:xfrm>
                        <a:prstGeom prst="rect">
                          <a:avLst/>
                        </a:prstGeom>
                        <a:noFill/>
                        <a:ln w="6350">
                          <a:solidFill>
                            <a:schemeClr val="bg1"/>
                          </a:solidFill>
                        </a:ln>
                        <a:effectLst/>
                      </wps:spPr>
                      <wps:txbx>
                        <w:txbxContent>
                          <w:p w14:paraId="0E143418" w14:textId="77777777" w:rsidR="00BF4C93" w:rsidRPr="00494A53" w:rsidRDefault="00BF4C93" w:rsidP="00F2186B">
                            <w:pPr>
                              <w:jc w:val="center"/>
                              <w:rPr>
                                <w:rFonts w:cstheme="minorHAnsi"/>
                                <w:b/>
                              </w:rPr>
                            </w:pPr>
                            <w:r w:rsidRPr="00494A53">
                              <w:rPr>
                                <w:rFonts w:cstheme="minorHAnsi"/>
                                <w:b/>
                              </w:rPr>
                              <w:t>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4346E" id="Text Box 30" o:spid="_x0000_s1031" type="#_x0000_t202" style="position:absolute;left:0;text-align:left;margin-left:52.5pt;margin-top:147.55pt;width:135pt;height:18.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" filled="f" strokecolor="white [3212]" strokeweight=".5pt">
                <v:textbox>
                  <w:txbxContent>
                    <w:p w14:paraId="0E143418" w14:textId="77777777" w:rsidR="00BF4C93" w:rsidRPr="00494A53" w:rsidRDefault="00BF4C93" w:rsidP="00F2186B">
                      <w:pPr>
                        <w:jc w:val="center"/>
                        <w:rPr>
                          <w:rFonts w:cstheme="minorHAnsi"/>
                          <w:b/>
                        </w:rPr>
                      </w:pPr>
                      <w:r w:rsidRPr="00494A53">
                        <w:rPr>
                          <w:rFonts w:cstheme="minorHAnsi"/>
                          <w:b/>
                        </w:rPr>
                        <w:t>India</w:t>
                      </w:r>
                    </w:p>
                  </w:txbxContent>
                </v:textbox>
                <w10:wrap anchorx="margin"/>
              </v:shape>
            </w:pict>
          </mc:Fallback>
        </mc:AlternateContent>
      </w:r>
      <w:r w:rsidR="000A7B56">
        <w:rPr>
          <w:rFonts w:ascii="Times New Roman" w:hAnsi="Times New Roman"/>
          <w:noProof/>
          <w:sz w:val="24"/>
          <w:szCs w:val="24"/>
        </w:rPr>
        <mc:AlternateContent>
          <mc:Choice Requires="wps">
            <w:drawing>
              <wp:anchor distT="0" distB="0" distL="114300" distR="114300" simplePos="0" relativeHeight="251683840" behindDoc="0" locked="0" layoutInCell="1" allowOverlap="1" wp14:anchorId="3403E5F1" wp14:editId="4666C790">
                <wp:simplePos x="0" y="0"/>
                <wp:positionH relativeFrom="column">
                  <wp:posOffset>3696335</wp:posOffset>
                </wp:positionH>
                <wp:positionV relativeFrom="paragraph">
                  <wp:posOffset>1907770</wp:posOffset>
                </wp:positionV>
                <wp:extent cx="1838325" cy="217859"/>
                <wp:effectExtent l="0" t="0" r="28575" b="10795"/>
                <wp:wrapNone/>
                <wp:docPr id="34" name="Text Box 34"/>
                <wp:cNvGraphicFramePr/>
                <a:graphic xmlns:a="http://schemas.openxmlformats.org/drawingml/2006/main">
                  <a:graphicData uri="http://schemas.microsoft.com/office/word/2010/wordprocessingShape">
                    <wps:wsp>
                      <wps:cNvSpPr txBox="1"/>
                      <wps:spPr>
                        <a:xfrm>
                          <a:off x="0" y="0"/>
                          <a:ext cx="1838325" cy="217859"/>
                        </a:xfrm>
                        <a:prstGeom prst="rect">
                          <a:avLst/>
                        </a:prstGeom>
                        <a:noFill/>
                        <a:ln w="6350">
                          <a:solidFill>
                            <a:schemeClr val="bg1"/>
                          </a:solidFill>
                        </a:ln>
                        <a:effectLst/>
                      </wps:spPr>
                      <wps:txbx>
                        <w:txbxContent>
                          <w:p w14:paraId="381F2781" w14:textId="77777777" w:rsidR="00BF4C93" w:rsidRPr="00494A53" w:rsidRDefault="00BF4C93" w:rsidP="00F2186B">
                            <w:pPr>
                              <w:jc w:val="center"/>
                              <w:rPr>
                                <w:rFonts w:cstheme="minorHAnsi"/>
                                <w:b/>
                              </w:rPr>
                            </w:pPr>
                            <w:r>
                              <w:rPr>
                                <w:rFonts w:cstheme="minorHAnsi"/>
                                <w:b/>
                              </w:rPr>
                              <w:t>Vietnam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03E5F1" id="Text Box 34" o:spid="_x0000_s1032" type="#_x0000_t202" style="position:absolute;left:0;text-align:left;margin-left:291.05pt;margin-top:150.2pt;width:144.75pt;height:17.1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" filled="f" strokecolor="white [3212]" strokeweight=".5pt">
                <v:textbox>
                  <w:txbxContent>
                    <w:p w14:paraId="381F2781" w14:textId="77777777" w:rsidR="00BF4C93" w:rsidRPr="00494A53" w:rsidRDefault="00BF4C93" w:rsidP="00F2186B">
                      <w:pPr>
                        <w:jc w:val="center"/>
                        <w:rPr>
                          <w:rFonts w:cstheme="minorHAnsi"/>
                          <w:b/>
                        </w:rPr>
                      </w:pPr>
                      <w:r>
                        <w:rPr>
                          <w:rFonts w:cstheme="minorHAnsi"/>
                          <w:b/>
                        </w:rPr>
                        <w:t>Vietnam</w:t>
                      </w:r>
                    </w:p>
                  </w:txbxContent>
                </v:textbox>
              </v:shape>
            </w:pict>
          </mc:Fallback>
        </mc:AlternateContent>
      </w:r>
      <w:r w:rsidR="000A7B56">
        <w:rPr>
          <w:noProof/>
        </w:rPr>
        <mc:AlternateContent>
          <mc:Choice Requires="wps">
            <w:drawing>
              <wp:inline distT="0" distB="0" distL="0" distR="0" wp14:anchorId="51490FF9" wp14:editId="297AB7CB">
                <wp:extent cx="2752725" cy="2160000"/>
                <wp:effectExtent l="0" t="0" r="28575" b="12065"/>
                <wp:docPr id="29" name="Text Box 29"/>
                <wp:cNvGraphicFramePr/>
                <a:graphic xmlns:a="http://schemas.openxmlformats.org/drawingml/2006/main">
                  <a:graphicData uri="http://schemas.microsoft.com/office/word/2010/wordprocessingShape">
                    <wps:wsp>
                      <wps:cNvSpPr txBox="1"/>
                      <wps:spPr>
                        <a:xfrm>
                          <a:off x="0" y="0"/>
                          <a:ext cx="2752725" cy="21600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8EAEFC7" w14:textId="77777777" w:rsidR="00BF4C93" w:rsidRDefault="00BF4C93" w:rsidP="00F2186B">
                            <w:r>
                              <w:rPr>
                                <w:noProof/>
                              </w:rPr>
                              <w:drawing>
                                <wp:inline distT="0" distB="0" distL="0" distR="0" wp14:anchorId="37FD4A02" wp14:editId="1D915607">
                                  <wp:extent cx="2638425" cy="176212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490FF9" id="Text Box 29" o:spid="_x0000_s1033" type="#_x0000_t202" style="width:216.75pt;height:17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" fillcolor="white [3201]" strokecolor="black [3213]" strokeweight=".5pt">
                <v:textbox>
                  <w:txbxContent>
                    <w:p w14:paraId="08EAEFC7" w14:textId="77777777" w:rsidR="00BF4C93" w:rsidRDefault="00BF4C93" w:rsidP="00F2186B">
                      <w:r>
                        <w:rPr>
                          <w:noProof/>
                        </w:rPr>
                        <w:drawing>
                          <wp:inline distT="0" distB="0" distL="0" distR="0" wp14:anchorId="37FD4A02" wp14:editId="1D915607">
                            <wp:extent cx="2638425" cy="176212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xbxContent>
                </v:textbox>
                <w10:anchorlock/>
              </v:shape>
            </w:pict>
          </mc:Fallback>
        </mc:AlternateContent>
      </w:r>
      <w:r w:rsidR="00F2186B">
        <w:rPr>
          <w:noProof/>
        </w:rPr>
        <mc:AlternateContent>
          <mc:Choice Requires="wps">
            <w:drawing>
              <wp:inline distT="0" distB="0" distL="0" distR="0" wp14:anchorId="18C34D82" wp14:editId="63E9B831">
                <wp:extent cx="2834640" cy="2160000"/>
                <wp:effectExtent l="0" t="0" r="22860" b="12065"/>
                <wp:docPr id="36" name="Text Box 36"/>
                <wp:cNvGraphicFramePr/>
                <a:graphic xmlns:a="http://schemas.openxmlformats.org/drawingml/2006/main">
                  <a:graphicData uri="http://schemas.microsoft.com/office/word/2010/wordprocessingShape">
                    <wps:wsp>
                      <wps:cNvSpPr txBox="1"/>
                      <wps:spPr>
                        <a:xfrm>
                          <a:off x="0" y="0"/>
                          <a:ext cx="2834640" cy="21600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E3B4ED7" w14:textId="77777777" w:rsidR="00BF4C93" w:rsidRDefault="00BF4C93" w:rsidP="000A7B56">
                            <w:r>
                              <w:rPr>
                                <w:noProof/>
                              </w:rPr>
                              <w:drawing>
                                <wp:inline distT="0" distB="0" distL="0" distR="0" wp14:anchorId="644C52D0" wp14:editId="19F76F7C">
                                  <wp:extent cx="2647950" cy="17907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C34D82" id="Text Box 36" o:spid="_x0000_s1034" type="#_x0000_t202" style="width:223.2pt;height:17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" fillcolor="white [3201]" strokecolor="black [3213]" strokeweight=".5pt">
                <v:textbox>
                  <w:txbxContent>
                    <w:p w14:paraId="1E3B4ED7" w14:textId="77777777" w:rsidR="00BF4C93" w:rsidRDefault="00BF4C93" w:rsidP="000A7B56">
                      <w:r>
                        <w:rPr>
                          <w:noProof/>
                        </w:rPr>
                        <w:drawing>
                          <wp:inline distT="0" distB="0" distL="0" distR="0" wp14:anchorId="644C52D0" wp14:editId="19F76F7C">
                            <wp:extent cx="2647950" cy="17907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xbxContent>
                </v:textbox>
                <w10:anchorlock/>
              </v:shape>
            </w:pict>
          </mc:Fallback>
        </mc:AlternateContent>
      </w:r>
    </w:p>
    <w:p w14:paraId="0BB91B2E" w14:textId="7523C099" w:rsidR="00D75275" w:rsidRDefault="00D75275">
      <w:pPr>
        <w:rPr>
          <w:rFonts w:ascii="Times New Roman" w:hAnsi="Times New Roman" w:cs="Times New Roman"/>
          <w:b/>
        </w:rPr>
      </w:pPr>
      <w:r>
        <w:rPr>
          <w:rFonts w:ascii="Times New Roman" w:hAnsi="Times New Roman" w:cs="Times New Roman"/>
          <w:b/>
        </w:rPr>
        <w:br w:type="page"/>
      </w:r>
    </w:p>
    <w:p w14:paraId="77A09DBF" w14:textId="77777777" w:rsidR="00184DD5" w:rsidRPr="00D40C74" w:rsidRDefault="00184DD5" w:rsidP="00D40C74">
      <w:pPr>
        <w:spacing w:after="0"/>
        <w:jc w:val="center"/>
        <w:rPr>
          <w:rFonts w:ascii="Times New Roman" w:hAnsi="Times New Roman" w:cs="Times New Roman"/>
          <w:b/>
        </w:rPr>
      </w:pPr>
    </w:p>
    <w:tbl>
      <w:tblPr>
        <w:tblW w:w="7546" w:type="dxa"/>
        <w:jc w:val="center"/>
        <w:tblLook w:val="04A0" w:firstRow="1" w:lastRow="0" w:firstColumn="1" w:lastColumn="0" w:noHBand="0" w:noVBand="1"/>
      </w:tblPr>
      <w:tblGrid>
        <w:gridCol w:w="3197"/>
        <w:gridCol w:w="2322"/>
        <w:gridCol w:w="2027"/>
      </w:tblGrid>
      <w:tr w:rsidR="00B33BDD" w:rsidRPr="00911D8C" w14:paraId="1812CABE" w14:textId="77777777" w:rsidTr="00970527">
        <w:trPr>
          <w:trHeight w:val="315"/>
          <w:jc w:val="center"/>
        </w:trPr>
        <w:tc>
          <w:tcPr>
            <w:tcW w:w="7546"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14:paraId="0F750A24" w14:textId="6F1A68F7" w:rsidR="00B33BDD" w:rsidRPr="00B33BDD" w:rsidRDefault="00B33BDD" w:rsidP="008654DB">
            <w:pPr>
              <w:pStyle w:val="Heading4"/>
              <w:rPr>
                <w:rFonts w:eastAsiaTheme="minorEastAsia"/>
                <w:sz w:val="20"/>
                <w:szCs w:val="20"/>
              </w:rPr>
            </w:pPr>
            <w:bookmarkStart w:id="74" w:name="_Toc496536534"/>
            <w:bookmarkEnd w:id="69"/>
            <w:r w:rsidRPr="00B33BDD">
              <w:t>Table 10: Exports of Goods and Services expressed as share (%) of GDP</w:t>
            </w:r>
            <w:bookmarkEnd w:id="74"/>
          </w:p>
        </w:tc>
      </w:tr>
      <w:tr w:rsidR="00B33BDD" w:rsidRPr="00B33BDD" w14:paraId="5B6957B3" w14:textId="77777777" w:rsidTr="00B33BDD">
        <w:trPr>
          <w:trHeight w:val="315"/>
          <w:jc w:val="center"/>
        </w:trPr>
        <w:tc>
          <w:tcPr>
            <w:tcW w:w="3197" w:type="dxa"/>
            <w:vMerge w:val="restart"/>
            <w:tcBorders>
              <w:top w:val="single" w:sz="8" w:space="0" w:color="auto"/>
              <w:left w:val="single" w:sz="8" w:space="0" w:color="auto"/>
              <w:right w:val="nil"/>
            </w:tcBorders>
            <w:shd w:val="clear" w:color="auto" w:fill="auto"/>
            <w:noWrap/>
            <w:vAlign w:val="center"/>
            <w:hideMark/>
          </w:tcPr>
          <w:p w14:paraId="3DF48732" w14:textId="35E88BFC" w:rsidR="00B33BDD" w:rsidRPr="00B33BDD" w:rsidRDefault="00B33BDD" w:rsidP="00B33BDD">
            <w:pPr>
              <w:spacing w:after="0" w:line="240" w:lineRule="auto"/>
              <w:jc w:val="center"/>
              <w:rPr>
                <w:rFonts w:ascii="Calibri" w:eastAsia="Times New Roman" w:hAnsi="Calibri" w:cs="Calibri"/>
                <w:color w:val="000000"/>
                <w:sz w:val="24"/>
              </w:rPr>
            </w:pPr>
            <w:r w:rsidRPr="00B33BDD">
              <w:rPr>
                <w:rFonts w:ascii="Times New Roman" w:eastAsia="Times New Roman" w:hAnsi="Times New Roman" w:cs="Times New Roman"/>
                <w:b/>
                <w:bCs/>
                <w:color w:val="000000"/>
                <w:sz w:val="24"/>
              </w:rPr>
              <w:t>Country</w:t>
            </w:r>
          </w:p>
        </w:tc>
        <w:tc>
          <w:tcPr>
            <w:tcW w:w="4349"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8F35DFB" w14:textId="5E64A1A6" w:rsidR="00B33BDD" w:rsidRPr="00B33BDD" w:rsidRDefault="00B33BDD" w:rsidP="008654DB">
            <w:pPr>
              <w:spacing w:after="0" w:line="240" w:lineRule="auto"/>
              <w:jc w:val="center"/>
              <w:rPr>
                <w:rFonts w:ascii="Times New Roman" w:eastAsia="Times New Roman" w:hAnsi="Times New Roman" w:cs="Times New Roman"/>
                <w:b/>
                <w:bCs/>
                <w:color w:val="000000"/>
                <w:sz w:val="24"/>
              </w:rPr>
            </w:pPr>
            <w:r w:rsidRPr="00B33BDD">
              <w:rPr>
                <w:rFonts w:ascii="Times New Roman" w:eastAsia="Times New Roman" w:hAnsi="Times New Roman" w:cs="Times New Roman"/>
                <w:b/>
                <w:bCs/>
                <w:color w:val="000000"/>
                <w:sz w:val="24"/>
              </w:rPr>
              <w:t>Year</w:t>
            </w:r>
          </w:p>
        </w:tc>
      </w:tr>
      <w:tr w:rsidR="00B33BDD" w:rsidRPr="00B33BDD" w14:paraId="5C50B611" w14:textId="77777777" w:rsidTr="008654DB">
        <w:trPr>
          <w:trHeight w:val="315"/>
          <w:jc w:val="center"/>
        </w:trPr>
        <w:tc>
          <w:tcPr>
            <w:tcW w:w="3197" w:type="dxa"/>
            <w:vMerge/>
            <w:tcBorders>
              <w:left w:val="single" w:sz="8" w:space="0" w:color="auto"/>
              <w:bottom w:val="single" w:sz="8" w:space="0" w:color="auto"/>
              <w:right w:val="nil"/>
            </w:tcBorders>
            <w:shd w:val="clear" w:color="auto" w:fill="auto"/>
            <w:noWrap/>
            <w:vAlign w:val="bottom"/>
            <w:hideMark/>
          </w:tcPr>
          <w:p w14:paraId="73564EFB" w14:textId="0B7055DC" w:rsidR="00B33BDD" w:rsidRPr="00B33BDD" w:rsidRDefault="00B33BDD" w:rsidP="00970527">
            <w:pPr>
              <w:spacing w:after="0" w:line="240" w:lineRule="auto"/>
              <w:rPr>
                <w:rFonts w:ascii="Calibri" w:eastAsia="Times New Roman" w:hAnsi="Calibri" w:cs="Calibri"/>
                <w:color w:val="000000"/>
                <w:sz w:val="24"/>
              </w:rPr>
            </w:pPr>
          </w:p>
        </w:tc>
        <w:tc>
          <w:tcPr>
            <w:tcW w:w="2322" w:type="dxa"/>
            <w:tcBorders>
              <w:top w:val="nil"/>
              <w:left w:val="nil"/>
              <w:bottom w:val="single" w:sz="8" w:space="0" w:color="auto"/>
              <w:right w:val="nil"/>
            </w:tcBorders>
            <w:shd w:val="clear" w:color="auto" w:fill="auto"/>
            <w:noWrap/>
            <w:vAlign w:val="center"/>
            <w:hideMark/>
          </w:tcPr>
          <w:p w14:paraId="5120F509" w14:textId="77777777" w:rsidR="00B33BDD" w:rsidRPr="00B33BDD" w:rsidRDefault="00B33BDD" w:rsidP="00970527">
            <w:pPr>
              <w:spacing w:after="0" w:line="240" w:lineRule="auto"/>
              <w:jc w:val="right"/>
              <w:rPr>
                <w:rFonts w:ascii="Times New Roman" w:eastAsia="Times New Roman" w:hAnsi="Times New Roman" w:cs="Times New Roman"/>
                <w:b/>
                <w:bCs/>
                <w:color w:val="000000"/>
                <w:sz w:val="24"/>
              </w:rPr>
            </w:pPr>
            <w:r w:rsidRPr="00B33BDD">
              <w:rPr>
                <w:rFonts w:ascii="Times New Roman" w:eastAsia="Times New Roman" w:hAnsi="Times New Roman" w:cs="Times New Roman"/>
                <w:b/>
                <w:bCs/>
                <w:color w:val="000000"/>
                <w:sz w:val="24"/>
              </w:rPr>
              <w:t>1970</w:t>
            </w:r>
          </w:p>
        </w:tc>
        <w:tc>
          <w:tcPr>
            <w:tcW w:w="2027" w:type="dxa"/>
            <w:tcBorders>
              <w:top w:val="nil"/>
              <w:left w:val="nil"/>
              <w:bottom w:val="single" w:sz="8" w:space="0" w:color="auto"/>
              <w:right w:val="single" w:sz="8" w:space="0" w:color="auto"/>
            </w:tcBorders>
            <w:shd w:val="clear" w:color="auto" w:fill="auto"/>
            <w:noWrap/>
            <w:vAlign w:val="center"/>
            <w:hideMark/>
          </w:tcPr>
          <w:p w14:paraId="78652BDD" w14:textId="77777777" w:rsidR="00B33BDD" w:rsidRPr="00B33BDD" w:rsidRDefault="00B33BDD" w:rsidP="00970527">
            <w:pPr>
              <w:spacing w:after="0" w:line="240" w:lineRule="auto"/>
              <w:jc w:val="right"/>
              <w:rPr>
                <w:rFonts w:ascii="Times New Roman" w:eastAsia="Times New Roman" w:hAnsi="Times New Roman" w:cs="Times New Roman"/>
                <w:b/>
                <w:bCs/>
                <w:color w:val="000000"/>
                <w:sz w:val="24"/>
              </w:rPr>
            </w:pPr>
            <w:r w:rsidRPr="00B33BDD">
              <w:rPr>
                <w:rFonts w:ascii="Times New Roman" w:eastAsia="Times New Roman" w:hAnsi="Times New Roman" w:cs="Times New Roman"/>
                <w:b/>
                <w:bCs/>
                <w:color w:val="000000"/>
                <w:sz w:val="24"/>
              </w:rPr>
              <w:t>2016</w:t>
            </w:r>
          </w:p>
        </w:tc>
      </w:tr>
      <w:tr w:rsidR="00785BB5" w:rsidRPr="00B33BDD" w14:paraId="10690339" w14:textId="77777777" w:rsidTr="008654DB">
        <w:trPr>
          <w:trHeight w:val="300"/>
          <w:jc w:val="center"/>
        </w:trPr>
        <w:tc>
          <w:tcPr>
            <w:tcW w:w="3197" w:type="dxa"/>
            <w:tcBorders>
              <w:top w:val="nil"/>
              <w:left w:val="single" w:sz="8" w:space="0" w:color="auto"/>
              <w:bottom w:val="nil"/>
              <w:right w:val="nil"/>
            </w:tcBorders>
            <w:shd w:val="clear" w:color="auto" w:fill="auto"/>
            <w:noWrap/>
            <w:vAlign w:val="center"/>
            <w:hideMark/>
          </w:tcPr>
          <w:p w14:paraId="1F65A2E3" w14:textId="77777777" w:rsidR="00785BB5" w:rsidRPr="00B33BDD" w:rsidRDefault="00785BB5" w:rsidP="00970527">
            <w:pPr>
              <w:spacing w:after="0" w:line="240" w:lineRule="auto"/>
              <w:rPr>
                <w:rFonts w:ascii="Times New Roman" w:eastAsia="Times New Roman" w:hAnsi="Times New Roman" w:cs="Times New Roman"/>
                <w:b/>
                <w:bCs/>
                <w:color w:val="000000"/>
                <w:sz w:val="24"/>
              </w:rPr>
            </w:pPr>
            <w:r w:rsidRPr="00B33BDD">
              <w:rPr>
                <w:rFonts w:ascii="Times New Roman" w:eastAsia="Times New Roman" w:hAnsi="Times New Roman" w:cs="Times New Roman"/>
                <w:b/>
                <w:bCs/>
                <w:color w:val="000000"/>
                <w:sz w:val="24"/>
              </w:rPr>
              <w:t>Bangladesh</w:t>
            </w:r>
          </w:p>
        </w:tc>
        <w:tc>
          <w:tcPr>
            <w:tcW w:w="2322" w:type="dxa"/>
            <w:tcBorders>
              <w:top w:val="nil"/>
              <w:left w:val="nil"/>
              <w:bottom w:val="nil"/>
              <w:right w:val="nil"/>
            </w:tcBorders>
            <w:shd w:val="clear" w:color="auto" w:fill="auto"/>
            <w:noWrap/>
            <w:vAlign w:val="center"/>
            <w:hideMark/>
          </w:tcPr>
          <w:p w14:paraId="1926A9D8" w14:textId="77777777" w:rsidR="00785BB5" w:rsidRPr="00B33BDD" w:rsidRDefault="00785BB5" w:rsidP="00970527">
            <w:pPr>
              <w:spacing w:after="0" w:line="240" w:lineRule="auto"/>
              <w:jc w:val="right"/>
              <w:rPr>
                <w:rFonts w:ascii="Times New Roman" w:eastAsia="Times New Roman" w:hAnsi="Times New Roman" w:cs="Times New Roman"/>
                <w:color w:val="000000"/>
                <w:sz w:val="24"/>
              </w:rPr>
            </w:pPr>
            <w:r w:rsidRPr="00B33BDD">
              <w:rPr>
                <w:rFonts w:ascii="Times New Roman" w:eastAsia="Times New Roman" w:hAnsi="Times New Roman" w:cs="Times New Roman"/>
                <w:color w:val="000000"/>
                <w:sz w:val="24"/>
              </w:rPr>
              <w:t>8.31</w:t>
            </w:r>
          </w:p>
        </w:tc>
        <w:tc>
          <w:tcPr>
            <w:tcW w:w="2027" w:type="dxa"/>
            <w:tcBorders>
              <w:top w:val="nil"/>
              <w:left w:val="nil"/>
              <w:bottom w:val="nil"/>
              <w:right w:val="single" w:sz="8" w:space="0" w:color="auto"/>
            </w:tcBorders>
            <w:shd w:val="clear" w:color="auto" w:fill="auto"/>
            <w:noWrap/>
            <w:vAlign w:val="center"/>
            <w:hideMark/>
          </w:tcPr>
          <w:p w14:paraId="7B4E92F7" w14:textId="77777777" w:rsidR="00785BB5" w:rsidRPr="00B33BDD" w:rsidRDefault="00785BB5" w:rsidP="00970527">
            <w:pPr>
              <w:spacing w:after="0" w:line="240" w:lineRule="auto"/>
              <w:jc w:val="right"/>
              <w:rPr>
                <w:rFonts w:ascii="Times New Roman" w:eastAsia="Times New Roman" w:hAnsi="Times New Roman" w:cs="Times New Roman"/>
                <w:color w:val="000000"/>
                <w:sz w:val="24"/>
              </w:rPr>
            </w:pPr>
            <w:r w:rsidRPr="00B33BDD">
              <w:rPr>
                <w:rFonts w:ascii="Times New Roman" w:eastAsia="Times New Roman" w:hAnsi="Times New Roman" w:cs="Times New Roman"/>
                <w:color w:val="000000"/>
                <w:sz w:val="24"/>
              </w:rPr>
              <w:t>15.23*</w:t>
            </w:r>
          </w:p>
        </w:tc>
      </w:tr>
      <w:tr w:rsidR="00785BB5" w:rsidRPr="00B33BDD" w14:paraId="343B8A0E" w14:textId="77777777" w:rsidTr="008654DB">
        <w:trPr>
          <w:trHeight w:val="300"/>
          <w:jc w:val="center"/>
        </w:trPr>
        <w:tc>
          <w:tcPr>
            <w:tcW w:w="3197" w:type="dxa"/>
            <w:tcBorders>
              <w:top w:val="nil"/>
              <w:left w:val="single" w:sz="8" w:space="0" w:color="auto"/>
              <w:bottom w:val="nil"/>
              <w:right w:val="nil"/>
            </w:tcBorders>
            <w:shd w:val="clear" w:color="auto" w:fill="auto"/>
            <w:noWrap/>
            <w:vAlign w:val="center"/>
            <w:hideMark/>
          </w:tcPr>
          <w:p w14:paraId="27AD4DFE" w14:textId="77777777" w:rsidR="00785BB5" w:rsidRPr="00B33BDD" w:rsidRDefault="00785BB5" w:rsidP="00970527">
            <w:pPr>
              <w:spacing w:after="0" w:line="240" w:lineRule="auto"/>
              <w:rPr>
                <w:rFonts w:ascii="Times New Roman" w:eastAsia="Times New Roman" w:hAnsi="Times New Roman" w:cs="Times New Roman"/>
                <w:b/>
                <w:bCs/>
                <w:color w:val="000000"/>
                <w:sz w:val="24"/>
              </w:rPr>
            </w:pPr>
            <w:r w:rsidRPr="00B33BDD">
              <w:rPr>
                <w:rFonts w:ascii="Times New Roman" w:eastAsia="Times New Roman" w:hAnsi="Times New Roman" w:cs="Times New Roman"/>
                <w:b/>
                <w:bCs/>
                <w:color w:val="000000"/>
                <w:sz w:val="24"/>
              </w:rPr>
              <w:t>Korea</w:t>
            </w:r>
          </w:p>
        </w:tc>
        <w:tc>
          <w:tcPr>
            <w:tcW w:w="2322" w:type="dxa"/>
            <w:tcBorders>
              <w:top w:val="nil"/>
              <w:left w:val="nil"/>
              <w:bottom w:val="nil"/>
              <w:right w:val="nil"/>
            </w:tcBorders>
            <w:shd w:val="clear" w:color="auto" w:fill="auto"/>
            <w:noWrap/>
            <w:vAlign w:val="center"/>
            <w:hideMark/>
          </w:tcPr>
          <w:p w14:paraId="3E95CA29" w14:textId="77777777" w:rsidR="00785BB5" w:rsidRPr="00B33BDD" w:rsidRDefault="00785BB5" w:rsidP="00970527">
            <w:pPr>
              <w:spacing w:after="0" w:line="240" w:lineRule="auto"/>
              <w:jc w:val="right"/>
              <w:rPr>
                <w:rFonts w:ascii="Times New Roman" w:eastAsia="Times New Roman" w:hAnsi="Times New Roman" w:cs="Times New Roman"/>
                <w:color w:val="000000"/>
                <w:sz w:val="24"/>
              </w:rPr>
            </w:pPr>
            <w:r w:rsidRPr="00B33BDD">
              <w:rPr>
                <w:rFonts w:ascii="Times New Roman" w:eastAsia="Times New Roman" w:hAnsi="Times New Roman" w:cs="Times New Roman"/>
                <w:color w:val="000000"/>
                <w:sz w:val="24"/>
              </w:rPr>
              <w:t>13.63</w:t>
            </w:r>
          </w:p>
        </w:tc>
        <w:tc>
          <w:tcPr>
            <w:tcW w:w="2027" w:type="dxa"/>
            <w:tcBorders>
              <w:top w:val="nil"/>
              <w:left w:val="nil"/>
              <w:bottom w:val="nil"/>
              <w:right w:val="single" w:sz="8" w:space="0" w:color="auto"/>
            </w:tcBorders>
            <w:shd w:val="clear" w:color="auto" w:fill="auto"/>
            <w:noWrap/>
            <w:vAlign w:val="center"/>
            <w:hideMark/>
          </w:tcPr>
          <w:p w14:paraId="13796C47" w14:textId="77777777" w:rsidR="00785BB5" w:rsidRPr="00B33BDD" w:rsidRDefault="00785BB5" w:rsidP="00970527">
            <w:pPr>
              <w:spacing w:after="0" w:line="240" w:lineRule="auto"/>
              <w:jc w:val="right"/>
              <w:rPr>
                <w:rFonts w:ascii="Times New Roman" w:eastAsia="Times New Roman" w:hAnsi="Times New Roman" w:cs="Times New Roman"/>
                <w:color w:val="000000"/>
                <w:sz w:val="24"/>
              </w:rPr>
            </w:pPr>
            <w:r w:rsidRPr="00B33BDD">
              <w:rPr>
                <w:rFonts w:ascii="Times New Roman" w:eastAsia="Times New Roman" w:hAnsi="Times New Roman" w:cs="Times New Roman"/>
                <w:color w:val="000000"/>
                <w:sz w:val="24"/>
              </w:rPr>
              <w:t>42.24</w:t>
            </w:r>
          </w:p>
        </w:tc>
      </w:tr>
      <w:tr w:rsidR="00785BB5" w:rsidRPr="00B33BDD" w14:paraId="11169263" w14:textId="77777777" w:rsidTr="008654DB">
        <w:trPr>
          <w:trHeight w:val="300"/>
          <w:jc w:val="center"/>
        </w:trPr>
        <w:tc>
          <w:tcPr>
            <w:tcW w:w="3197" w:type="dxa"/>
            <w:tcBorders>
              <w:top w:val="nil"/>
              <w:left w:val="single" w:sz="8" w:space="0" w:color="auto"/>
              <w:bottom w:val="nil"/>
              <w:right w:val="nil"/>
            </w:tcBorders>
            <w:shd w:val="clear" w:color="auto" w:fill="auto"/>
            <w:noWrap/>
            <w:vAlign w:val="center"/>
          </w:tcPr>
          <w:p w14:paraId="6B2BFFA5" w14:textId="77777777" w:rsidR="00785BB5" w:rsidRPr="00B33BDD" w:rsidRDefault="00785BB5" w:rsidP="00970527">
            <w:pPr>
              <w:spacing w:after="0" w:line="240" w:lineRule="auto"/>
              <w:rPr>
                <w:rFonts w:ascii="Times New Roman" w:eastAsia="Times New Roman" w:hAnsi="Times New Roman" w:cs="Times New Roman"/>
                <w:b/>
                <w:bCs/>
                <w:color w:val="000000"/>
                <w:sz w:val="24"/>
              </w:rPr>
            </w:pPr>
            <w:r w:rsidRPr="00B33BDD">
              <w:rPr>
                <w:rFonts w:ascii="Times New Roman" w:eastAsia="Times New Roman" w:hAnsi="Times New Roman" w:cs="Times New Roman"/>
                <w:b/>
                <w:bCs/>
                <w:color w:val="000000"/>
                <w:sz w:val="24"/>
              </w:rPr>
              <w:t>Taiwan</w:t>
            </w:r>
          </w:p>
        </w:tc>
        <w:tc>
          <w:tcPr>
            <w:tcW w:w="2322" w:type="dxa"/>
            <w:tcBorders>
              <w:top w:val="nil"/>
              <w:left w:val="nil"/>
              <w:bottom w:val="nil"/>
              <w:right w:val="nil"/>
            </w:tcBorders>
            <w:shd w:val="clear" w:color="auto" w:fill="auto"/>
            <w:noWrap/>
            <w:vAlign w:val="center"/>
          </w:tcPr>
          <w:p w14:paraId="11FB3E80" w14:textId="178B840C" w:rsidR="00785BB5" w:rsidRPr="00B33BDD" w:rsidRDefault="008654DB" w:rsidP="008654DB">
            <w:pPr>
              <w:spacing w:after="0" w:line="240" w:lineRule="auto"/>
              <w:jc w:val="righ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sidR="00785BB5" w:rsidRPr="00B33BDD">
              <w:rPr>
                <w:rFonts w:ascii="Times New Roman" w:eastAsia="Times New Roman" w:hAnsi="Times New Roman" w:cs="Times New Roman"/>
                <w:color w:val="000000"/>
                <w:sz w:val="24"/>
              </w:rPr>
              <w:t>13.5</w:t>
            </w:r>
          </w:p>
        </w:tc>
        <w:tc>
          <w:tcPr>
            <w:tcW w:w="2027" w:type="dxa"/>
            <w:tcBorders>
              <w:top w:val="nil"/>
              <w:left w:val="nil"/>
              <w:bottom w:val="nil"/>
              <w:right w:val="single" w:sz="8" w:space="0" w:color="auto"/>
            </w:tcBorders>
            <w:shd w:val="clear" w:color="auto" w:fill="auto"/>
            <w:noWrap/>
            <w:vAlign w:val="center"/>
          </w:tcPr>
          <w:p w14:paraId="6E997B28" w14:textId="77777777" w:rsidR="00785BB5" w:rsidRPr="00B33BDD" w:rsidRDefault="00785BB5" w:rsidP="008654DB">
            <w:pPr>
              <w:spacing w:after="0" w:line="240" w:lineRule="auto"/>
              <w:jc w:val="right"/>
              <w:rPr>
                <w:rFonts w:ascii="Times New Roman" w:eastAsia="Times New Roman" w:hAnsi="Times New Roman" w:cs="Times New Roman"/>
                <w:color w:val="000000"/>
                <w:sz w:val="24"/>
              </w:rPr>
            </w:pPr>
            <w:r w:rsidRPr="00B33BDD">
              <w:rPr>
                <w:rFonts w:ascii="Times New Roman" w:eastAsia="Times New Roman" w:hAnsi="Times New Roman" w:cs="Times New Roman"/>
                <w:color w:val="000000"/>
                <w:sz w:val="24"/>
              </w:rPr>
              <w:t xml:space="preserve">           70.0</w:t>
            </w:r>
          </w:p>
        </w:tc>
      </w:tr>
      <w:tr w:rsidR="00785BB5" w:rsidRPr="00B33BDD" w14:paraId="7C8457E7" w14:textId="77777777" w:rsidTr="008654DB">
        <w:trPr>
          <w:trHeight w:val="300"/>
          <w:jc w:val="center"/>
        </w:trPr>
        <w:tc>
          <w:tcPr>
            <w:tcW w:w="3197" w:type="dxa"/>
            <w:tcBorders>
              <w:top w:val="nil"/>
              <w:left w:val="single" w:sz="8" w:space="0" w:color="auto"/>
              <w:bottom w:val="nil"/>
              <w:right w:val="nil"/>
            </w:tcBorders>
            <w:shd w:val="clear" w:color="auto" w:fill="auto"/>
            <w:noWrap/>
            <w:vAlign w:val="center"/>
            <w:hideMark/>
          </w:tcPr>
          <w:p w14:paraId="29FAA653" w14:textId="77777777" w:rsidR="00785BB5" w:rsidRPr="00B33BDD" w:rsidRDefault="00785BB5" w:rsidP="00970527">
            <w:pPr>
              <w:spacing w:after="0" w:line="240" w:lineRule="auto"/>
              <w:rPr>
                <w:rFonts w:ascii="Times New Roman" w:eastAsia="Times New Roman" w:hAnsi="Times New Roman" w:cs="Times New Roman"/>
                <w:b/>
                <w:bCs/>
                <w:color w:val="000000"/>
                <w:sz w:val="24"/>
              </w:rPr>
            </w:pPr>
            <w:r w:rsidRPr="00B33BDD">
              <w:rPr>
                <w:rFonts w:ascii="Times New Roman" w:eastAsia="Times New Roman" w:hAnsi="Times New Roman" w:cs="Times New Roman"/>
                <w:b/>
                <w:bCs/>
                <w:color w:val="000000"/>
                <w:sz w:val="24"/>
              </w:rPr>
              <w:t>Malaysia</w:t>
            </w:r>
          </w:p>
        </w:tc>
        <w:tc>
          <w:tcPr>
            <w:tcW w:w="2322" w:type="dxa"/>
            <w:tcBorders>
              <w:top w:val="nil"/>
              <w:left w:val="nil"/>
              <w:bottom w:val="nil"/>
              <w:right w:val="nil"/>
            </w:tcBorders>
            <w:shd w:val="clear" w:color="auto" w:fill="auto"/>
            <w:noWrap/>
            <w:vAlign w:val="center"/>
            <w:hideMark/>
          </w:tcPr>
          <w:p w14:paraId="0FCB8723" w14:textId="77777777" w:rsidR="00785BB5" w:rsidRPr="00B33BDD" w:rsidRDefault="00785BB5" w:rsidP="00970527">
            <w:pPr>
              <w:spacing w:after="0" w:line="240" w:lineRule="auto"/>
              <w:jc w:val="right"/>
              <w:rPr>
                <w:rFonts w:ascii="Times New Roman" w:eastAsia="Times New Roman" w:hAnsi="Times New Roman" w:cs="Times New Roman"/>
                <w:color w:val="000000"/>
                <w:sz w:val="24"/>
              </w:rPr>
            </w:pPr>
            <w:r w:rsidRPr="00B33BDD">
              <w:rPr>
                <w:rFonts w:ascii="Times New Roman" w:eastAsia="Times New Roman" w:hAnsi="Times New Roman" w:cs="Times New Roman"/>
                <w:color w:val="000000"/>
                <w:sz w:val="24"/>
              </w:rPr>
              <w:t>41.41</w:t>
            </w:r>
          </w:p>
        </w:tc>
        <w:tc>
          <w:tcPr>
            <w:tcW w:w="2027" w:type="dxa"/>
            <w:tcBorders>
              <w:top w:val="nil"/>
              <w:left w:val="nil"/>
              <w:bottom w:val="nil"/>
              <w:right w:val="single" w:sz="8" w:space="0" w:color="auto"/>
            </w:tcBorders>
            <w:shd w:val="clear" w:color="auto" w:fill="auto"/>
            <w:noWrap/>
            <w:vAlign w:val="center"/>
            <w:hideMark/>
          </w:tcPr>
          <w:p w14:paraId="0E0BFA0C" w14:textId="77777777" w:rsidR="00785BB5" w:rsidRPr="00B33BDD" w:rsidRDefault="00785BB5" w:rsidP="00970527">
            <w:pPr>
              <w:spacing w:after="0" w:line="240" w:lineRule="auto"/>
              <w:jc w:val="right"/>
              <w:rPr>
                <w:rFonts w:ascii="Times New Roman" w:eastAsia="Times New Roman" w:hAnsi="Times New Roman" w:cs="Times New Roman"/>
                <w:color w:val="000000"/>
                <w:sz w:val="24"/>
              </w:rPr>
            </w:pPr>
            <w:r w:rsidRPr="00B33BDD">
              <w:rPr>
                <w:rFonts w:ascii="Times New Roman" w:eastAsia="Times New Roman" w:hAnsi="Times New Roman" w:cs="Times New Roman"/>
                <w:color w:val="000000"/>
                <w:sz w:val="24"/>
              </w:rPr>
              <w:t>67.24</w:t>
            </w:r>
          </w:p>
        </w:tc>
      </w:tr>
      <w:tr w:rsidR="00785BB5" w:rsidRPr="00B33BDD" w14:paraId="4235A722" w14:textId="77777777" w:rsidTr="008654DB">
        <w:trPr>
          <w:trHeight w:val="300"/>
          <w:jc w:val="center"/>
        </w:trPr>
        <w:tc>
          <w:tcPr>
            <w:tcW w:w="3197" w:type="dxa"/>
            <w:tcBorders>
              <w:top w:val="nil"/>
              <w:left w:val="single" w:sz="8" w:space="0" w:color="auto"/>
              <w:bottom w:val="nil"/>
              <w:right w:val="nil"/>
            </w:tcBorders>
            <w:shd w:val="clear" w:color="auto" w:fill="auto"/>
            <w:noWrap/>
            <w:vAlign w:val="center"/>
            <w:hideMark/>
          </w:tcPr>
          <w:p w14:paraId="7C2D25EF" w14:textId="77777777" w:rsidR="00785BB5" w:rsidRPr="00B33BDD" w:rsidRDefault="00785BB5" w:rsidP="00970527">
            <w:pPr>
              <w:spacing w:after="0" w:line="240" w:lineRule="auto"/>
              <w:rPr>
                <w:rFonts w:ascii="Times New Roman" w:eastAsia="Times New Roman" w:hAnsi="Times New Roman" w:cs="Times New Roman"/>
                <w:b/>
                <w:bCs/>
                <w:color w:val="000000"/>
                <w:sz w:val="24"/>
              </w:rPr>
            </w:pPr>
            <w:r w:rsidRPr="00B33BDD">
              <w:rPr>
                <w:rFonts w:ascii="Times New Roman" w:eastAsia="Times New Roman" w:hAnsi="Times New Roman" w:cs="Times New Roman"/>
                <w:b/>
                <w:bCs/>
                <w:color w:val="000000"/>
                <w:sz w:val="24"/>
              </w:rPr>
              <w:t>Thailand</w:t>
            </w:r>
          </w:p>
        </w:tc>
        <w:tc>
          <w:tcPr>
            <w:tcW w:w="2322" w:type="dxa"/>
            <w:tcBorders>
              <w:top w:val="nil"/>
              <w:left w:val="nil"/>
              <w:bottom w:val="nil"/>
              <w:right w:val="nil"/>
            </w:tcBorders>
            <w:shd w:val="clear" w:color="auto" w:fill="auto"/>
            <w:noWrap/>
            <w:vAlign w:val="center"/>
            <w:hideMark/>
          </w:tcPr>
          <w:p w14:paraId="6B154D1D" w14:textId="77777777" w:rsidR="00785BB5" w:rsidRPr="00B33BDD" w:rsidRDefault="00785BB5" w:rsidP="00970527">
            <w:pPr>
              <w:spacing w:after="0" w:line="240" w:lineRule="auto"/>
              <w:jc w:val="right"/>
              <w:rPr>
                <w:rFonts w:ascii="Times New Roman" w:eastAsia="Times New Roman" w:hAnsi="Times New Roman" w:cs="Times New Roman"/>
                <w:color w:val="000000"/>
                <w:sz w:val="24"/>
              </w:rPr>
            </w:pPr>
            <w:r w:rsidRPr="00B33BDD">
              <w:rPr>
                <w:rFonts w:ascii="Times New Roman" w:eastAsia="Times New Roman" w:hAnsi="Times New Roman" w:cs="Times New Roman"/>
                <w:color w:val="000000"/>
                <w:sz w:val="24"/>
              </w:rPr>
              <w:t>14.99</w:t>
            </w:r>
          </w:p>
        </w:tc>
        <w:tc>
          <w:tcPr>
            <w:tcW w:w="2027" w:type="dxa"/>
            <w:tcBorders>
              <w:top w:val="nil"/>
              <w:left w:val="nil"/>
              <w:bottom w:val="nil"/>
              <w:right w:val="single" w:sz="8" w:space="0" w:color="auto"/>
            </w:tcBorders>
            <w:shd w:val="clear" w:color="auto" w:fill="auto"/>
            <w:noWrap/>
            <w:vAlign w:val="center"/>
            <w:hideMark/>
          </w:tcPr>
          <w:p w14:paraId="2B3C4527" w14:textId="77777777" w:rsidR="00785BB5" w:rsidRPr="00B33BDD" w:rsidRDefault="00785BB5" w:rsidP="00970527">
            <w:pPr>
              <w:spacing w:after="0" w:line="240" w:lineRule="auto"/>
              <w:jc w:val="right"/>
              <w:rPr>
                <w:rFonts w:ascii="Times New Roman" w:eastAsia="Times New Roman" w:hAnsi="Times New Roman" w:cs="Times New Roman"/>
                <w:color w:val="000000"/>
                <w:sz w:val="24"/>
              </w:rPr>
            </w:pPr>
            <w:r w:rsidRPr="00B33BDD">
              <w:rPr>
                <w:rFonts w:ascii="Times New Roman" w:eastAsia="Times New Roman" w:hAnsi="Times New Roman" w:cs="Times New Roman"/>
                <w:color w:val="000000"/>
                <w:sz w:val="24"/>
              </w:rPr>
              <w:t>68.93</w:t>
            </w:r>
          </w:p>
        </w:tc>
      </w:tr>
      <w:tr w:rsidR="00785BB5" w:rsidRPr="00B33BDD" w14:paraId="3F355C11" w14:textId="77777777" w:rsidTr="008654DB">
        <w:trPr>
          <w:trHeight w:val="300"/>
          <w:jc w:val="center"/>
        </w:trPr>
        <w:tc>
          <w:tcPr>
            <w:tcW w:w="3197" w:type="dxa"/>
            <w:tcBorders>
              <w:top w:val="nil"/>
              <w:left w:val="single" w:sz="8" w:space="0" w:color="auto"/>
              <w:bottom w:val="nil"/>
              <w:right w:val="nil"/>
            </w:tcBorders>
            <w:shd w:val="clear" w:color="auto" w:fill="auto"/>
            <w:noWrap/>
            <w:vAlign w:val="center"/>
            <w:hideMark/>
          </w:tcPr>
          <w:p w14:paraId="1F59A583" w14:textId="77777777" w:rsidR="00785BB5" w:rsidRPr="00B33BDD" w:rsidRDefault="00785BB5" w:rsidP="00970527">
            <w:pPr>
              <w:spacing w:after="0" w:line="240" w:lineRule="auto"/>
              <w:rPr>
                <w:rFonts w:ascii="Times New Roman" w:eastAsia="Times New Roman" w:hAnsi="Times New Roman" w:cs="Times New Roman"/>
                <w:b/>
                <w:bCs/>
                <w:color w:val="000000"/>
                <w:sz w:val="24"/>
              </w:rPr>
            </w:pPr>
            <w:r w:rsidRPr="00B33BDD">
              <w:rPr>
                <w:rFonts w:ascii="Times New Roman" w:eastAsia="Times New Roman" w:hAnsi="Times New Roman" w:cs="Times New Roman"/>
                <w:b/>
                <w:bCs/>
                <w:color w:val="000000"/>
                <w:sz w:val="24"/>
              </w:rPr>
              <w:t>Vietnam</w:t>
            </w:r>
          </w:p>
        </w:tc>
        <w:tc>
          <w:tcPr>
            <w:tcW w:w="2322" w:type="dxa"/>
            <w:tcBorders>
              <w:top w:val="nil"/>
              <w:left w:val="nil"/>
              <w:bottom w:val="nil"/>
              <w:right w:val="nil"/>
            </w:tcBorders>
            <w:shd w:val="clear" w:color="auto" w:fill="auto"/>
            <w:noWrap/>
            <w:vAlign w:val="center"/>
            <w:hideMark/>
          </w:tcPr>
          <w:p w14:paraId="4D2F441E" w14:textId="77777777" w:rsidR="00785BB5" w:rsidRPr="00B33BDD" w:rsidRDefault="00785BB5" w:rsidP="00970527">
            <w:pPr>
              <w:spacing w:after="0" w:line="240" w:lineRule="auto"/>
              <w:jc w:val="right"/>
              <w:rPr>
                <w:rFonts w:ascii="Times New Roman" w:eastAsia="Times New Roman" w:hAnsi="Times New Roman" w:cs="Times New Roman"/>
                <w:color w:val="000000"/>
                <w:sz w:val="24"/>
              </w:rPr>
            </w:pPr>
            <w:r w:rsidRPr="00B33BDD">
              <w:rPr>
                <w:rFonts w:ascii="Times New Roman" w:eastAsia="Times New Roman" w:hAnsi="Times New Roman" w:cs="Times New Roman"/>
                <w:color w:val="000000"/>
                <w:sz w:val="24"/>
              </w:rPr>
              <w:t xml:space="preserve">  6.62**</w:t>
            </w:r>
          </w:p>
        </w:tc>
        <w:tc>
          <w:tcPr>
            <w:tcW w:w="2027" w:type="dxa"/>
            <w:tcBorders>
              <w:top w:val="nil"/>
              <w:left w:val="nil"/>
              <w:bottom w:val="nil"/>
              <w:right w:val="single" w:sz="8" w:space="0" w:color="auto"/>
            </w:tcBorders>
            <w:shd w:val="clear" w:color="auto" w:fill="auto"/>
            <w:noWrap/>
            <w:vAlign w:val="center"/>
            <w:hideMark/>
          </w:tcPr>
          <w:p w14:paraId="29550F36" w14:textId="77777777" w:rsidR="00785BB5" w:rsidRPr="00B33BDD" w:rsidRDefault="00785BB5" w:rsidP="00970527">
            <w:pPr>
              <w:spacing w:after="0" w:line="240" w:lineRule="auto"/>
              <w:jc w:val="right"/>
              <w:rPr>
                <w:rFonts w:ascii="Times New Roman" w:eastAsia="Times New Roman" w:hAnsi="Times New Roman" w:cs="Times New Roman"/>
                <w:color w:val="000000"/>
                <w:sz w:val="24"/>
              </w:rPr>
            </w:pPr>
            <w:r w:rsidRPr="00B33BDD">
              <w:rPr>
                <w:rFonts w:ascii="Times New Roman" w:eastAsia="Times New Roman" w:hAnsi="Times New Roman" w:cs="Times New Roman"/>
                <w:color w:val="000000"/>
                <w:sz w:val="24"/>
              </w:rPr>
              <w:t>93.62</w:t>
            </w:r>
          </w:p>
        </w:tc>
      </w:tr>
      <w:tr w:rsidR="00785BB5" w:rsidRPr="00911D8C" w14:paraId="111B0BC4" w14:textId="77777777" w:rsidTr="008654DB">
        <w:trPr>
          <w:trHeight w:val="207"/>
          <w:jc w:val="center"/>
        </w:trPr>
        <w:tc>
          <w:tcPr>
            <w:tcW w:w="3197" w:type="dxa"/>
            <w:tcBorders>
              <w:top w:val="nil"/>
              <w:left w:val="single" w:sz="8" w:space="0" w:color="auto"/>
              <w:bottom w:val="nil"/>
              <w:right w:val="nil"/>
            </w:tcBorders>
            <w:shd w:val="clear" w:color="auto" w:fill="auto"/>
            <w:noWrap/>
            <w:vAlign w:val="center"/>
          </w:tcPr>
          <w:p w14:paraId="7D19BCA8" w14:textId="77777777" w:rsidR="00785BB5" w:rsidRPr="00911D8C" w:rsidRDefault="00785BB5" w:rsidP="00970527">
            <w:pPr>
              <w:spacing w:after="0" w:line="240" w:lineRule="auto"/>
              <w:rPr>
                <w:rFonts w:ascii="Times New Roman" w:eastAsia="Times New Roman" w:hAnsi="Times New Roman" w:cs="Times New Roman"/>
                <w:b/>
                <w:bCs/>
                <w:color w:val="000000"/>
              </w:rPr>
            </w:pPr>
          </w:p>
        </w:tc>
        <w:tc>
          <w:tcPr>
            <w:tcW w:w="2322" w:type="dxa"/>
            <w:tcBorders>
              <w:top w:val="nil"/>
              <w:left w:val="nil"/>
              <w:bottom w:val="nil"/>
              <w:right w:val="nil"/>
            </w:tcBorders>
            <w:shd w:val="clear" w:color="auto" w:fill="auto"/>
            <w:noWrap/>
            <w:vAlign w:val="center"/>
          </w:tcPr>
          <w:p w14:paraId="5F6779FB" w14:textId="77777777" w:rsidR="00785BB5" w:rsidRDefault="00785BB5" w:rsidP="00970527">
            <w:pPr>
              <w:spacing w:after="0" w:line="240" w:lineRule="auto"/>
              <w:jc w:val="right"/>
              <w:rPr>
                <w:rFonts w:ascii="Times New Roman" w:eastAsia="Times New Roman" w:hAnsi="Times New Roman" w:cs="Times New Roman"/>
                <w:color w:val="000000"/>
              </w:rPr>
            </w:pPr>
          </w:p>
        </w:tc>
        <w:tc>
          <w:tcPr>
            <w:tcW w:w="2027" w:type="dxa"/>
            <w:tcBorders>
              <w:top w:val="nil"/>
              <w:left w:val="nil"/>
              <w:bottom w:val="nil"/>
              <w:right w:val="single" w:sz="8" w:space="0" w:color="auto"/>
            </w:tcBorders>
            <w:shd w:val="clear" w:color="auto" w:fill="auto"/>
            <w:noWrap/>
            <w:vAlign w:val="center"/>
          </w:tcPr>
          <w:p w14:paraId="1FBF8341" w14:textId="77777777" w:rsidR="00785BB5" w:rsidRPr="00911D8C" w:rsidRDefault="00785BB5" w:rsidP="00970527">
            <w:pPr>
              <w:spacing w:after="0" w:line="240" w:lineRule="auto"/>
              <w:jc w:val="right"/>
              <w:rPr>
                <w:rFonts w:ascii="Times New Roman" w:eastAsia="Times New Roman" w:hAnsi="Times New Roman" w:cs="Times New Roman"/>
                <w:color w:val="000000"/>
              </w:rPr>
            </w:pPr>
          </w:p>
        </w:tc>
      </w:tr>
      <w:tr w:rsidR="00785BB5" w:rsidRPr="00911D8C" w14:paraId="2A96B5FD" w14:textId="77777777" w:rsidTr="00970527">
        <w:trPr>
          <w:trHeight w:val="225"/>
          <w:jc w:val="center"/>
        </w:trPr>
        <w:tc>
          <w:tcPr>
            <w:tcW w:w="7546" w:type="dxa"/>
            <w:gridSpan w:val="3"/>
            <w:tcBorders>
              <w:top w:val="nil"/>
              <w:left w:val="single" w:sz="8" w:space="0" w:color="auto"/>
              <w:bottom w:val="nil"/>
              <w:right w:val="single" w:sz="8" w:space="0" w:color="000000"/>
            </w:tcBorders>
            <w:shd w:val="clear" w:color="auto" w:fill="auto"/>
            <w:noWrap/>
            <w:vAlign w:val="center"/>
            <w:hideMark/>
          </w:tcPr>
          <w:p w14:paraId="559F05B0" w14:textId="77777777" w:rsidR="00785BB5" w:rsidRPr="00371AB0" w:rsidRDefault="00785BB5" w:rsidP="00970527">
            <w:pPr>
              <w:spacing w:after="0" w:line="240" w:lineRule="auto"/>
              <w:rPr>
                <w:rFonts w:ascii="Times New Roman" w:eastAsia="Times New Roman" w:hAnsi="Times New Roman" w:cs="Times New Roman"/>
                <w:color w:val="000000"/>
                <w:sz w:val="18"/>
                <w:szCs w:val="18"/>
              </w:rPr>
            </w:pPr>
            <w:r w:rsidRPr="00371AB0">
              <w:rPr>
                <w:rFonts w:ascii="Times New Roman" w:eastAsia="Times New Roman" w:hAnsi="Times New Roman" w:cs="Times New Roman"/>
                <w:color w:val="000000"/>
                <w:sz w:val="18"/>
                <w:szCs w:val="18"/>
              </w:rPr>
              <w:t>*The data for Bangladesh is for the FY17</w:t>
            </w:r>
          </w:p>
          <w:p w14:paraId="50AA2693" w14:textId="77777777" w:rsidR="00785BB5" w:rsidRPr="00911D8C" w:rsidRDefault="00785BB5" w:rsidP="00970527">
            <w:pPr>
              <w:spacing w:after="0" w:line="240" w:lineRule="auto"/>
              <w:rPr>
                <w:rFonts w:ascii="Times New Roman" w:eastAsia="Times New Roman" w:hAnsi="Times New Roman" w:cs="Times New Roman"/>
                <w:color w:val="000000"/>
              </w:rPr>
            </w:pPr>
            <w:r w:rsidRPr="00371AB0">
              <w:rPr>
                <w:rFonts w:ascii="Times New Roman" w:eastAsia="Times New Roman" w:hAnsi="Times New Roman" w:cs="Times New Roman"/>
                <w:color w:val="000000"/>
                <w:sz w:val="18"/>
                <w:szCs w:val="18"/>
              </w:rPr>
              <w:t>**Data for the year 1986</w:t>
            </w:r>
          </w:p>
        </w:tc>
      </w:tr>
      <w:tr w:rsidR="00785BB5" w:rsidRPr="00911D8C" w14:paraId="3F8824B7" w14:textId="77777777" w:rsidTr="00970527">
        <w:trPr>
          <w:trHeight w:val="80"/>
          <w:jc w:val="center"/>
        </w:trPr>
        <w:tc>
          <w:tcPr>
            <w:tcW w:w="7546" w:type="dxa"/>
            <w:gridSpan w:val="3"/>
            <w:tcBorders>
              <w:top w:val="nil"/>
              <w:left w:val="single" w:sz="8" w:space="0" w:color="auto"/>
              <w:bottom w:val="single" w:sz="8" w:space="0" w:color="auto"/>
              <w:right w:val="single" w:sz="8" w:space="0" w:color="000000"/>
            </w:tcBorders>
            <w:shd w:val="clear" w:color="auto" w:fill="auto"/>
            <w:noWrap/>
            <w:vAlign w:val="center"/>
            <w:hideMark/>
          </w:tcPr>
          <w:p w14:paraId="72D0638E" w14:textId="77777777" w:rsidR="00785BB5" w:rsidRPr="00911D8C" w:rsidRDefault="00785BB5" w:rsidP="00970527">
            <w:pPr>
              <w:spacing w:after="0" w:line="240" w:lineRule="auto"/>
              <w:rPr>
                <w:rFonts w:ascii="Times New Roman" w:eastAsia="Times New Roman" w:hAnsi="Times New Roman" w:cs="Times New Roman"/>
                <w:b/>
                <w:bCs/>
                <w:i/>
                <w:iCs/>
                <w:color w:val="000000"/>
              </w:rPr>
            </w:pPr>
          </w:p>
        </w:tc>
      </w:tr>
    </w:tbl>
    <w:p w14:paraId="0B3CFE4D" w14:textId="288A54BC" w:rsidR="00785BB5" w:rsidRPr="00B33BDD" w:rsidRDefault="00B33BDD" w:rsidP="00A51CF0">
      <w:pPr>
        <w:pStyle w:val="NormalWeb"/>
        <w:spacing w:before="0" w:beforeAutospacing="0" w:after="240" w:afterAutospacing="0" w:line="276" w:lineRule="auto"/>
        <w:jc w:val="both"/>
        <w:rPr>
          <w:bCs/>
          <w:sz w:val="20"/>
        </w:rPr>
      </w:pPr>
      <w:r w:rsidRPr="00B33BDD">
        <w:rPr>
          <w:b/>
          <w:bCs/>
          <w:i/>
          <w:iCs/>
          <w:color w:val="000000"/>
          <w:sz w:val="20"/>
        </w:rPr>
        <w:t xml:space="preserve">                 Source: World Development Indicators (WDI) database, The World Bank; Bangladesh Bank; BBS</w:t>
      </w:r>
    </w:p>
    <w:p w14:paraId="4EFBD716" w14:textId="000FC6C0" w:rsidR="00D77992" w:rsidRPr="00A51CF0" w:rsidRDefault="00D77992" w:rsidP="00A51CF0">
      <w:pPr>
        <w:pStyle w:val="NormalWeb"/>
        <w:spacing w:before="0" w:beforeAutospacing="0" w:after="240" w:afterAutospacing="0" w:line="276" w:lineRule="auto"/>
        <w:jc w:val="both"/>
        <w:rPr>
          <w:bCs/>
        </w:rPr>
      </w:pPr>
      <w:r w:rsidRPr="00A51CF0">
        <w:rPr>
          <w:bCs/>
        </w:rPr>
        <w:t>There is yet another twist in the story for the long-term. We have mentioned that the fastest growing segment in international trade is the trade in intermediate goods; and East Asian countries, like Korea, have had great success in exploiting global value chains by linking up with China, the super assembler of the world. To spur the production and export of intermediate goods, requires a different tariff profile where relative incentives to intermediate goods production is no worse, if not bett</w:t>
      </w:r>
      <w:r w:rsidR="007C13A5" w:rsidRPr="00A51CF0">
        <w:rPr>
          <w:bCs/>
        </w:rPr>
        <w:t>er than final goods production</w:t>
      </w:r>
      <w:r w:rsidRPr="00A51CF0">
        <w:rPr>
          <w:bCs/>
        </w:rPr>
        <w:t xml:space="preserve">. This </w:t>
      </w:r>
      <w:r w:rsidR="00C74763" w:rsidRPr="00A51CF0">
        <w:rPr>
          <w:bCs/>
        </w:rPr>
        <w:t>configuration of tariffs was adopted by S. Korea.</w:t>
      </w:r>
    </w:p>
    <w:p w14:paraId="467F1CB5" w14:textId="3D6F09BA" w:rsidR="00564EA6" w:rsidRPr="00A51CF0" w:rsidRDefault="00564EA6" w:rsidP="00A51CF0">
      <w:pPr>
        <w:pStyle w:val="NormalWeb"/>
        <w:spacing w:before="0" w:beforeAutospacing="0" w:after="240" w:afterAutospacing="0" w:line="276" w:lineRule="auto"/>
        <w:jc w:val="both"/>
        <w:rPr>
          <w:bCs/>
        </w:rPr>
      </w:pPr>
      <w:r w:rsidRPr="00A51CF0">
        <w:rPr>
          <w:bCs/>
        </w:rPr>
        <w:t>Though somewhat higher than other OECD countries, the structure of tariffs in S. Korea approximate developed country features. Since</w:t>
      </w:r>
      <w:r w:rsidR="00C74763" w:rsidRPr="00A51CF0">
        <w:rPr>
          <w:bCs/>
        </w:rPr>
        <w:t xml:space="preserve"> 1990</w:t>
      </w:r>
      <w:r w:rsidRPr="00A51CF0">
        <w:rPr>
          <w:bCs/>
        </w:rPr>
        <w:t xml:space="preserve">, average input tariffs trended downward and was lower than output tariffs, as usual, but a reversal of that trend is observed since 1995 when average input tariffs were higher than output tariffs – a clear preference for higher incentives to primarily the intermediate goods sector, to take advantage of global value chains and develop the intermediate goods sector. It seems Korea has adjusted to the notion of keeping trade policy orientation neutral between inputs and outputs (mostly final consumer goods), which is done by moving towards uniform tariffs, with a slight tilt in favor of intermediate goods (during 2000-2010, average input tariffs are about 1% points higher than average output tariffs). At any rate, where exports are concerned, Korea has </w:t>
      </w:r>
      <w:r w:rsidR="00C74763" w:rsidRPr="00A51CF0">
        <w:rPr>
          <w:bCs/>
        </w:rPr>
        <w:t xml:space="preserve">maintained </w:t>
      </w:r>
      <w:r w:rsidRPr="00A51CF0">
        <w:rPr>
          <w:bCs/>
        </w:rPr>
        <w:t xml:space="preserve">an efficient system of free trade channels for export commodities. </w:t>
      </w:r>
    </w:p>
    <w:p w14:paraId="5A432212" w14:textId="43479D55" w:rsidR="00C74763" w:rsidRPr="00A51CF0" w:rsidRDefault="00C74763" w:rsidP="00A51CF0">
      <w:pPr>
        <w:pStyle w:val="NormalWeb"/>
        <w:spacing w:before="0" w:beforeAutospacing="0" w:after="240" w:afterAutospacing="0" w:line="276" w:lineRule="auto"/>
        <w:jc w:val="both"/>
        <w:rPr>
          <w:bCs/>
        </w:rPr>
      </w:pPr>
      <w:r w:rsidRPr="00A51CF0">
        <w:rPr>
          <w:bCs/>
        </w:rPr>
        <w:t xml:space="preserve">To continue on a path of sustainable export growth with a diversified basket of goods, </w:t>
      </w:r>
      <w:bookmarkStart w:id="75" w:name="_Hlk493417326"/>
      <w:r w:rsidRPr="00A51CF0">
        <w:rPr>
          <w:bCs/>
        </w:rPr>
        <w:t>Bangladesh</w:t>
      </w:r>
      <w:r w:rsidR="007C13A5" w:rsidRPr="00A51CF0">
        <w:rPr>
          <w:bCs/>
        </w:rPr>
        <w:t xml:space="preserve"> faces an immediate challenge</w:t>
      </w:r>
      <w:r w:rsidRPr="00A51CF0">
        <w:rPr>
          <w:bCs/>
        </w:rPr>
        <w:t xml:space="preserve"> to restructure its tariff regime in order to gradually phase out effective protection levels and anti-export bias. </w:t>
      </w:r>
      <w:bookmarkEnd w:id="75"/>
      <w:r w:rsidRPr="00A51CF0">
        <w:rPr>
          <w:bCs/>
        </w:rPr>
        <w:t>A possible tariff and protection regime of the future is charted in Figure</w:t>
      </w:r>
      <w:r w:rsidR="003C2997" w:rsidRPr="00A51CF0">
        <w:rPr>
          <w:bCs/>
        </w:rPr>
        <w:t>.13</w:t>
      </w:r>
      <w:r w:rsidRPr="00A51CF0">
        <w:rPr>
          <w:bCs/>
        </w:rPr>
        <w:t xml:space="preserve">. In view of the currently high levels of NPR on final consumer goods (FCG), the proposed structure calls for gradual but significant reduction of NPR on these goods while making modest adjustments to input tariffs along the way. Hence, the average FCG NPR of 45% in FY17 will have to be reduced to 25% by FY20, to 10% by FY25, and to 5% by FY30. </w:t>
      </w:r>
      <w:r w:rsidRPr="00A51CF0">
        <w:rPr>
          <w:bCs/>
        </w:rPr>
        <w:lastRenderedPageBreak/>
        <w:t xml:space="preserve">Meanwhile, average input NPRs will decline from 13% in FY17, to 10% by FY20, and down to 5% by FY30. Thereafter, the tariff regime will be one with low uniform tariffs of about 5% without distinction between input or output. On the face of it, the proposed tariff and protection trend would appear contrary to current trends, but that seems to be the only way to go if Bangladesh is to undergo transformative change in its structure of production where production, jobs and income hinge on the success of exports which, by FY30 and beyond, could constitute 60-75% of GDP. </w:t>
      </w:r>
    </w:p>
    <w:p w14:paraId="5C7EFA62" w14:textId="5F667717" w:rsidR="00C74763" w:rsidRPr="00617804" w:rsidRDefault="007C13A5" w:rsidP="002056F2">
      <w:pPr>
        <w:pStyle w:val="Heading5"/>
      </w:pPr>
      <w:bookmarkStart w:id="76" w:name="_Toc496536547"/>
      <w:r>
        <w:t>Fig</w:t>
      </w:r>
      <w:r w:rsidR="003C2997">
        <w:t>ure</w:t>
      </w:r>
      <w:r w:rsidR="00E413B6">
        <w:t xml:space="preserve"> </w:t>
      </w:r>
      <w:r w:rsidR="003C2997">
        <w:t>13</w:t>
      </w:r>
      <w:r w:rsidR="00E413B6">
        <w:t xml:space="preserve">: </w:t>
      </w:r>
      <w:r w:rsidR="00C74763" w:rsidRPr="00617804">
        <w:t>Futuristic Tariff Profile (FY17-41)</w:t>
      </w:r>
      <w:bookmarkEnd w:id="76"/>
    </w:p>
    <w:p w14:paraId="0E586662" w14:textId="77777777" w:rsidR="00C74763" w:rsidRDefault="00C74763" w:rsidP="00C74763">
      <w:pPr>
        <w:spacing w:after="240"/>
        <w:jc w:val="center"/>
        <w:rPr>
          <w:rFonts w:ascii="Times New Roman" w:hAnsi="Times New Roman" w:cs="Times New Roman"/>
          <w:sz w:val="24"/>
          <w:szCs w:val="24"/>
        </w:rPr>
      </w:pPr>
      <w:r>
        <w:rPr>
          <w:noProof/>
        </w:rPr>
        <w:drawing>
          <wp:inline distT="0" distB="0" distL="0" distR="0" wp14:anchorId="705C7CD7" wp14:editId="272E29A3">
            <wp:extent cx="4933950" cy="32385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7D4ECB9" w14:textId="3DA6EFC0" w:rsidR="00C74763" w:rsidRPr="00A51CF0" w:rsidRDefault="00C74763" w:rsidP="00A51CF0">
      <w:pPr>
        <w:pStyle w:val="NormalWeb"/>
        <w:spacing w:before="0" w:beforeAutospacing="0" w:after="240" w:afterAutospacing="0" w:line="276" w:lineRule="auto"/>
        <w:jc w:val="both"/>
        <w:rPr>
          <w:bCs/>
        </w:rPr>
      </w:pPr>
      <w:r w:rsidRPr="00A51CF0">
        <w:rPr>
          <w:bCs/>
        </w:rPr>
        <w:t xml:space="preserve">Apart from the uniformity of the tariff structure, other aspects of efficiency and transparency will be added to customs administration which, by 2025, will no longer have a major role in revenue collection because domestic taxes (income tax and VAT) will become the principal revenue instruments. </w:t>
      </w:r>
      <w:r w:rsidR="00DE3C2F" w:rsidRPr="00A51CF0">
        <w:rPr>
          <w:bCs/>
        </w:rPr>
        <w:t xml:space="preserve">Trade facilitation will be the underlying principle of its existence. Still, protection of specific products through the application of tariff peaks (a high tariff rate) might emerge from time and time and exceptions to the uniform tariff rule would then have to be made as temporary measures. Such a tariff structure will impart minimal distortion to domestic production and trade. From 2030 onwards, a modern high-tech industrial sector should be able to function with seamless movement of goods and services across borders or via online with least transaction costs. </w:t>
      </w:r>
    </w:p>
    <w:p w14:paraId="5EFA7A66" w14:textId="3CDCDFCA" w:rsidR="00E16C80" w:rsidRPr="00A51CF0" w:rsidRDefault="00E16C80" w:rsidP="00A51CF0">
      <w:pPr>
        <w:pStyle w:val="NormalWeb"/>
        <w:spacing w:before="0" w:beforeAutospacing="0" w:after="240" w:afterAutospacing="0" w:line="276" w:lineRule="auto"/>
        <w:jc w:val="both"/>
        <w:rPr>
          <w:bCs/>
        </w:rPr>
      </w:pPr>
      <w:r w:rsidRPr="00A51CF0">
        <w:rPr>
          <w:bCs/>
        </w:rPr>
        <w:t>Exploiting Global Value Chains</w:t>
      </w:r>
      <w:r w:rsidR="00556FB0" w:rsidRPr="00A51CF0">
        <w:rPr>
          <w:bCs/>
        </w:rPr>
        <w:t xml:space="preserve">. Pascal Lamy, the former head of the World Trade Organization (WTO), described global trade of today as less about products and services and more about trade along value chains which span not just across countries but also continents. This evolving pattern of global trade creates </w:t>
      </w:r>
      <w:r w:rsidRPr="00A51CF0">
        <w:rPr>
          <w:bCs/>
        </w:rPr>
        <w:t>opportunities for changing the structure and direction of Bangladesh trade</w:t>
      </w:r>
      <w:r w:rsidR="00556FB0" w:rsidRPr="00A51CF0">
        <w:rPr>
          <w:bCs/>
        </w:rPr>
        <w:t xml:space="preserve"> over the next decade</w:t>
      </w:r>
      <w:r w:rsidRPr="00A51CF0">
        <w:rPr>
          <w:bCs/>
        </w:rPr>
        <w:t xml:space="preserve">. According to a WTO-UNCTAD report (WTO 2011)), trade in intermediate goods was the most dynamic sector of international trade in the past two decades, accounting for </w:t>
      </w:r>
      <w:r w:rsidRPr="00A51CF0">
        <w:rPr>
          <w:bCs/>
        </w:rPr>
        <w:lastRenderedPageBreak/>
        <w:t xml:space="preserve">more than 50% of non-fuel world merchandise trade. This is a new trend that has evolved in the character of export-led growth. With the ‘unbundling’ of production across countries fostered by widespread trade liberalization, advances in ICT, and lower transportation costs, entrepreneurs often find it more economical now to ‘unpackage’ their factories and locate various production stages far from each other, to other countries in accordance with these countries’ respective comparative advantages. </w:t>
      </w:r>
    </w:p>
    <w:p w14:paraId="4A367771" w14:textId="31A97ADB" w:rsidR="00E16C80" w:rsidRPr="00A51CF0" w:rsidRDefault="00E16C80" w:rsidP="00A51CF0">
      <w:pPr>
        <w:pStyle w:val="NormalWeb"/>
        <w:spacing w:before="0" w:beforeAutospacing="0" w:after="240" w:afterAutospacing="0" w:line="276" w:lineRule="auto"/>
        <w:jc w:val="both"/>
        <w:rPr>
          <w:bCs/>
        </w:rPr>
      </w:pPr>
      <w:bookmarkStart w:id="77" w:name="_Hlk493418069"/>
      <w:r w:rsidRPr="00A51CF0">
        <w:rPr>
          <w:bCs/>
        </w:rPr>
        <w:t>The fragmentation of production processes across different countries has given rise to global value chains (GVCs) creating opportunities for intra-industry trade globally as well as between contiguous economies within a region</w:t>
      </w:r>
      <w:bookmarkEnd w:id="77"/>
      <w:r w:rsidRPr="00A51CF0">
        <w:rPr>
          <w:bCs/>
        </w:rPr>
        <w:t>. East Asian countries have seized early opportunities from this development by linking up with China – the world’s assembling powerhouse. Bangladesh started as a pure ‘assembler’ in a low value added GVC activity – cutting and making of readymade garments (RMG). Thanks to the initial infusion of FDI, bringing technology, management techniques, marketing access and information, both forward and backward linkages were established. Today, Bangladesh has become a leading exporter of RMG in the world</w:t>
      </w:r>
      <w:r w:rsidR="00F1428B" w:rsidRPr="00A51CF0">
        <w:rPr>
          <w:bCs/>
        </w:rPr>
        <w:t xml:space="preserve"> – a clear example of the </w:t>
      </w:r>
      <w:r w:rsidR="005F2A2B" w:rsidRPr="00A51CF0">
        <w:rPr>
          <w:bCs/>
        </w:rPr>
        <w:t>export-promoting and job creation potential of GVC</w:t>
      </w:r>
      <w:r w:rsidRPr="00A51CF0">
        <w:rPr>
          <w:bCs/>
        </w:rPr>
        <w:t>.</w:t>
      </w:r>
    </w:p>
    <w:p w14:paraId="26910278" w14:textId="77777777" w:rsidR="00E16C80" w:rsidRPr="00A51CF0" w:rsidRDefault="00E16C80" w:rsidP="00A51CF0">
      <w:pPr>
        <w:pStyle w:val="NormalWeb"/>
        <w:spacing w:before="0" w:beforeAutospacing="0" w:after="240" w:afterAutospacing="0" w:line="276" w:lineRule="auto"/>
        <w:jc w:val="both"/>
        <w:rPr>
          <w:bCs/>
        </w:rPr>
      </w:pPr>
      <w:r w:rsidRPr="00A51CF0">
        <w:rPr>
          <w:bCs/>
        </w:rPr>
        <w:t>There are important lessons from this experience regarding the prospects, challenges, and opportunities for Bangladesh stemming from GVCs in other product or service sectors. First, it was a foreign investor – in this instance, Daewoo of Korea – which facilitated Bangladesh’s entry into the GVC by teaming up with a Bangladeshi company – Desh Garments. Second, it was a fact that the choice of the GVC component was based on Bangladesh’s comparative advantage in low-skill intensive manufacturing production. Then, it must be the case that Bangladesh also had comparative advantage in many other low-skill intensive manufacturing production – which could be in final consumer goods or intermediate goods. Yet, there was no progress in the emergence of intermediate goods in Bangladesh’s export basket.</w:t>
      </w:r>
    </w:p>
    <w:p w14:paraId="084E7B34" w14:textId="77777777" w:rsidR="00E16C80" w:rsidRPr="00A51CF0" w:rsidRDefault="00E16C80" w:rsidP="00A51CF0">
      <w:pPr>
        <w:pStyle w:val="NormalWeb"/>
        <w:spacing w:before="0" w:beforeAutospacing="0" w:after="240" w:afterAutospacing="0" w:line="276" w:lineRule="auto"/>
        <w:jc w:val="both"/>
        <w:rPr>
          <w:bCs/>
        </w:rPr>
      </w:pPr>
      <w:r w:rsidRPr="00A51CF0">
        <w:rPr>
          <w:bCs/>
        </w:rPr>
        <w:t xml:space="preserve">What must Bangladesh do to exploit GVCs to break into new markets and export new products? What are the entry barriers? As mentioned earlier, to exploit GVCs, entrepreneurs may exploit two specific options: (1) produce intermediate goods; or (2) emerge as an ‘assembling’ hub. With regards to the first, Bangladesh entrepreneurs need to identify components that involve labor intensive or low skill intensive processes while searching to establish strategic partnerships with established transnational who will assemble the final product in another location. With regard to the second option Bangladesh may ponder emulating China’s successes at GVCs by emerging as an ‘assembling’ hub. In this case it is instructive to look at the economic rise of China associated with the emergence of a distinctive structure for the Asian-US production system, commonly understood as the ‘tri-polar trade through China’ model. In this structure: (i) East Asian countries, except China, produce sophisticated parts and components and export them to China; (ii) China assembles them into final products; and (iii) these are further exported to the US market for consumption. </w:t>
      </w:r>
    </w:p>
    <w:p w14:paraId="45D93BD4" w14:textId="77777777" w:rsidR="00E16C80" w:rsidRPr="00A51CF0" w:rsidRDefault="00E16C80" w:rsidP="00A51CF0">
      <w:pPr>
        <w:pStyle w:val="NormalWeb"/>
        <w:spacing w:before="0" w:beforeAutospacing="0" w:after="240" w:afterAutospacing="0" w:line="276" w:lineRule="auto"/>
        <w:jc w:val="both"/>
        <w:rPr>
          <w:bCs/>
        </w:rPr>
      </w:pPr>
      <w:r w:rsidRPr="00A51CF0">
        <w:rPr>
          <w:bCs/>
        </w:rPr>
        <w:lastRenderedPageBreak/>
        <w:t xml:space="preserve">There are several issues worth discussing. To start with, if local entrepreneurs are willing to engage in the production of an intermediate good, then it is probable that they will face issues that are associated with efforts dedicated to ‘learning how to imitate’. In short, </w:t>
      </w:r>
      <w:bookmarkStart w:id="78" w:name="_Hlk493418120"/>
      <w:r w:rsidRPr="00A51CF0">
        <w:rPr>
          <w:bCs/>
        </w:rPr>
        <w:t xml:space="preserve">the technical ‘know-how’ needed for the production of an intermediate good in the GVC must be obtained since Bangladeshi entrepreneurs are not exposed to such expertise. </w:t>
      </w:r>
      <w:bookmarkEnd w:id="78"/>
      <w:r w:rsidRPr="00A51CF0">
        <w:rPr>
          <w:bCs/>
        </w:rPr>
        <w:t>In this context, a prudent strategy for local entrepreneurs is to opt for a collaborative production structure that builds long-run commitments between local and foreign actors, so that the technical ‘know-how’ needed by the local actors is obtained by inviting FDI.</w:t>
      </w:r>
    </w:p>
    <w:p w14:paraId="39D907DC" w14:textId="77777777" w:rsidR="00E16C80" w:rsidRPr="00A51CF0" w:rsidRDefault="00E16C80" w:rsidP="00A51CF0">
      <w:pPr>
        <w:pStyle w:val="NormalWeb"/>
        <w:spacing w:before="0" w:beforeAutospacing="0" w:after="240" w:afterAutospacing="0" w:line="276" w:lineRule="auto"/>
        <w:jc w:val="both"/>
        <w:rPr>
          <w:bCs/>
        </w:rPr>
      </w:pPr>
      <w:r w:rsidRPr="00A51CF0">
        <w:rPr>
          <w:bCs/>
        </w:rPr>
        <w:t xml:space="preserve">Thus it becomes apparent that a prudent option for a local entrepreneur is to seek collaboration with foreign firms for the production of intermediate goods, and also to emerge as a key ‘assembling’ player within the industry. This, however, will mean </w:t>
      </w:r>
      <w:bookmarkStart w:id="79" w:name="_Hlk493418151"/>
      <w:r w:rsidRPr="00A51CF0">
        <w:rPr>
          <w:bCs/>
        </w:rPr>
        <w:t xml:space="preserve">that foreign direct investment is needed, and policy makers must mitigate any constraints that undermine the prospects of FDI. Not only in the production of intermediate goods, courting FDI will be essential for future technology leapfrogging to capture production and market access in manufacturing products of the coming decades. </w:t>
      </w:r>
    </w:p>
    <w:bookmarkEnd w:id="79"/>
    <w:p w14:paraId="560F6693" w14:textId="77777777" w:rsidR="00E16C80" w:rsidRPr="00A51CF0" w:rsidRDefault="00E16C80" w:rsidP="00A51CF0">
      <w:pPr>
        <w:pStyle w:val="NormalWeb"/>
        <w:spacing w:before="0" w:beforeAutospacing="0" w:after="240" w:afterAutospacing="0" w:line="276" w:lineRule="auto"/>
        <w:jc w:val="both"/>
        <w:rPr>
          <w:bCs/>
        </w:rPr>
      </w:pPr>
      <w:r w:rsidRPr="00A51CF0">
        <w:rPr>
          <w:bCs/>
        </w:rPr>
        <w:t>Furthermore, in order to promote integration into GVC (and attract FDI with this objective), the following steps would be essential:</w:t>
      </w:r>
    </w:p>
    <w:p w14:paraId="27DF0592" w14:textId="1B35FF35" w:rsidR="00E16C80" w:rsidRPr="00A51CF0" w:rsidRDefault="00E16C80" w:rsidP="00A42036">
      <w:pPr>
        <w:pStyle w:val="ListParagraph"/>
        <w:numPr>
          <w:ilvl w:val="0"/>
          <w:numId w:val="14"/>
        </w:numPr>
        <w:jc w:val="both"/>
        <w:rPr>
          <w:rFonts w:ascii="Times New Roman" w:hAnsi="Times New Roman" w:cs="Times New Roman"/>
          <w:sz w:val="22"/>
        </w:rPr>
      </w:pPr>
      <w:r w:rsidRPr="00A51CF0">
        <w:rPr>
          <w:rFonts w:ascii="Times New Roman" w:hAnsi="Times New Roman" w:cs="Times New Roman"/>
          <w:sz w:val="22"/>
        </w:rPr>
        <w:t xml:space="preserve">A liberalized investment policy regime, which offers scope for international firms to </w:t>
      </w:r>
      <w:r w:rsidRPr="00A51CF0">
        <w:rPr>
          <w:rFonts w:ascii="Times New Roman" w:hAnsi="Times New Roman" w:cs="Times New Roman"/>
          <w:sz w:val="22"/>
        </w:rPr>
        <w:tab/>
        <w:t>have unlimited stake in the local firm.</w:t>
      </w:r>
    </w:p>
    <w:p w14:paraId="31E588A8" w14:textId="1C9B447F" w:rsidR="00E16C80" w:rsidRPr="00A51CF0" w:rsidRDefault="00E16C80" w:rsidP="00A42036">
      <w:pPr>
        <w:pStyle w:val="ListParagraph"/>
        <w:numPr>
          <w:ilvl w:val="0"/>
          <w:numId w:val="14"/>
        </w:numPr>
        <w:jc w:val="both"/>
        <w:rPr>
          <w:rFonts w:ascii="Times New Roman" w:hAnsi="Times New Roman" w:cs="Times New Roman"/>
          <w:sz w:val="22"/>
        </w:rPr>
      </w:pPr>
      <w:r w:rsidRPr="00A51CF0">
        <w:rPr>
          <w:rFonts w:ascii="Times New Roman" w:hAnsi="Times New Roman" w:cs="Times New Roman"/>
          <w:sz w:val="22"/>
        </w:rPr>
        <w:t>Joint ventures with established actors within the GVC will allow the diffusion of technology, which ultimately boost the export potential of the local firm.</w:t>
      </w:r>
    </w:p>
    <w:p w14:paraId="4DB86DF8" w14:textId="78DBE9F6" w:rsidR="00E16C80" w:rsidRPr="00A51CF0" w:rsidRDefault="00E16C80" w:rsidP="00A42036">
      <w:pPr>
        <w:pStyle w:val="ListParagraph"/>
        <w:numPr>
          <w:ilvl w:val="0"/>
          <w:numId w:val="14"/>
        </w:numPr>
        <w:jc w:val="both"/>
        <w:rPr>
          <w:rFonts w:ascii="Times New Roman" w:hAnsi="Times New Roman" w:cs="Times New Roman"/>
          <w:sz w:val="22"/>
        </w:rPr>
      </w:pPr>
      <w:r w:rsidRPr="00A51CF0">
        <w:rPr>
          <w:rFonts w:ascii="Times New Roman" w:hAnsi="Times New Roman" w:cs="Times New Roman"/>
          <w:sz w:val="22"/>
        </w:rPr>
        <w:t>Local firms must have the capacity to innovate and acquire a basic level of technological standard, so that such types of cooperation are possible.</w:t>
      </w:r>
    </w:p>
    <w:p w14:paraId="375FB43C" w14:textId="28F0CE22" w:rsidR="00E16C80" w:rsidRPr="00A51CF0" w:rsidRDefault="00E16C80" w:rsidP="00A42036">
      <w:pPr>
        <w:pStyle w:val="ListParagraph"/>
        <w:numPr>
          <w:ilvl w:val="0"/>
          <w:numId w:val="14"/>
        </w:numPr>
        <w:jc w:val="both"/>
        <w:rPr>
          <w:rFonts w:ascii="Times New Roman" w:hAnsi="Times New Roman" w:cs="Times New Roman"/>
          <w:sz w:val="22"/>
        </w:rPr>
      </w:pPr>
      <w:r w:rsidRPr="00A51CF0">
        <w:rPr>
          <w:rFonts w:ascii="Times New Roman" w:hAnsi="Times New Roman" w:cs="Times New Roman"/>
          <w:sz w:val="22"/>
        </w:rPr>
        <w:t>Availability of appropriately skilled labor at a competitive price, which motivates established foreign actors to participate in joint ventures with local players.</w:t>
      </w:r>
    </w:p>
    <w:p w14:paraId="475F4FDF" w14:textId="7E9F7187" w:rsidR="005F2A2B" w:rsidRPr="00A51CF0" w:rsidRDefault="005F2A2B" w:rsidP="00A42036">
      <w:pPr>
        <w:pStyle w:val="ListParagraph"/>
        <w:numPr>
          <w:ilvl w:val="0"/>
          <w:numId w:val="14"/>
        </w:numPr>
        <w:jc w:val="both"/>
        <w:rPr>
          <w:rFonts w:ascii="Times New Roman" w:hAnsi="Times New Roman" w:cs="Times New Roman"/>
          <w:sz w:val="22"/>
        </w:rPr>
      </w:pPr>
      <w:r w:rsidRPr="00A51CF0">
        <w:rPr>
          <w:rFonts w:ascii="Times New Roman" w:hAnsi="Times New Roman" w:cs="Times New Roman"/>
          <w:sz w:val="22"/>
        </w:rPr>
        <w:t xml:space="preserve">The government has an important role to play in kick-starting GVCs in non-RMG export sectors. Various support policies (e.g. low-cost credit, tax waivers, generous transfer pricing rules) can be devised that can bypass current WTO ‘rules of the game’, as WTO regulations have yet to catch up with the rapid growth of trade in value added (GVC). </w:t>
      </w:r>
    </w:p>
    <w:p w14:paraId="78A740B8" w14:textId="71655A17" w:rsidR="0009733F" w:rsidRPr="00A51CF0" w:rsidRDefault="00A73A63" w:rsidP="00A51CF0">
      <w:pPr>
        <w:pStyle w:val="NormalWeb"/>
        <w:spacing w:before="0" w:beforeAutospacing="0" w:after="240" w:afterAutospacing="0" w:line="276" w:lineRule="auto"/>
        <w:jc w:val="both"/>
        <w:rPr>
          <w:bCs/>
        </w:rPr>
      </w:pPr>
      <w:r w:rsidRPr="00A51CF0">
        <w:rPr>
          <w:bCs/>
        </w:rPr>
        <w:t>The critical role of foreign direct investment (FDI) in Bangladesh’s future strategy for trade and industrial development</w:t>
      </w:r>
      <w:r w:rsidR="00B70C10" w:rsidRPr="00A51CF0">
        <w:rPr>
          <w:bCs/>
        </w:rPr>
        <w:t>, as well as in fostering GVC exports,</w:t>
      </w:r>
      <w:r w:rsidRPr="00A51CF0">
        <w:rPr>
          <w:bCs/>
        </w:rPr>
        <w:t xml:space="preserve"> will be analyzed in the next section. </w:t>
      </w:r>
    </w:p>
    <w:p w14:paraId="26D0DA3A" w14:textId="5125D902" w:rsidR="009758D4" w:rsidRPr="00886715" w:rsidRDefault="00FB4E0B" w:rsidP="00B54A48">
      <w:pPr>
        <w:pStyle w:val="Heading1"/>
      </w:pPr>
      <w:bookmarkStart w:id="80" w:name="_Toc496536520"/>
      <w:r w:rsidRPr="00886715">
        <w:t>COURTING FDI</w:t>
      </w:r>
      <w:r w:rsidR="009B38B5" w:rsidRPr="00886715">
        <w:t xml:space="preserve"> IN </w:t>
      </w:r>
      <w:r w:rsidRPr="00886715">
        <w:t xml:space="preserve">EXPORT-ORIENTED </w:t>
      </w:r>
      <w:r w:rsidR="009B38B5" w:rsidRPr="00886715">
        <w:t>MANUFACTURING</w:t>
      </w:r>
      <w:bookmarkEnd w:id="80"/>
      <w:r w:rsidR="009B38B5" w:rsidRPr="00886715">
        <w:t xml:space="preserve"> </w:t>
      </w:r>
    </w:p>
    <w:p w14:paraId="3550A35C" w14:textId="54B0E5B8" w:rsidR="009B38B5" w:rsidRPr="00A51CF0" w:rsidRDefault="009B38B5" w:rsidP="00A51CF0">
      <w:pPr>
        <w:pStyle w:val="NormalWeb"/>
        <w:spacing w:before="0" w:beforeAutospacing="0" w:after="240" w:afterAutospacing="0" w:line="276" w:lineRule="auto"/>
        <w:jc w:val="both"/>
        <w:rPr>
          <w:bCs/>
        </w:rPr>
      </w:pPr>
      <w:r w:rsidRPr="00A51CF0">
        <w:rPr>
          <w:bCs/>
        </w:rPr>
        <w:t>As a rapidly developing economy, Bangladesh will need to mobilize large amounts of financing needed for physical and trade infrastructure. Quite apart from concessional aid coming from multi-lateral agencies, a clear strategy will have to be laid out for mobilizing foreign direct investment (FDI) through private investments and public–private partnerships. One key strategy for export expansion and diversification will entail mobilizing FDI for export-oriented</w:t>
      </w:r>
      <w:r w:rsidR="006C574C" w:rsidRPr="00A51CF0">
        <w:rPr>
          <w:bCs/>
        </w:rPr>
        <w:t xml:space="preserve"> industries</w:t>
      </w:r>
      <w:r w:rsidR="002A6F86" w:rsidRPr="00A51CF0">
        <w:rPr>
          <w:bCs/>
        </w:rPr>
        <w:t xml:space="preserve"> by competitively offering attractive physical and fiscal concessions to notable multinationals – micro </w:t>
      </w:r>
      <w:r w:rsidR="002A6F86" w:rsidRPr="00A51CF0">
        <w:rPr>
          <w:bCs/>
        </w:rPr>
        <w:lastRenderedPageBreak/>
        <w:t xml:space="preserve">or large. </w:t>
      </w:r>
      <w:r w:rsidR="00F66CE2" w:rsidRPr="00A51CF0">
        <w:rPr>
          <w:bCs/>
        </w:rPr>
        <w:t>Drawing lessons from the FDI experience of comparators will</w:t>
      </w:r>
      <w:r w:rsidR="006C574C" w:rsidRPr="00A51CF0">
        <w:rPr>
          <w:bCs/>
        </w:rPr>
        <w:t xml:space="preserve"> be critical for this approach as Bangladesh is significantly lagging behind at present.</w:t>
      </w:r>
    </w:p>
    <w:p w14:paraId="59554935" w14:textId="1BDFB982" w:rsidR="006C574C" w:rsidRPr="00D75275" w:rsidRDefault="006C574C" w:rsidP="00D75275">
      <w:pPr>
        <w:spacing w:after="240" w:line="276" w:lineRule="auto"/>
        <w:rPr>
          <w:rFonts w:ascii="Times New Roman" w:hAnsi="Times New Roman" w:cs="Times New Roman"/>
          <w:b/>
          <w:sz w:val="24"/>
        </w:rPr>
      </w:pPr>
      <w:bookmarkStart w:id="81" w:name="_Toc345332519"/>
      <w:bookmarkStart w:id="82" w:name="_Toc404442086"/>
      <w:r w:rsidRPr="00D75275">
        <w:rPr>
          <w:rFonts w:ascii="Times New Roman" w:hAnsi="Times New Roman" w:cs="Times New Roman"/>
          <w:b/>
          <w:sz w:val="24"/>
        </w:rPr>
        <w:t>Potential Role of FDI in Promoting Export</w:t>
      </w:r>
      <w:bookmarkEnd w:id="81"/>
      <w:bookmarkEnd w:id="82"/>
      <w:r w:rsidRPr="00D75275">
        <w:rPr>
          <w:rFonts w:ascii="Times New Roman" w:hAnsi="Times New Roman" w:cs="Times New Roman"/>
          <w:b/>
          <w:sz w:val="24"/>
        </w:rPr>
        <w:t>-oriented Industrialization</w:t>
      </w:r>
    </w:p>
    <w:p w14:paraId="37E6654C" w14:textId="72CE4BD8" w:rsidR="006C574C" w:rsidRPr="00A51CF0" w:rsidRDefault="006C574C" w:rsidP="00A51CF0">
      <w:pPr>
        <w:pStyle w:val="NormalWeb"/>
        <w:spacing w:before="0" w:beforeAutospacing="0" w:after="240" w:afterAutospacing="0" w:line="276" w:lineRule="auto"/>
        <w:jc w:val="both"/>
        <w:rPr>
          <w:bCs/>
        </w:rPr>
      </w:pPr>
      <w:r w:rsidRPr="00A51CF0">
        <w:rPr>
          <w:bCs/>
        </w:rPr>
        <w:t>Export expansion and diversification is often constrained by limited domestic capital, technology and market knowledge. An important research question is can these constraints be eased by attracting foreign firms?  It is not surprising that the role of foreign direct investment (FDI) in promoting export-oriented industrialization has attracted considerable attention in recent times. FDIs with their better technological and managerial skills and knowledge about international marketing conditions, are expected to improve the productivity as well as export performance of host country firms by creating certain positive externalities known as ‘spillovers’. Spillovers can take place when FDI improves the productive efficiencies of domestic firms, making their products efficient in price and quality in the international market and thus improving their export performance. Such spillovers may occur either to domestic firms in the same industry group of foreign firms through competition, known as ‘horizontal spillovers’, or to firms in the upstream supply chain through buyer-supplier linkages, known as ‘backward spillovers’. FDI can help to channel capital and technology into industries that have the potential to compete internationally, and the global linkages of multinational corporations can facilitate their access to foreign markets. In addition to exports that are generated directly by foreign affiliates, FDI can also promote exports of domestic firms through the teaching of proper marketing strategies, methods, procedures, and channels of distribution.</w:t>
      </w:r>
    </w:p>
    <w:p w14:paraId="380A64A7" w14:textId="5A1768E2" w:rsidR="00B5610E" w:rsidRPr="00B5610E" w:rsidRDefault="00B5610E" w:rsidP="00B5610E">
      <w:pPr>
        <w:spacing w:after="240" w:line="276" w:lineRule="auto"/>
        <w:jc w:val="both"/>
        <w:rPr>
          <w:rFonts w:ascii="Times New Roman" w:hAnsi="Times New Roman" w:cs="Times New Roman"/>
          <w:sz w:val="24"/>
        </w:rPr>
      </w:pPr>
      <w:bookmarkStart w:id="83" w:name="_Toc345332520"/>
      <w:bookmarkStart w:id="84" w:name="_Toc404442087"/>
      <w:r w:rsidRPr="00B5610E">
        <w:rPr>
          <w:rFonts w:ascii="Times New Roman" w:hAnsi="Times New Roman" w:cs="Times New Roman"/>
          <w:sz w:val="24"/>
        </w:rPr>
        <w:t xml:space="preserve">One final note on the </w:t>
      </w:r>
      <w:r>
        <w:rPr>
          <w:rFonts w:ascii="Times New Roman" w:hAnsi="Times New Roman" w:cs="Times New Roman"/>
          <w:sz w:val="24"/>
        </w:rPr>
        <w:t xml:space="preserve">criticality of FDI in supply chain trade (SCT) must be made. It has been argued that Bangladesh needs to get on the bandwagon of GVCs as a means to export-oriented industrialization. Cross-border FDI flows have been the lifeline for the growth of GVC (or SCT) trade that helps sustain the </w:t>
      </w:r>
      <w:r w:rsidR="001F7011">
        <w:rPr>
          <w:rFonts w:ascii="Times New Roman" w:hAnsi="Times New Roman" w:cs="Times New Roman"/>
          <w:sz w:val="24"/>
        </w:rPr>
        <w:t xml:space="preserve">growing production networks across borders. Therefore, courting FDI in the future to capture and expand supply chains will have to be an essential strategy for Bangladesh’s export-oriented industrialization. </w:t>
      </w:r>
    </w:p>
    <w:p w14:paraId="648A36C6" w14:textId="2589F1B5" w:rsidR="006C574C" w:rsidRPr="00D75275" w:rsidRDefault="006C574C" w:rsidP="00D75275">
      <w:pPr>
        <w:spacing w:after="240" w:line="276" w:lineRule="auto"/>
        <w:rPr>
          <w:rFonts w:ascii="Times New Roman" w:hAnsi="Times New Roman" w:cs="Times New Roman"/>
          <w:b/>
          <w:sz w:val="24"/>
        </w:rPr>
      </w:pPr>
      <w:r w:rsidRPr="00D75275">
        <w:rPr>
          <w:rFonts w:ascii="Times New Roman" w:hAnsi="Times New Roman" w:cs="Times New Roman"/>
          <w:b/>
          <w:sz w:val="24"/>
        </w:rPr>
        <w:t>The Empirical Evidence</w:t>
      </w:r>
      <w:bookmarkEnd w:id="83"/>
      <w:bookmarkEnd w:id="84"/>
    </w:p>
    <w:p w14:paraId="25643574" w14:textId="66CE463B" w:rsidR="006C574C" w:rsidRPr="00A51CF0" w:rsidRDefault="006C574C" w:rsidP="00A51CF0">
      <w:pPr>
        <w:pStyle w:val="NormalWeb"/>
        <w:spacing w:before="0" w:beforeAutospacing="0" w:after="240" w:afterAutospacing="0" w:line="276" w:lineRule="auto"/>
        <w:jc w:val="both"/>
        <w:rPr>
          <w:bCs/>
        </w:rPr>
      </w:pPr>
      <w:r w:rsidRPr="00A51CF0">
        <w:rPr>
          <w:bCs/>
        </w:rPr>
        <w:t xml:space="preserve">There is now considerable body of evidence from countries in Europe, East Asia, South Asia and Africa that FDI supports the growth of exports. </w:t>
      </w:r>
      <w:r w:rsidR="00172E36" w:rsidRPr="00A51CF0">
        <w:rPr>
          <w:bCs/>
        </w:rPr>
        <w:t xml:space="preserve">The focus here is on the experience of East Asia and South Asia. </w:t>
      </w:r>
    </w:p>
    <w:p w14:paraId="10636FB8" w14:textId="3B5649D7" w:rsidR="006C574C" w:rsidRPr="00A51CF0" w:rsidRDefault="006C574C" w:rsidP="00A51CF0">
      <w:pPr>
        <w:pStyle w:val="NormalWeb"/>
        <w:spacing w:before="0" w:beforeAutospacing="0" w:after="240" w:afterAutospacing="0" w:line="276" w:lineRule="auto"/>
        <w:jc w:val="both"/>
        <w:rPr>
          <w:bCs/>
        </w:rPr>
      </w:pPr>
      <w:r w:rsidRPr="00A51CF0">
        <w:rPr>
          <w:bCs/>
        </w:rPr>
        <w:t xml:space="preserve">In East Asia the experience of China </w:t>
      </w:r>
      <w:r w:rsidR="00172E36" w:rsidRPr="00A51CF0">
        <w:rPr>
          <w:bCs/>
        </w:rPr>
        <w:t>is instructive as it</w:t>
      </w:r>
      <w:r w:rsidRPr="00A51CF0">
        <w:rPr>
          <w:bCs/>
        </w:rPr>
        <w:t xml:space="preserve"> has witnessed both a massive growth in exports and </w:t>
      </w:r>
      <w:r w:rsidR="00172E36" w:rsidRPr="00A51CF0">
        <w:rPr>
          <w:bCs/>
        </w:rPr>
        <w:t xml:space="preserve">of </w:t>
      </w:r>
      <w:r w:rsidRPr="00A51CF0">
        <w:rPr>
          <w:bCs/>
        </w:rPr>
        <w:t>FDI</w:t>
      </w:r>
      <w:r w:rsidR="00172E36" w:rsidRPr="00A51CF0">
        <w:rPr>
          <w:bCs/>
        </w:rPr>
        <w:t xml:space="preserve"> contemporaneously</w:t>
      </w:r>
      <w:r w:rsidR="00C926C8" w:rsidRPr="00A51CF0">
        <w:rPr>
          <w:bCs/>
        </w:rPr>
        <w:t xml:space="preserve"> suggesting </w:t>
      </w:r>
      <w:r w:rsidRPr="00A51CF0">
        <w:rPr>
          <w:bCs/>
        </w:rPr>
        <w:t xml:space="preserve">the positive role of FDI in exports. Zhang (2005) attempts to investigate the role of FDI in promoting manufacturing exports in China. The empirical evidence from the study suggests that FDI indeed has had a positive impact on China’s export performance.  The research finds that the export-promoting effect of FDI is much greater </w:t>
      </w:r>
      <w:r w:rsidRPr="00A51CF0">
        <w:rPr>
          <w:bCs/>
        </w:rPr>
        <w:lastRenderedPageBreak/>
        <w:t>than that of domestic capital and its effect is larger in labor-intensive indust</w:t>
      </w:r>
      <w:r w:rsidR="00C76DC1" w:rsidRPr="00A51CF0">
        <w:rPr>
          <w:bCs/>
        </w:rPr>
        <w:t xml:space="preserve">ries, as one might anticipate. </w:t>
      </w:r>
    </w:p>
    <w:p w14:paraId="51C1B1BF" w14:textId="0FA7BC43" w:rsidR="006C574C" w:rsidRPr="00A51CF0" w:rsidRDefault="00C76DC1" w:rsidP="00A51CF0">
      <w:pPr>
        <w:pStyle w:val="NormalWeb"/>
        <w:spacing w:before="0" w:beforeAutospacing="0" w:after="240" w:afterAutospacing="0" w:line="276" w:lineRule="auto"/>
        <w:jc w:val="both"/>
        <w:rPr>
          <w:bCs/>
        </w:rPr>
      </w:pPr>
      <w:r w:rsidRPr="00A51CF0">
        <w:rPr>
          <w:bCs/>
        </w:rPr>
        <w:t>In</w:t>
      </w:r>
      <w:r w:rsidR="006C574C" w:rsidRPr="00A51CF0">
        <w:rPr>
          <w:bCs/>
        </w:rPr>
        <w:t xml:space="preserve"> approach</w:t>
      </w:r>
      <w:r w:rsidRPr="00A51CF0">
        <w:rPr>
          <w:bCs/>
        </w:rPr>
        <w:t>ing</w:t>
      </w:r>
      <w:r w:rsidR="006C574C" w:rsidRPr="00A51CF0">
        <w:rPr>
          <w:bCs/>
        </w:rPr>
        <w:t xml:space="preserve"> the subject from a spatial dimension</w:t>
      </w:r>
      <w:r w:rsidRPr="00A51CF0">
        <w:rPr>
          <w:bCs/>
        </w:rPr>
        <w:t xml:space="preserve"> Zhang found similar results</w:t>
      </w:r>
      <w:r w:rsidR="006C574C" w:rsidRPr="00A51CF0">
        <w:rPr>
          <w:bCs/>
        </w:rPr>
        <w:t>.  Examining the spatial patterns of exports and FDI,</w:t>
      </w:r>
      <w:r w:rsidRPr="00A51CF0">
        <w:rPr>
          <w:bCs/>
        </w:rPr>
        <w:t xml:space="preserve"> he</w:t>
      </w:r>
      <w:r w:rsidR="006C574C" w:rsidRPr="00A51CF0">
        <w:rPr>
          <w:bCs/>
        </w:rPr>
        <w:t xml:space="preserve"> found that </w:t>
      </w:r>
      <w:r w:rsidR="00C926C8" w:rsidRPr="00A51CF0">
        <w:rPr>
          <w:bCs/>
        </w:rPr>
        <w:t xml:space="preserve">FDI concentrated in the coastal areas and so did exports from them. </w:t>
      </w:r>
      <w:r w:rsidR="006C574C" w:rsidRPr="00A51CF0">
        <w:rPr>
          <w:bCs/>
        </w:rPr>
        <w:t>Using panel data at the provincial level in the period of 1986 to 1997, the</w:t>
      </w:r>
      <w:r w:rsidRPr="00A51CF0">
        <w:rPr>
          <w:bCs/>
        </w:rPr>
        <w:t xml:space="preserve"> study</w:t>
      </w:r>
      <w:r w:rsidR="006C574C" w:rsidRPr="00A51CF0">
        <w:rPr>
          <w:bCs/>
        </w:rPr>
        <w:t xml:space="preserve"> found that 1% change in the level of FDI in previous year is associated with 0.29% increase in exports in the next year. The findings support the widely held belief that increased levels of FDI positively affect provincial manufacturing export performance. </w:t>
      </w:r>
    </w:p>
    <w:p w14:paraId="30EE1EA6" w14:textId="73E71470" w:rsidR="00306A77" w:rsidRPr="00A51CF0" w:rsidRDefault="00306A77" w:rsidP="00A51CF0">
      <w:pPr>
        <w:pStyle w:val="NormalWeb"/>
        <w:spacing w:before="0" w:beforeAutospacing="0" w:after="240" w:afterAutospacing="0" w:line="276" w:lineRule="auto"/>
        <w:jc w:val="both"/>
        <w:rPr>
          <w:bCs/>
        </w:rPr>
      </w:pPr>
      <w:r w:rsidRPr="00A51CF0">
        <w:rPr>
          <w:bCs/>
        </w:rPr>
        <w:t>The experience of China is particularly illustrative of the potential. The rapid growth of China’s manufacturing exports with a wide range of diversified production and successful penetration in the global markets, especially in those of USA and Europe, suggests that a strategy of mobilizing FDIs to deepen China’s manufacturing base and diversified export base has paid off handsomely. Since China is a net exporter of capital it is not so much the money but the technology, know-how and skills associated with FDI that have been instrumental. The lesson for Bangladesh and other developing countries is quite clear.</w:t>
      </w:r>
    </w:p>
    <w:p w14:paraId="0ECCC64E" w14:textId="4003E19F" w:rsidR="006C574C" w:rsidRPr="00A51CF0" w:rsidRDefault="006C574C" w:rsidP="00A51CF0">
      <w:pPr>
        <w:pStyle w:val="NormalWeb"/>
        <w:spacing w:before="0" w:beforeAutospacing="0" w:after="240" w:afterAutospacing="0" w:line="276" w:lineRule="auto"/>
        <w:jc w:val="both"/>
        <w:rPr>
          <w:bCs/>
        </w:rPr>
      </w:pPr>
      <w:r w:rsidRPr="00A51CF0">
        <w:rPr>
          <w:bCs/>
        </w:rPr>
        <w:t xml:space="preserve">Johnson (2007) investigates the flows of FDI and trade in eight high-performing East Asian economies with a focus on the relationship between FDI and host country exports. The concerned countries are: China, Hongkong, Indonesia, Malaysia, Korea, Singapore, Taiwan and Thailand. The empirical </w:t>
      </w:r>
      <w:r w:rsidR="00C76DC1" w:rsidRPr="00A51CF0">
        <w:rPr>
          <w:bCs/>
        </w:rPr>
        <w:t xml:space="preserve">evidence </w:t>
      </w:r>
      <w:r w:rsidRPr="00A51CF0">
        <w:rPr>
          <w:bCs/>
        </w:rPr>
        <w:t>indicate</w:t>
      </w:r>
      <w:r w:rsidR="00C76DC1" w:rsidRPr="00A51CF0">
        <w:rPr>
          <w:bCs/>
        </w:rPr>
        <w:t>s</w:t>
      </w:r>
      <w:r w:rsidRPr="00A51CF0">
        <w:rPr>
          <w:bCs/>
        </w:rPr>
        <w:t xml:space="preserve"> that FDI inflows have a significant and positive effect on host country exports, suggesting that export-platform FDI may be important for the East Asian economies. </w:t>
      </w:r>
    </w:p>
    <w:p w14:paraId="60E0509C" w14:textId="2FF913D1" w:rsidR="006C574C" w:rsidRPr="00A51CF0" w:rsidRDefault="006C574C" w:rsidP="00A51CF0">
      <w:pPr>
        <w:pStyle w:val="NormalWeb"/>
        <w:spacing w:before="0" w:beforeAutospacing="0" w:after="240" w:afterAutospacing="0" w:line="276" w:lineRule="auto"/>
        <w:jc w:val="both"/>
        <w:rPr>
          <w:bCs/>
        </w:rPr>
      </w:pPr>
      <w:r w:rsidRPr="00A51CF0">
        <w:rPr>
          <w:bCs/>
        </w:rPr>
        <w:t xml:space="preserve">Vietnam in recent years has experienced a substantial inflow of FDI. Xuan and Xing (2008) look at the implications of FDI for export performance in Vietnam. The research analyzes the impact of FDI on the exports of Vietnam with gravity equations. The empirical results demonstrate that FDI is one of the major factors driving the rapid export growth of Vietnam. It has significantly facilitated the expansion of Vietnam’s exports to FDI source countries. In particular, the empirical analysis shows that a 1 percent increase in FDI inflows is expected to lead to a 0.13 percent increase in Vietnam’s exports to these countries. </w:t>
      </w:r>
    </w:p>
    <w:p w14:paraId="18816C4E" w14:textId="08B690EC" w:rsidR="006C574C" w:rsidRPr="00A51CF0" w:rsidRDefault="006C574C" w:rsidP="00A51CF0">
      <w:pPr>
        <w:pStyle w:val="NormalWeb"/>
        <w:spacing w:before="0" w:beforeAutospacing="0" w:after="240" w:afterAutospacing="0" w:line="276" w:lineRule="auto"/>
        <w:jc w:val="both"/>
        <w:rPr>
          <w:bCs/>
        </w:rPr>
      </w:pPr>
      <w:r w:rsidRPr="00A51CF0">
        <w:rPr>
          <w:bCs/>
        </w:rPr>
        <w:t xml:space="preserve">Within South Asia India has experienced significant FDI inflows in recent years. Before the 1980s India was a heavily regulated and a virtually closed economy.  Reforms since the mid-1980s have transformed India into an increasingly globalized economy. Responding to the liberalization of trade and investment policies, FDI inflows have grown rapidly in </w:t>
      </w:r>
      <w:r w:rsidR="00306A77" w:rsidRPr="00A51CF0">
        <w:rPr>
          <w:bCs/>
        </w:rPr>
        <w:t>India since the mid-</w:t>
      </w:r>
      <w:r w:rsidRPr="00A51CF0">
        <w:rPr>
          <w:bCs/>
        </w:rPr>
        <w:t xml:space="preserve">1990s.  Prasanna (2010) investigates quantitatively the question of how FDIs have impacted on India’s export performance. The research finds that the impact of FDI inflows on export performance is significantly positive. </w:t>
      </w:r>
    </w:p>
    <w:p w14:paraId="5EE25E70" w14:textId="72237D9D" w:rsidR="00ED7B0B" w:rsidRPr="00A51CF0" w:rsidRDefault="00ED7B0B" w:rsidP="00A51CF0">
      <w:pPr>
        <w:pStyle w:val="NormalWeb"/>
        <w:spacing w:before="0" w:beforeAutospacing="0" w:after="240" w:afterAutospacing="0" w:line="276" w:lineRule="auto"/>
        <w:jc w:val="both"/>
        <w:rPr>
          <w:bCs/>
        </w:rPr>
      </w:pPr>
      <w:r w:rsidRPr="00A51CF0">
        <w:rPr>
          <w:bCs/>
        </w:rPr>
        <w:lastRenderedPageBreak/>
        <w:t xml:space="preserve">The preceding review provides strong research evidence of the critical role played by FDI as a catalyst for export-oriented industrialization which was the lynchpin of high growth in the East Asian economies. </w:t>
      </w:r>
      <w:r w:rsidR="005D3B77" w:rsidRPr="00A51CF0">
        <w:rPr>
          <w:bCs/>
        </w:rPr>
        <w:t xml:space="preserve">FDI inflows could play a similar role in Bangladesh’s transformation into a high-performing industrial economy with robust exports in the next decades. </w:t>
      </w:r>
    </w:p>
    <w:p w14:paraId="0054B5ED" w14:textId="59C62695" w:rsidR="00964097" w:rsidRPr="00A51CF0" w:rsidRDefault="00B70C10" w:rsidP="00A51CF0">
      <w:pPr>
        <w:pStyle w:val="NormalWeb"/>
        <w:spacing w:before="0" w:beforeAutospacing="0" w:after="240" w:afterAutospacing="0" w:line="276" w:lineRule="auto"/>
        <w:jc w:val="both"/>
        <w:rPr>
          <w:bCs/>
        </w:rPr>
      </w:pPr>
      <w:bookmarkStart w:id="85" w:name="_Toc345332521"/>
      <w:bookmarkStart w:id="86" w:name="_Toc404442088"/>
      <w:r w:rsidRPr="00A51CF0">
        <w:rPr>
          <w:bCs/>
          <w:i/>
        </w:rPr>
        <w:t>FDI fuels GVC exports.</w:t>
      </w:r>
      <w:r w:rsidRPr="00A51CF0">
        <w:rPr>
          <w:bCs/>
        </w:rPr>
        <w:t xml:space="preserve"> </w:t>
      </w:r>
      <w:r w:rsidR="00FB296B" w:rsidRPr="00A51CF0">
        <w:rPr>
          <w:bCs/>
        </w:rPr>
        <w:t>In Asia, FDI has played a particularly catalytic role in stimulating</w:t>
      </w:r>
      <w:r w:rsidR="00DD4AF6" w:rsidRPr="00A51CF0">
        <w:rPr>
          <w:bCs/>
        </w:rPr>
        <w:t xml:space="preserve"> trade in </w:t>
      </w:r>
      <w:r w:rsidR="00FB296B" w:rsidRPr="00A51CF0">
        <w:rPr>
          <w:bCs/>
        </w:rPr>
        <w:t>intermediate goods over the past 25 years or so. From 2001 to 2016, Asia’s share of global FDI increased from 12 percent to 28 percent; much of it had to do with the complementarity of trade and investment in the c</w:t>
      </w:r>
      <w:r w:rsidR="00825B79" w:rsidRPr="00A51CF0">
        <w:rPr>
          <w:bCs/>
        </w:rPr>
        <w:t>ontext of ‘Factory Asia’ and Asia’s</w:t>
      </w:r>
      <w:r w:rsidR="00FB296B" w:rsidRPr="00A51CF0">
        <w:rPr>
          <w:bCs/>
        </w:rPr>
        <w:t xml:space="preserve"> growing participation in cross-border global value chains (GVCs). </w:t>
      </w:r>
      <w:r w:rsidR="00964097" w:rsidRPr="00A51CF0">
        <w:rPr>
          <w:bCs/>
        </w:rPr>
        <w:t xml:space="preserve">GVCs are typically coordinated by Trans-National Corporations (TNCs), with cross-border trade of inputs and outputs taking place within their networks of affiliates, contractual partners and arm’s-length suppliers. According to UNCTAD (2013) TNC-coordinated GVCs account for some 80 per cent of global trade. As a result of the role of TNCs in global trade, </w:t>
      </w:r>
      <w:r w:rsidR="00CA0E34" w:rsidRPr="00A51CF0">
        <w:rPr>
          <w:bCs/>
        </w:rPr>
        <w:t>FDI</w:t>
      </w:r>
      <w:r w:rsidR="00964097" w:rsidRPr="00A51CF0">
        <w:rPr>
          <w:bCs/>
        </w:rPr>
        <w:t xml:space="preserve"> is </w:t>
      </w:r>
      <w:r w:rsidR="00CA0E34" w:rsidRPr="00A51CF0">
        <w:rPr>
          <w:bCs/>
        </w:rPr>
        <w:t xml:space="preserve">found to be </w:t>
      </w:r>
      <w:r w:rsidR="00964097" w:rsidRPr="00A51CF0">
        <w:rPr>
          <w:bCs/>
        </w:rPr>
        <w:t xml:space="preserve">closely linked with </w:t>
      </w:r>
      <w:r w:rsidR="00CA0E34" w:rsidRPr="00A51CF0">
        <w:rPr>
          <w:bCs/>
        </w:rPr>
        <w:t xml:space="preserve">a </w:t>
      </w:r>
      <w:r w:rsidR="00964097" w:rsidRPr="00A51CF0">
        <w:rPr>
          <w:bCs/>
        </w:rPr>
        <w:t>countries’ GVC participation. The correlation between FDI stock in countries and their GVC participation rates is strongly positive, and increasingly so over time, especially in the poorest countries, indicating that FDI may be an important avenue for developing countries to gain access to GVCs and grow their participation. Climbing the GVC development ladder implies not only increasing GVC participation and increasing domestic value added in exports. It also means moving into activities that can provide more development value added and increasing participation in more sophisticated GVCs, from resource-based activi</w:t>
      </w:r>
      <w:r w:rsidR="00CA0E34" w:rsidRPr="00A51CF0">
        <w:rPr>
          <w:bCs/>
        </w:rPr>
        <w:t>ties, to low-, medium- and high-</w:t>
      </w:r>
      <w:r w:rsidR="00964097" w:rsidRPr="00A51CF0">
        <w:rPr>
          <w:bCs/>
        </w:rPr>
        <w:t>tech activities, to knowledge-based activities such as design, innovation, R&amp;D, marketing and branding</w:t>
      </w:r>
      <w:r w:rsidR="00CA0E34" w:rsidRPr="00A51CF0">
        <w:rPr>
          <w:bCs/>
        </w:rPr>
        <w:t xml:space="preserve"> – as the experience of East Asian economies show. </w:t>
      </w:r>
    </w:p>
    <w:p w14:paraId="0BC0F39B" w14:textId="7D554AA2" w:rsidR="00535F98" w:rsidRPr="00A51CF0" w:rsidRDefault="00CA0E34" w:rsidP="00A51CF0">
      <w:pPr>
        <w:pStyle w:val="NormalWeb"/>
        <w:spacing w:before="0" w:beforeAutospacing="0" w:after="240" w:afterAutospacing="0" w:line="276" w:lineRule="auto"/>
        <w:jc w:val="both"/>
        <w:rPr>
          <w:bCs/>
        </w:rPr>
      </w:pPr>
      <w:r w:rsidRPr="00A51CF0">
        <w:rPr>
          <w:bCs/>
        </w:rPr>
        <w:t xml:space="preserve">Currently, </w:t>
      </w:r>
      <w:r w:rsidR="00FB296B" w:rsidRPr="00A51CF0">
        <w:rPr>
          <w:bCs/>
        </w:rPr>
        <w:t>Bangladesh</w:t>
      </w:r>
      <w:r w:rsidRPr="00A51CF0">
        <w:rPr>
          <w:bCs/>
        </w:rPr>
        <w:t xml:space="preserve"> faces the dual challenge of mobilizing more FDI and into the GVC operation. That is, its</w:t>
      </w:r>
      <w:r w:rsidR="00FB296B" w:rsidRPr="00A51CF0">
        <w:rPr>
          <w:bCs/>
        </w:rPr>
        <w:t xml:space="preserve"> best chance of getting on the GVC bandwagon lies in aggressively courting FDI </w:t>
      </w:r>
      <w:r w:rsidR="00DD4AF6" w:rsidRPr="00A51CF0">
        <w:rPr>
          <w:bCs/>
        </w:rPr>
        <w:t>from multinationals that are seeking low-cost locations for producing parts and components or for final assembly</w:t>
      </w:r>
      <w:r w:rsidR="00BD0841" w:rsidRPr="00A51CF0">
        <w:rPr>
          <w:bCs/>
        </w:rPr>
        <w:t xml:space="preserve"> </w:t>
      </w:r>
      <w:r w:rsidR="00211F03" w:rsidRPr="00A51CF0">
        <w:rPr>
          <w:bCs/>
        </w:rPr>
        <w:t>within the framework of cross-border production integration</w:t>
      </w:r>
      <w:r w:rsidR="00DD4AF6" w:rsidRPr="00A51CF0">
        <w:rPr>
          <w:bCs/>
        </w:rPr>
        <w:t xml:space="preserve">. FDI </w:t>
      </w:r>
      <w:r w:rsidR="00C124CE" w:rsidRPr="00A51CF0">
        <w:rPr>
          <w:bCs/>
        </w:rPr>
        <w:t>thus becomes</w:t>
      </w:r>
      <w:r w:rsidR="00DD4AF6" w:rsidRPr="00A51CF0">
        <w:rPr>
          <w:bCs/>
        </w:rPr>
        <w:t xml:space="preserve"> critical for Bangladesh to not only develop a wider base of intermediate goods industry but also to diversify exports into intermediate goods by vertically integrating with cross-border production entities. </w:t>
      </w:r>
      <w:r w:rsidR="00211F03" w:rsidRPr="00A51CF0">
        <w:rPr>
          <w:bCs/>
        </w:rPr>
        <w:t xml:space="preserve">It needs to translate its RMG experience with GVC on to other sectors like Footwear and Leather goods, electronics, light engineering, and other sectors with an aggressive strategy of FDI-driven GVC over the course of the next decade. </w:t>
      </w:r>
      <w:r w:rsidR="00EA0C97" w:rsidRPr="00A51CF0">
        <w:rPr>
          <w:bCs/>
        </w:rPr>
        <w:t xml:space="preserve">That would constitute a new form of export-oriented industrialization for Bangladesh on way to becoming a UMIC. </w:t>
      </w:r>
    </w:p>
    <w:p w14:paraId="7424516A" w14:textId="0F0346D4" w:rsidR="006C574C" w:rsidRPr="00D75275" w:rsidRDefault="006C574C" w:rsidP="00D75275">
      <w:pPr>
        <w:spacing w:after="240" w:line="276" w:lineRule="auto"/>
        <w:rPr>
          <w:rFonts w:ascii="Times New Roman" w:hAnsi="Times New Roman" w:cs="Times New Roman"/>
          <w:b/>
          <w:sz w:val="24"/>
        </w:rPr>
      </w:pPr>
      <w:r w:rsidRPr="00D75275">
        <w:rPr>
          <w:rFonts w:ascii="Times New Roman" w:hAnsi="Times New Roman" w:cs="Times New Roman"/>
          <w:b/>
          <w:sz w:val="24"/>
        </w:rPr>
        <w:t>Bangladesh Experience with FDI</w:t>
      </w:r>
      <w:bookmarkEnd w:id="85"/>
      <w:bookmarkEnd w:id="86"/>
    </w:p>
    <w:p w14:paraId="3054539C" w14:textId="0F27BAE4" w:rsidR="006C574C" w:rsidRPr="00A51CF0" w:rsidRDefault="006C574C" w:rsidP="00A51CF0">
      <w:pPr>
        <w:pStyle w:val="NormalWeb"/>
        <w:spacing w:before="0" w:beforeAutospacing="0" w:after="240" w:afterAutospacing="0" w:line="276" w:lineRule="auto"/>
        <w:jc w:val="both"/>
        <w:rPr>
          <w:bCs/>
        </w:rPr>
      </w:pPr>
      <w:r w:rsidRPr="00A51CF0">
        <w:rPr>
          <w:bCs/>
        </w:rPr>
        <w:t>The recent trend in global FDI flows is shown in Figure</w:t>
      </w:r>
      <w:r w:rsidR="00B8018A" w:rsidRPr="00A51CF0">
        <w:rPr>
          <w:bCs/>
        </w:rPr>
        <w:t>.14</w:t>
      </w:r>
      <w:r w:rsidRPr="00A51CF0">
        <w:rPr>
          <w:bCs/>
        </w:rPr>
        <w:t xml:space="preserve">. The global financial crisis of 2008-09 had a </w:t>
      </w:r>
      <w:r w:rsidRPr="00A51CF0">
        <w:rPr>
          <w:rFonts w:hint="eastAsia"/>
          <w:bCs/>
        </w:rPr>
        <w:t>deleterious</w:t>
      </w:r>
      <w:r w:rsidRPr="00A51CF0">
        <w:rPr>
          <w:bCs/>
        </w:rPr>
        <w:t xml:space="preserve"> effect on the flow of global FDI but there is clear evidence of a recovery since 2010.  Although still below the peak levels in 2007, glob</w:t>
      </w:r>
      <w:r w:rsidR="00B70C10" w:rsidRPr="00A51CF0">
        <w:rPr>
          <w:bCs/>
        </w:rPr>
        <w:t>al FDI flows were a healthy $1.7</w:t>
      </w:r>
      <w:r w:rsidRPr="00A51CF0">
        <w:rPr>
          <w:bCs/>
        </w:rPr>
        <w:t xml:space="preserve"> trillion in 201</w:t>
      </w:r>
      <w:r w:rsidR="00B70C10" w:rsidRPr="00A51CF0">
        <w:rPr>
          <w:bCs/>
        </w:rPr>
        <w:t>6</w:t>
      </w:r>
      <w:r w:rsidRPr="00A51CF0">
        <w:rPr>
          <w:bCs/>
        </w:rPr>
        <w:t>.</w:t>
      </w:r>
    </w:p>
    <w:p w14:paraId="3FE8D9D4" w14:textId="0DADB481" w:rsidR="00B70C10" w:rsidRDefault="00B70C10" w:rsidP="002056F2">
      <w:pPr>
        <w:pStyle w:val="Heading5"/>
        <w:rPr>
          <w:rFonts w:eastAsia="Times New Roman"/>
        </w:rPr>
      </w:pPr>
      <w:bookmarkStart w:id="87" w:name="_Toc345332589"/>
      <w:bookmarkStart w:id="88" w:name="_Toc404442133"/>
      <w:bookmarkStart w:id="89" w:name="_Toc496536548"/>
      <w:bookmarkStart w:id="90" w:name="_Hlk492998384"/>
      <w:r w:rsidRPr="006C574C">
        <w:rPr>
          <w:rFonts w:eastAsia="Times New Roman"/>
        </w:rPr>
        <w:lastRenderedPageBreak/>
        <w:t>Figure</w:t>
      </w:r>
      <w:r w:rsidR="002056F2">
        <w:rPr>
          <w:rFonts w:eastAsia="Times New Roman"/>
        </w:rPr>
        <w:t xml:space="preserve"> </w:t>
      </w:r>
      <w:r w:rsidR="00B8018A">
        <w:rPr>
          <w:rFonts w:eastAsia="Times New Roman"/>
        </w:rPr>
        <w:t>14</w:t>
      </w:r>
      <w:r w:rsidRPr="006C574C">
        <w:rPr>
          <w:rFonts w:eastAsia="Times New Roman"/>
        </w:rPr>
        <w:t>: Global FDI Flows 2005-201</w:t>
      </w:r>
      <w:r>
        <w:rPr>
          <w:rFonts w:eastAsia="Times New Roman"/>
        </w:rPr>
        <w:t>6</w:t>
      </w:r>
      <w:r w:rsidRPr="006C574C">
        <w:rPr>
          <w:rFonts w:eastAsia="Times New Roman"/>
        </w:rPr>
        <w:t>, Billion US$</w:t>
      </w:r>
      <w:bookmarkEnd w:id="87"/>
      <w:bookmarkEnd w:id="88"/>
      <w:bookmarkEnd w:id="89"/>
    </w:p>
    <w:p w14:paraId="62F982C3" w14:textId="6C91F3E9" w:rsidR="00B70C10" w:rsidRPr="003B66DB" w:rsidRDefault="003B66DB" w:rsidP="003B66DB">
      <w:pPr>
        <w:jc w:val="center"/>
      </w:pPr>
      <w:r w:rsidRPr="00D829C6">
        <w:rPr>
          <w:noProof/>
        </w:rPr>
        <w:drawing>
          <wp:inline distT="0" distB="0" distL="0" distR="0" wp14:anchorId="36472316" wp14:editId="73BF2D1B">
            <wp:extent cx="4362450" cy="1980000"/>
            <wp:effectExtent l="0" t="0" r="0" b="12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91A707F" w14:textId="77777777" w:rsidR="00B70C10" w:rsidRPr="006C574C" w:rsidRDefault="00B70C10" w:rsidP="00B70C10">
      <w:pPr>
        <w:spacing w:after="240"/>
        <w:rPr>
          <w:rFonts w:ascii="Times" w:eastAsia="Times New Roman" w:hAnsi="Times" w:cs="Times New Roman"/>
          <w:b/>
          <w:i/>
          <w:sz w:val="16"/>
        </w:rPr>
      </w:pPr>
      <w:r w:rsidRPr="006C574C">
        <w:rPr>
          <w:rFonts w:ascii="Times" w:eastAsia="Times New Roman" w:hAnsi="Times" w:cs="Times New Roman"/>
          <w:b/>
          <w:i/>
          <w:sz w:val="16"/>
        </w:rPr>
        <w:tab/>
        <w:t xml:space="preserve">    </w:t>
      </w:r>
      <w:r>
        <w:rPr>
          <w:rFonts w:ascii="Times" w:eastAsia="Times New Roman" w:hAnsi="Times" w:cs="Times New Roman"/>
          <w:b/>
          <w:i/>
          <w:sz w:val="16"/>
        </w:rPr>
        <w:t xml:space="preserve">       </w:t>
      </w:r>
      <w:r w:rsidRPr="006C574C">
        <w:rPr>
          <w:rFonts w:ascii="Times" w:eastAsia="Times New Roman" w:hAnsi="Times" w:cs="Times New Roman"/>
          <w:b/>
          <w:i/>
          <w:sz w:val="16"/>
        </w:rPr>
        <w:t xml:space="preserve"> Source: UNCTAD, 201</w:t>
      </w:r>
      <w:r>
        <w:rPr>
          <w:rFonts w:ascii="Times" w:eastAsia="Times New Roman" w:hAnsi="Times" w:cs="Times New Roman"/>
          <w:b/>
          <w:i/>
          <w:sz w:val="16"/>
        </w:rPr>
        <w:t>6</w:t>
      </w:r>
    </w:p>
    <w:p w14:paraId="34F1A904" w14:textId="505AA3D1" w:rsidR="00AD5B72" w:rsidRPr="00A51CF0" w:rsidRDefault="006C574C" w:rsidP="00A51CF0">
      <w:pPr>
        <w:pStyle w:val="NormalWeb"/>
        <w:spacing w:before="0" w:beforeAutospacing="0" w:after="240" w:afterAutospacing="0" w:line="276" w:lineRule="auto"/>
        <w:jc w:val="both"/>
        <w:rPr>
          <w:bCs/>
        </w:rPr>
      </w:pPr>
      <w:r w:rsidRPr="00A51CF0">
        <w:rPr>
          <w:bCs/>
        </w:rPr>
        <w:t>The distribut</w:t>
      </w:r>
      <w:r w:rsidR="00DC540E" w:rsidRPr="00A51CF0">
        <w:rPr>
          <w:bCs/>
        </w:rPr>
        <w:t>ion of these flows by regions as</w:t>
      </w:r>
      <w:r w:rsidRPr="00A51CF0">
        <w:rPr>
          <w:bCs/>
        </w:rPr>
        <w:t xml:space="preserve"> shown in Figure</w:t>
      </w:r>
      <w:r w:rsidR="00B8018A" w:rsidRPr="00A51CF0">
        <w:rPr>
          <w:bCs/>
        </w:rPr>
        <w:t>.15</w:t>
      </w:r>
      <w:r w:rsidR="00DC540E" w:rsidRPr="00A51CF0">
        <w:rPr>
          <w:bCs/>
        </w:rPr>
        <w:t>demonstrate that d</w:t>
      </w:r>
      <w:r w:rsidRPr="00A51CF0">
        <w:rPr>
          <w:bCs/>
        </w:rPr>
        <w:t xml:space="preserve">eveloping countries </w:t>
      </w:r>
      <w:r w:rsidR="004A69DB" w:rsidRPr="00A51CF0">
        <w:rPr>
          <w:bCs/>
        </w:rPr>
        <w:t>are increasingly mobilizing FDI</w:t>
      </w:r>
      <w:r w:rsidR="00B70C10" w:rsidRPr="00A51CF0">
        <w:rPr>
          <w:bCs/>
        </w:rPr>
        <w:t>,</w:t>
      </w:r>
      <w:r w:rsidR="004A69DB" w:rsidRPr="00A51CF0">
        <w:rPr>
          <w:bCs/>
        </w:rPr>
        <w:t xml:space="preserve"> accounting</w:t>
      </w:r>
      <w:r w:rsidR="00B70C10" w:rsidRPr="00A51CF0">
        <w:rPr>
          <w:bCs/>
        </w:rPr>
        <w:t xml:space="preserve"> for some 40</w:t>
      </w:r>
      <w:r w:rsidRPr="00A51CF0">
        <w:rPr>
          <w:bCs/>
        </w:rPr>
        <w:t xml:space="preserve"> percent of the total global FDI flows. Within the developing world, the S</w:t>
      </w:r>
      <w:r w:rsidR="00AD5B72" w:rsidRPr="00A51CF0">
        <w:rPr>
          <w:bCs/>
        </w:rPr>
        <w:t>outh and East Asia Region got 67</w:t>
      </w:r>
      <w:r w:rsidRPr="00A51CF0">
        <w:rPr>
          <w:bCs/>
        </w:rPr>
        <w:t xml:space="preserve"> percent of the FDI inflows to the developing countries</w:t>
      </w:r>
      <w:r w:rsidR="00AD5B72" w:rsidRPr="00A51CF0">
        <w:rPr>
          <w:bCs/>
        </w:rPr>
        <w:t xml:space="preserve"> with </w:t>
      </w:r>
      <w:r w:rsidR="004A69DB" w:rsidRPr="00A51CF0">
        <w:rPr>
          <w:bCs/>
        </w:rPr>
        <w:t xml:space="preserve">China </w:t>
      </w:r>
      <w:r w:rsidR="005825C0" w:rsidRPr="00A51CF0">
        <w:rPr>
          <w:bCs/>
        </w:rPr>
        <w:t>marshalling a whopping 53 percent of that</w:t>
      </w:r>
      <w:r w:rsidR="00AD5B72" w:rsidRPr="00A51CF0">
        <w:rPr>
          <w:bCs/>
        </w:rPr>
        <w:t xml:space="preserve">. </w:t>
      </w:r>
      <w:bookmarkStart w:id="91" w:name="_Toc345332590"/>
      <w:bookmarkStart w:id="92" w:name="_Toc404442134"/>
      <w:bookmarkEnd w:id="90"/>
    </w:p>
    <w:p w14:paraId="6454693A" w14:textId="43ADCF43" w:rsidR="00B70C10" w:rsidRDefault="00B70C10" w:rsidP="002056F2">
      <w:pPr>
        <w:pStyle w:val="Heading5"/>
        <w:rPr>
          <w:noProof/>
        </w:rPr>
      </w:pPr>
      <w:bookmarkStart w:id="93" w:name="_Toc496536549"/>
      <w:r w:rsidRPr="002056F2">
        <w:t>Figure</w:t>
      </w:r>
      <w:r w:rsidR="002056F2">
        <w:t xml:space="preserve"> </w:t>
      </w:r>
      <w:r w:rsidR="00B8018A" w:rsidRPr="002056F2">
        <w:t>15</w:t>
      </w:r>
      <w:r w:rsidRPr="002056F2">
        <w:t>: Regional Distribution of FDIs 2016, US$ Billions</w:t>
      </w:r>
      <w:bookmarkEnd w:id="91"/>
      <w:bookmarkEnd w:id="92"/>
      <w:bookmarkEnd w:id="93"/>
    </w:p>
    <w:p w14:paraId="7767FD4F" w14:textId="3EE4ED15" w:rsidR="002056F2" w:rsidRPr="002056F2" w:rsidRDefault="002056F2" w:rsidP="002056F2">
      <w:pPr>
        <w:spacing w:after="0"/>
        <w:jc w:val="center"/>
      </w:pPr>
      <w:r w:rsidRPr="00601D69">
        <w:rPr>
          <w:noProof/>
        </w:rPr>
        <w:drawing>
          <wp:inline distT="0" distB="0" distL="0" distR="0" wp14:anchorId="6F6807AE" wp14:editId="66760079">
            <wp:extent cx="4591050" cy="2088000"/>
            <wp:effectExtent l="0" t="0" r="0" b="76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555D394" w14:textId="77777777" w:rsidR="00B70C10" w:rsidRPr="006C574C" w:rsidRDefault="00B70C10" w:rsidP="002056F2">
      <w:pPr>
        <w:ind w:left="720"/>
        <w:rPr>
          <w:rFonts w:ascii="Times" w:eastAsia="Times New Roman" w:hAnsi="Times" w:cs="Times New Roman"/>
          <w:b/>
          <w:i/>
          <w:sz w:val="16"/>
        </w:rPr>
      </w:pPr>
      <w:r>
        <w:rPr>
          <w:rFonts w:ascii="Times" w:eastAsia="Times New Roman" w:hAnsi="Times" w:cs="Times New Roman"/>
          <w:b/>
          <w:i/>
          <w:sz w:val="16"/>
        </w:rPr>
        <w:tab/>
        <w:t>Source: UNCTAD, 2016</w:t>
      </w:r>
    </w:p>
    <w:p w14:paraId="41F8D957" w14:textId="68C56A90" w:rsidR="006C574C" w:rsidRPr="00A51CF0" w:rsidRDefault="006C574C" w:rsidP="00A51CF0">
      <w:pPr>
        <w:pStyle w:val="NormalWeb"/>
        <w:spacing w:before="0" w:beforeAutospacing="0" w:after="240" w:afterAutospacing="0" w:line="276" w:lineRule="auto"/>
        <w:jc w:val="both"/>
        <w:rPr>
          <w:bCs/>
        </w:rPr>
      </w:pPr>
      <w:r w:rsidRPr="00A51CF0">
        <w:rPr>
          <w:bCs/>
        </w:rPr>
        <w:t>Bangladesh is a minor player in FDI. As of 201</w:t>
      </w:r>
      <w:r w:rsidR="005825C0" w:rsidRPr="00A51CF0">
        <w:rPr>
          <w:bCs/>
        </w:rPr>
        <w:t>6, it approached about 2</w:t>
      </w:r>
      <w:r w:rsidRPr="00A51CF0">
        <w:rPr>
          <w:bCs/>
        </w:rPr>
        <w:t xml:space="preserve"> billion dollar, which </w:t>
      </w:r>
      <w:r w:rsidR="005825C0" w:rsidRPr="00A51CF0">
        <w:rPr>
          <w:bCs/>
        </w:rPr>
        <w:t>is less than 0.04</w:t>
      </w:r>
      <w:r w:rsidRPr="00A51CF0">
        <w:rPr>
          <w:bCs/>
        </w:rPr>
        <w:t xml:space="preserve"> percent of total inflows in South a</w:t>
      </w:r>
      <w:r w:rsidR="005825C0" w:rsidRPr="00A51CF0">
        <w:rPr>
          <w:bCs/>
        </w:rPr>
        <w:t>nd East Asia as compared with $4</w:t>
      </w:r>
      <w:r w:rsidRPr="00A51CF0">
        <w:rPr>
          <w:bCs/>
        </w:rPr>
        <w:t>4 billion in India (Figure</w:t>
      </w:r>
      <w:r w:rsidR="00B8018A" w:rsidRPr="00A51CF0">
        <w:rPr>
          <w:bCs/>
        </w:rPr>
        <w:t>.16</w:t>
      </w:r>
      <w:r w:rsidRPr="00A51CF0">
        <w:rPr>
          <w:bCs/>
        </w:rPr>
        <w:t>). Clearly, this is a missed opportunity for Bangladesh. In order to understand the constraints to FDI, it will be instructive to look at the lessons of the experience with FDIs so far.</w:t>
      </w:r>
    </w:p>
    <w:p w14:paraId="7D81F24F" w14:textId="77777777" w:rsidR="00D75275" w:rsidRDefault="00D75275">
      <w:pPr>
        <w:rPr>
          <w:rFonts w:ascii="Times New Roman" w:eastAsia="Times New Roman" w:hAnsi="Times New Roman" w:cs="Times New Roman"/>
          <w:b/>
          <w:sz w:val="24"/>
          <w:szCs w:val="24"/>
        </w:rPr>
      </w:pPr>
      <w:bookmarkStart w:id="94" w:name="_Toc345332591"/>
      <w:bookmarkStart w:id="95" w:name="_Toc404442135"/>
      <w:r>
        <w:rPr>
          <w:rFonts w:eastAsia="Times New Roman"/>
        </w:rPr>
        <w:br w:type="page"/>
      </w:r>
    </w:p>
    <w:p w14:paraId="2C217625" w14:textId="2B191D33" w:rsidR="00AD5B72" w:rsidRDefault="00AD5B72" w:rsidP="002056F2">
      <w:pPr>
        <w:pStyle w:val="Heading5"/>
        <w:rPr>
          <w:noProof/>
        </w:rPr>
      </w:pPr>
      <w:bookmarkStart w:id="96" w:name="_Toc496536550"/>
      <w:r w:rsidRPr="006C574C">
        <w:rPr>
          <w:rFonts w:eastAsia="Times New Roman"/>
        </w:rPr>
        <w:lastRenderedPageBreak/>
        <w:t>Figure</w:t>
      </w:r>
      <w:r w:rsidR="002056F2">
        <w:rPr>
          <w:rFonts w:eastAsia="Times New Roman"/>
        </w:rPr>
        <w:t xml:space="preserve"> </w:t>
      </w:r>
      <w:r w:rsidR="00B8018A">
        <w:rPr>
          <w:rFonts w:eastAsia="Times New Roman"/>
        </w:rPr>
        <w:t>16</w:t>
      </w:r>
      <w:r w:rsidRPr="006C574C">
        <w:rPr>
          <w:rFonts w:eastAsia="Times New Roman"/>
        </w:rPr>
        <w:t>: FDI Inflows in East and South Asia 201</w:t>
      </w:r>
      <w:r>
        <w:rPr>
          <w:rFonts w:eastAsia="Times New Roman"/>
        </w:rPr>
        <w:t>6</w:t>
      </w:r>
      <w:r w:rsidRPr="006C574C">
        <w:rPr>
          <w:rFonts w:eastAsia="Times New Roman"/>
        </w:rPr>
        <w:t>, US$ Billion</w:t>
      </w:r>
      <w:bookmarkEnd w:id="94"/>
      <w:bookmarkEnd w:id="95"/>
      <w:bookmarkEnd w:id="96"/>
    </w:p>
    <w:p w14:paraId="7A7FBD5D" w14:textId="3F459B13" w:rsidR="006A3FDE" w:rsidRPr="003B66DB" w:rsidRDefault="003B66DB" w:rsidP="003B66DB">
      <w:pPr>
        <w:jc w:val="center"/>
      </w:pPr>
      <w:r>
        <w:rPr>
          <w:noProof/>
        </w:rPr>
        <w:drawing>
          <wp:inline distT="0" distB="0" distL="0" distR="0" wp14:anchorId="6C5AFBF8" wp14:editId="798151A6">
            <wp:extent cx="4686300" cy="2181225"/>
            <wp:effectExtent l="0" t="0" r="1905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ABE3100" w14:textId="77777777" w:rsidR="00AD5B72" w:rsidRPr="006C574C" w:rsidRDefault="00AD5B72" w:rsidP="002056F2">
      <w:pPr>
        <w:spacing w:after="240"/>
        <w:ind w:left="720"/>
        <w:rPr>
          <w:rFonts w:ascii="Times" w:eastAsia="Times New Roman" w:hAnsi="Times" w:cs="Times New Roman"/>
          <w:b/>
          <w:i/>
          <w:sz w:val="16"/>
        </w:rPr>
      </w:pPr>
      <w:r w:rsidRPr="006C574C">
        <w:rPr>
          <w:rFonts w:ascii="Times" w:eastAsia="Times New Roman" w:hAnsi="Times" w:cs="Times New Roman"/>
          <w:b/>
          <w:i/>
          <w:sz w:val="16"/>
        </w:rPr>
        <w:t xml:space="preserve">       Source: UNCTAD 201</w:t>
      </w:r>
      <w:r>
        <w:rPr>
          <w:rFonts w:ascii="Times" w:eastAsia="Times New Roman" w:hAnsi="Times" w:cs="Times New Roman"/>
          <w:b/>
          <w:i/>
          <w:sz w:val="16"/>
        </w:rPr>
        <w:t>6</w:t>
      </w:r>
    </w:p>
    <w:p w14:paraId="2961BF44" w14:textId="7957E913" w:rsidR="006C574C" w:rsidRPr="00A51CF0" w:rsidRDefault="006C574C" w:rsidP="00A51CF0">
      <w:pPr>
        <w:pStyle w:val="NormalWeb"/>
        <w:spacing w:before="0" w:beforeAutospacing="0" w:after="240" w:afterAutospacing="0" w:line="276" w:lineRule="auto"/>
        <w:jc w:val="both"/>
        <w:rPr>
          <w:bCs/>
        </w:rPr>
      </w:pPr>
      <w:r w:rsidRPr="00A51CF0">
        <w:rPr>
          <w:bCs/>
        </w:rPr>
        <w:t>Figure</w:t>
      </w:r>
      <w:r w:rsidR="00B8018A" w:rsidRPr="00A51CF0">
        <w:rPr>
          <w:bCs/>
        </w:rPr>
        <w:t>.17</w:t>
      </w:r>
      <w:r w:rsidRPr="00A51CF0">
        <w:rPr>
          <w:bCs/>
        </w:rPr>
        <w:t xml:space="preserve">shows the trend of FDI in </w:t>
      </w:r>
      <w:r w:rsidR="003709D9" w:rsidRPr="00A51CF0">
        <w:rPr>
          <w:bCs/>
        </w:rPr>
        <w:t>Bangladesh between 1996 and 2016</w:t>
      </w:r>
      <w:r w:rsidRPr="00A51CF0">
        <w:rPr>
          <w:bCs/>
        </w:rPr>
        <w:t>. The FDI inflows</w:t>
      </w:r>
      <w:r w:rsidR="00AD5B72" w:rsidRPr="00A51CF0">
        <w:rPr>
          <w:bCs/>
        </w:rPr>
        <w:t xml:space="preserve"> have now crossed the $2</w:t>
      </w:r>
      <w:r w:rsidRPr="00A51CF0">
        <w:rPr>
          <w:bCs/>
        </w:rPr>
        <w:t xml:space="preserve">.0 billion mark.  Much of the FDIs were outside the export-promotion zone (EPZs), </w:t>
      </w:r>
      <w:r w:rsidR="00A91591" w:rsidRPr="00A51CF0">
        <w:rPr>
          <w:bCs/>
        </w:rPr>
        <w:t xml:space="preserve">simply because EPZ were limited in size relative to demand. </w:t>
      </w:r>
      <w:r w:rsidRPr="00A51CF0">
        <w:rPr>
          <w:bCs/>
        </w:rPr>
        <w:t>This is also in sharp contrast with the experience in China where much of the FDIs went into the free trade zones.</w:t>
      </w:r>
      <w:r w:rsidR="00A91591" w:rsidRPr="00A51CF0">
        <w:rPr>
          <w:bCs/>
        </w:rPr>
        <w:t xml:space="preserve"> The Government’s current plan to set up 100 special economic zones (SEZ) will be addressing the binding constraint of land with </w:t>
      </w:r>
      <w:r w:rsidR="003709D9" w:rsidRPr="00A51CF0">
        <w:rPr>
          <w:bCs/>
        </w:rPr>
        <w:t xml:space="preserve">functioning </w:t>
      </w:r>
      <w:r w:rsidR="00A91591" w:rsidRPr="00A51CF0">
        <w:rPr>
          <w:bCs/>
        </w:rPr>
        <w:t xml:space="preserve">infrastructure to attract FDI. </w:t>
      </w:r>
    </w:p>
    <w:p w14:paraId="7C34DBDE" w14:textId="57D40A37" w:rsidR="00AD5B72" w:rsidRDefault="00AD5B72" w:rsidP="002056F2">
      <w:pPr>
        <w:pStyle w:val="Heading5"/>
        <w:rPr>
          <w:rFonts w:eastAsia="Times New Roman"/>
        </w:rPr>
      </w:pPr>
      <w:bookmarkStart w:id="97" w:name="_Toc345332592"/>
      <w:bookmarkStart w:id="98" w:name="_Toc404442136"/>
      <w:bookmarkStart w:id="99" w:name="_Toc496536551"/>
      <w:bookmarkStart w:id="100" w:name="_Hlk492998442"/>
      <w:r w:rsidRPr="006C574C">
        <w:rPr>
          <w:rFonts w:eastAsia="Times New Roman"/>
        </w:rPr>
        <w:t>Figure</w:t>
      </w:r>
      <w:r w:rsidR="00E413B6">
        <w:rPr>
          <w:rFonts w:eastAsia="Times New Roman"/>
        </w:rPr>
        <w:t xml:space="preserve"> </w:t>
      </w:r>
      <w:r w:rsidR="00B8018A">
        <w:rPr>
          <w:rFonts w:eastAsia="Times New Roman"/>
        </w:rPr>
        <w:t>17</w:t>
      </w:r>
      <w:r w:rsidRPr="006C574C">
        <w:rPr>
          <w:rFonts w:eastAsia="Times New Roman"/>
        </w:rPr>
        <w:t>: Trend of FDIs in Bangladesh 1996-201</w:t>
      </w:r>
      <w:bookmarkEnd w:id="97"/>
      <w:bookmarkEnd w:id="98"/>
      <w:r>
        <w:rPr>
          <w:rFonts w:eastAsia="Times New Roman"/>
        </w:rPr>
        <w:t>6</w:t>
      </w:r>
      <w:bookmarkEnd w:id="99"/>
    </w:p>
    <w:p w14:paraId="12E3D07B" w14:textId="40B3CF4B" w:rsidR="00AD5B72" w:rsidRPr="003B66DB" w:rsidRDefault="003B66DB" w:rsidP="003B66DB">
      <w:pPr>
        <w:jc w:val="center"/>
      </w:pPr>
      <w:r>
        <w:rPr>
          <w:noProof/>
        </w:rPr>
        <w:drawing>
          <wp:inline distT="0" distB="0" distL="0" distR="0" wp14:anchorId="4D243F38" wp14:editId="029A326C">
            <wp:extent cx="4876800" cy="249555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8C1C9D6" w14:textId="77777777" w:rsidR="00AD5B72" w:rsidRPr="006C574C" w:rsidRDefault="00AD5B72" w:rsidP="003F7D33">
      <w:pPr>
        <w:spacing w:after="240"/>
        <w:ind w:left="720"/>
        <w:rPr>
          <w:rFonts w:ascii="Times" w:eastAsia="Times New Roman" w:hAnsi="Times" w:cs="Times New Roman"/>
          <w:b/>
          <w:i/>
          <w:sz w:val="16"/>
        </w:rPr>
      </w:pPr>
      <w:r w:rsidRPr="006C574C">
        <w:rPr>
          <w:rFonts w:ascii="Times" w:eastAsia="Times New Roman" w:hAnsi="Times" w:cs="Times New Roman"/>
          <w:b/>
          <w:i/>
          <w:sz w:val="16"/>
        </w:rPr>
        <w:t xml:space="preserve">    Source: Bangladesh Bank</w:t>
      </w:r>
    </w:p>
    <w:p w14:paraId="6876DE1E" w14:textId="4F63F459" w:rsidR="006C574C" w:rsidRPr="00A51CF0" w:rsidRDefault="006C574C" w:rsidP="00A51CF0">
      <w:pPr>
        <w:pStyle w:val="NormalWeb"/>
        <w:spacing w:before="0" w:beforeAutospacing="0" w:after="240" w:afterAutospacing="0" w:line="276" w:lineRule="auto"/>
        <w:jc w:val="both"/>
        <w:rPr>
          <w:bCs/>
        </w:rPr>
      </w:pPr>
      <w:r w:rsidRPr="00A51CF0">
        <w:rPr>
          <w:bCs/>
        </w:rPr>
        <w:t>The sectoral composition throws additional insight on the nature and pattern on FDIs in Bangladesh (Figure</w:t>
      </w:r>
      <w:r w:rsidR="00B8018A" w:rsidRPr="00A51CF0">
        <w:rPr>
          <w:bCs/>
        </w:rPr>
        <w:t>.18</w:t>
      </w:r>
      <w:r w:rsidRPr="00A51CF0">
        <w:rPr>
          <w:bCs/>
        </w:rPr>
        <w:t xml:space="preserve">). Much of the FDI concentrated in three major areas: </w:t>
      </w:r>
      <w:r w:rsidR="00162258" w:rsidRPr="00A51CF0">
        <w:rPr>
          <w:bCs/>
        </w:rPr>
        <w:t>energy (33%), manufacturing (26%</w:t>
      </w:r>
      <w:r w:rsidRPr="00A51CF0">
        <w:rPr>
          <w:bCs/>
        </w:rPr>
        <w:t>),</w:t>
      </w:r>
      <w:r w:rsidR="00162258" w:rsidRPr="00A51CF0">
        <w:rPr>
          <w:bCs/>
        </w:rPr>
        <w:t xml:space="preserve"> banking (15%</w:t>
      </w:r>
      <w:r w:rsidRPr="00A51CF0">
        <w:rPr>
          <w:bCs/>
        </w:rPr>
        <w:t>)</w:t>
      </w:r>
      <w:r w:rsidR="00162258" w:rsidRPr="00A51CF0">
        <w:rPr>
          <w:bCs/>
        </w:rPr>
        <w:t>, and communications (10%)</w:t>
      </w:r>
      <w:r w:rsidRPr="00A51CF0">
        <w:rPr>
          <w:bCs/>
        </w:rPr>
        <w:t xml:space="preserve">. More recently, with the deregulation of the telecommunications industry a substantial amount of FDI has </w:t>
      </w:r>
      <w:r w:rsidR="00162258" w:rsidRPr="00A51CF0">
        <w:rPr>
          <w:bCs/>
        </w:rPr>
        <w:t xml:space="preserve">flown into the sector since 2004. </w:t>
      </w:r>
    </w:p>
    <w:p w14:paraId="57D37E5E" w14:textId="62FAC9C9" w:rsidR="00D3725A" w:rsidRDefault="00D3725A" w:rsidP="002056F2">
      <w:pPr>
        <w:pStyle w:val="Heading5"/>
        <w:rPr>
          <w:rFonts w:eastAsia="Times New Roman"/>
        </w:rPr>
      </w:pPr>
      <w:bookmarkStart w:id="101" w:name="_Toc345332593"/>
      <w:bookmarkStart w:id="102" w:name="_Toc404442137"/>
      <w:bookmarkStart w:id="103" w:name="_Toc496536552"/>
      <w:bookmarkStart w:id="104" w:name="_Toc345332594"/>
      <w:bookmarkStart w:id="105" w:name="_Toc404442138"/>
      <w:r w:rsidRPr="006C574C">
        <w:rPr>
          <w:rFonts w:eastAsia="Times New Roman"/>
        </w:rPr>
        <w:lastRenderedPageBreak/>
        <w:t>Figure</w:t>
      </w:r>
      <w:r w:rsidR="00E413B6">
        <w:rPr>
          <w:rFonts w:eastAsia="Times New Roman"/>
        </w:rPr>
        <w:t xml:space="preserve"> </w:t>
      </w:r>
      <w:r w:rsidR="00B8018A">
        <w:rPr>
          <w:rFonts w:eastAsia="Times New Roman"/>
        </w:rPr>
        <w:t>18</w:t>
      </w:r>
      <w:r w:rsidRPr="006C574C">
        <w:rPr>
          <w:rFonts w:eastAsia="Times New Roman"/>
        </w:rPr>
        <w:t xml:space="preserve">: </w:t>
      </w:r>
      <w:bookmarkEnd w:id="101"/>
      <w:bookmarkEnd w:id="102"/>
      <w:r w:rsidRPr="006C574C">
        <w:rPr>
          <w:rFonts w:eastAsia="Times New Roman"/>
        </w:rPr>
        <w:t>Sectoral Distribution of FDIs in Bangladesh</w:t>
      </w:r>
      <w:bookmarkEnd w:id="103"/>
    </w:p>
    <w:p w14:paraId="67A3C319" w14:textId="7BC4A917" w:rsidR="00D3725A" w:rsidRPr="003B66DB" w:rsidRDefault="003B66DB" w:rsidP="003B66DB">
      <w:pPr>
        <w:jc w:val="center"/>
      </w:pPr>
      <w:r w:rsidRPr="004F26E1">
        <w:rPr>
          <w:noProof/>
          <w:sz w:val="18"/>
          <w:szCs w:val="18"/>
        </w:rPr>
        <w:drawing>
          <wp:inline distT="0" distB="0" distL="0" distR="0" wp14:anchorId="4297E3FF" wp14:editId="5812853A">
            <wp:extent cx="5210175" cy="2476500"/>
            <wp:effectExtent l="0" t="0" r="952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08085F4" w14:textId="77777777" w:rsidR="00D3725A" w:rsidRDefault="00D3725A" w:rsidP="00D3725A">
      <w:pPr>
        <w:spacing w:after="240"/>
        <w:rPr>
          <w:rFonts w:ascii="Times" w:eastAsia="Times New Roman" w:hAnsi="Times" w:cs="Times New Roman"/>
          <w:b/>
          <w:i/>
          <w:sz w:val="16"/>
        </w:rPr>
      </w:pPr>
      <w:r w:rsidRPr="006C574C">
        <w:rPr>
          <w:rFonts w:ascii="Times" w:eastAsia="Times New Roman" w:hAnsi="Times" w:cs="Times New Roman"/>
          <w:b/>
          <w:i/>
          <w:sz w:val="16"/>
        </w:rPr>
        <w:t xml:space="preserve">  </w:t>
      </w:r>
      <w:r>
        <w:rPr>
          <w:rFonts w:ascii="Times" w:eastAsia="Times New Roman" w:hAnsi="Times" w:cs="Times New Roman"/>
          <w:b/>
          <w:i/>
          <w:sz w:val="16"/>
        </w:rPr>
        <w:t xml:space="preserve">               </w:t>
      </w:r>
      <w:r w:rsidRPr="006C574C">
        <w:rPr>
          <w:rFonts w:ascii="Times" w:eastAsia="Times New Roman" w:hAnsi="Times" w:cs="Times New Roman"/>
          <w:b/>
          <w:i/>
          <w:sz w:val="16"/>
        </w:rPr>
        <w:t>Source: Bangladesh Bank</w:t>
      </w:r>
    </w:p>
    <w:bookmarkEnd w:id="100"/>
    <w:bookmarkEnd w:id="104"/>
    <w:bookmarkEnd w:id="105"/>
    <w:p w14:paraId="3BC46641" w14:textId="2A0D3D5B" w:rsidR="006C574C" w:rsidRPr="00A51CF0" w:rsidRDefault="006C574C" w:rsidP="00A51CF0">
      <w:pPr>
        <w:pStyle w:val="NormalWeb"/>
        <w:spacing w:before="0" w:beforeAutospacing="0" w:after="240" w:afterAutospacing="0" w:line="276" w:lineRule="auto"/>
        <w:jc w:val="both"/>
        <w:rPr>
          <w:bCs/>
        </w:rPr>
      </w:pPr>
      <w:r w:rsidRPr="00A51CF0">
        <w:rPr>
          <w:bCs/>
        </w:rPr>
        <w:t xml:space="preserve">The concentration of FDI in four core activities is not accidental and tells an important story of policy reforms and FDI inflows.  In the early years much of the FDI concentrated in textiles and oil and gas.  The textile industry was undergoing the well-known RMG revolution based on the deregulation of the RMG sector through trade policies and supportive fiscal and banking incentives. RMG entrepreneurs took advantage of this positive environment and invited foreign firms to enter into joint ventures. </w:t>
      </w:r>
      <w:r w:rsidR="00877A9D" w:rsidRPr="00A51CF0">
        <w:rPr>
          <w:bCs/>
        </w:rPr>
        <w:t xml:space="preserve">EPZ also attracted FDI into this sector. </w:t>
      </w:r>
      <w:r w:rsidRPr="00A51CF0">
        <w:rPr>
          <w:bCs/>
        </w:rPr>
        <w:t xml:space="preserve">These FDI brought in new technology, financing and market access.  Regarding </w:t>
      </w:r>
      <w:r w:rsidR="00877A9D" w:rsidRPr="00A51CF0">
        <w:rPr>
          <w:bCs/>
        </w:rPr>
        <w:t xml:space="preserve">power, </w:t>
      </w:r>
      <w:r w:rsidRPr="00A51CF0">
        <w:rPr>
          <w:bCs/>
        </w:rPr>
        <w:t xml:space="preserve">oil and gas, the government invited foreign firms for </w:t>
      </w:r>
      <w:r w:rsidR="00877A9D" w:rsidRPr="00A51CF0">
        <w:rPr>
          <w:bCs/>
        </w:rPr>
        <w:t xml:space="preserve">private power generation, </w:t>
      </w:r>
      <w:r w:rsidRPr="00A51CF0">
        <w:rPr>
          <w:bCs/>
        </w:rPr>
        <w:t>oil and gas exploration</w:t>
      </w:r>
      <w:r w:rsidR="00877A9D" w:rsidRPr="00A51CF0">
        <w:rPr>
          <w:bCs/>
        </w:rPr>
        <w:t>,</w:t>
      </w:r>
      <w:r w:rsidRPr="00A51CF0">
        <w:rPr>
          <w:bCs/>
        </w:rPr>
        <w:t xml:space="preserve"> offering them attractive terms.  The deregulation in the banking sector has similarly attracted significant FDI inflows, especially since 2005.  Finally, the deregulation of the telecommunications sector has attracted </w:t>
      </w:r>
      <w:r w:rsidR="00B362A4" w:rsidRPr="00A51CF0">
        <w:rPr>
          <w:bCs/>
        </w:rPr>
        <w:t>the most</w:t>
      </w:r>
      <w:r w:rsidRPr="00A51CF0">
        <w:rPr>
          <w:bCs/>
        </w:rPr>
        <w:t xml:space="preserve"> FDI since 2004.  Even this limited evidence from Bangladesh is supportive of the global experience that FDI flows into countries and activities where business environment is deregulated and production incentives are attractive. </w:t>
      </w:r>
    </w:p>
    <w:p w14:paraId="789394AA" w14:textId="71ED39EA" w:rsidR="006C574C" w:rsidRPr="00A51CF0" w:rsidRDefault="006C574C" w:rsidP="00A51CF0">
      <w:pPr>
        <w:pStyle w:val="NormalWeb"/>
        <w:spacing w:before="0" w:beforeAutospacing="0" w:after="240" w:afterAutospacing="0" w:line="276" w:lineRule="auto"/>
        <w:jc w:val="both"/>
        <w:rPr>
          <w:bCs/>
        </w:rPr>
      </w:pPr>
      <w:r w:rsidRPr="00A51CF0">
        <w:rPr>
          <w:bCs/>
        </w:rPr>
        <w:t xml:space="preserve">FDI experience in Bangladesh is too limited in scope to allow for a meaningful quantitative evaluation of the role in </w:t>
      </w:r>
      <w:r w:rsidR="00877A9D" w:rsidRPr="00A51CF0">
        <w:rPr>
          <w:bCs/>
        </w:rPr>
        <w:t xml:space="preserve">all </w:t>
      </w:r>
      <w:r w:rsidRPr="00A51CF0">
        <w:rPr>
          <w:bCs/>
        </w:rPr>
        <w:t>exports</w:t>
      </w:r>
      <w:r w:rsidR="00877A9D" w:rsidRPr="00A51CF0">
        <w:rPr>
          <w:bCs/>
        </w:rPr>
        <w:t>, except RMG</w:t>
      </w:r>
      <w:r w:rsidRPr="00A51CF0">
        <w:rPr>
          <w:bCs/>
        </w:rPr>
        <w:t xml:space="preserve">. </w:t>
      </w:r>
      <w:r w:rsidR="00877A9D" w:rsidRPr="00A51CF0">
        <w:rPr>
          <w:bCs/>
        </w:rPr>
        <w:t>Even in RMG and textiles, though it is the major destination for manufacturing FDI, much of the inflow has been</w:t>
      </w:r>
      <w:r w:rsidR="00D14CA6" w:rsidRPr="00A51CF0">
        <w:rPr>
          <w:bCs/>
        </w:rPr>
        <w:t xml:space="preserve"> limited to</w:t>
      </w:r>
      <w:r w:rsidR="00877A9D" w:rsidRPr="00A51CF0">
        <w:rPr>
          <w:bCs/>
        </w:rPr>
        <w:t xml:space="preserve"> EPZ, as there was local resistance to FDI outside EPZ</w:t>
      </w:r>
      <w:r w:rsidR="00877A9D" w:rsidRPr="00A51CF0">
        <w:rPr>
          <w:bCs/>
          <w:vertAlign w:val="superscript"/>
        </w:rPr>
        <w:footnoteReference w:id="10"/>
      </w:r>
      <w:r w:rsidR="00877A9D" w:rsidRPr="00A51CF0">
        <w:rPr>
          <w:bCs/>
        </w:rPr>
        <w:t xml:space="preserve">. This situation is now changing as the government has put pressure on the BGMEA/BKMEA to issue </w:t>
      </w:r>
      <w:r w:rsidR="00D14CA6" w:rsidRPr="00A51CF0">
        <w:rPr>
          <w:bCs/>
        </w:rPr>
        <w:t>utilization declarations (</w:t>
      </w:r>
      <w:r w:rsidR="00877A9D" w:rsidRPr="00A51CF0">
        <w:rPr>
          <w:bCs/>
        </w:rPr>
        <w:t>UDs</w:t>
      </w:r>
      <w:r w:rsidR="00D14CA6" w:rsidRPr="00A51CF0">
        <w:rPr>
          <w:bCs/>
        </w:rPr>
        <w:t>)</w:t>
      </w:r>
      <w:r w:rsidR="00877A9D" w:rsidRPr="00A51CF0">
        <w:rPr>
          <w:bCs/>
        </w:rPr>
        <w:t xml:space="preserve"> to foreign RMG firms</w:t>
      </w:r>
      <w:r w:rsidR="00D14CA6" w:rsidRPr="00A51CF0">
        <w:rPr>
          <w:bCs/>
        </w:rPr>
        <w:t xml:space="preserve"> as well</w:t>
      </w:r>
      <w:r w:rsidR="00877A9D" w:rsidRPr="00A51CF0">
        <w:rPr>
          <w:bCs/>
        </w:rPr>
        <w:t xml:space="preserve">. </w:t>
      </w:r>
      <w:r w:rsidRPr="00A51CF0">
        <w:rPr>
          <w:bCs/>
        </w:rPr>
        <w:t>However, some indicative observations can be made of the poten</w:t>
      </w:r>
      <w:r w:rsidR="00B362A4" w:rsidRPr="00A51CF0">
        <w:rPr>
          <w:bCs/>
        </w:rPr>
        <w:t xml:space="preserve">tial based on this experience. </w:t>
      </w:r>
    </w:p>
    <w:p w14:paraId="27697F60" w14:textId="1A12A9C0" w:rsidR="00F9657B" w:rsidRPr="00A51CF0" w:rsidRDefault="006C574C" w:rsidP="00A51CF0">
      <w:pPr>
        <w:pStyle w:val="NormalWeb"/>
        <w:spacing w:before="0" w:beforeAutospacing="0" w:after="240" w:afterAutospacing="0" w:line="276" w:lineRule="auto"/>
        <w:jc w:val="both"/>
        <w:rPr>
          <w:bCs/>
        </w:rPr>
      </w:pPr>
      <w:r w:rsidRPr="00A51CF0">
        <w:rPr>
          <w:bCs/>
        </w:rPr>
        <w:lastRenderedPageBreak/>
        <w:t xml:space="preserve">First, the FDI inflows did play a major role in spurring the RMG sector.  The partnership between Desh Garments and the Daweoo enterprise of Korea is illustrative of this role.  This partnership in the early stages of the evolution of the RMG sector allowed Bangladesh to acquire important technology and quality assurance skills that proved invaluable in the later stages when this knowledge got heavily diffused throughout the garment industry. Bangladesh RMG is similarly benefitting from partnership with name-brand firms in reaching out </w:t>
      </w:r>
      <w:r w:rsidR="00F9657B" w:rsidRPr="00A51CF0">
        <w:rPr>
          <w:bCs/>
        </w:rPr>
        <w:t xml:space="preserve">to </w:t>
      </w:r>
      <w:r w:rsidRPr="00A51CF0">
        <w:rPr>
          <w:bCs/>
        </w:rPr>
        <w:t>the upscale RMG market in USA and Europe.</w:t>
      </w:r>
    </w:p>
    <w:p w14:paraId="3AD77198" w14:textId="69ECDCD4" w:rsidR="006C574C" w:rsidRPr="00A51CF0" w:rsidRDefault="00162258" w:rsidP="00A51CF0">
      <w:pPr>
        <w:pStyle w:val="NormalWeb"/>
        <w:spacing w:before="0" w:beforeAutospacing="0" w:after="240" w:afterAutospacing="0" w:line="276" w:lineRule="auto"/>
        <w:jc w:val="both"/>
        <w:rPr>
          <w:bCs/>
        </w:rPr>
      </w:pPr>
      <w:r w:rsidRPr="00A51CF0">
        <w:rPr>
          <w:bCs/>
        </w:rPr>
        <w:t>Second</w:t>
      </w:r>
      <w:r w:rsidR="006C574C" w:rsidRPr="00A51CF0">
        <w:rPr>
          <w:bCs/>
        </w:rPr>
        <w:t>, FDI inflow in the energy sector is helping address a major energy constraint in Bangladesh.  The true potential of the role of FDI in easing this constraint is not being exploited by Bangladesh owing to a range of policy and institutional constraints. But there is little doubt that GDP growth and export diversification will benefit tremendously from additional FDI in energy and transport sector.</w:t>
      </w:r>
    </w:p>
    <w:p w14:paraId="762DA92F" w14:textId="02AD3412" w:rsidR="006C574C" w:rsidRPr="00A51CF0" w:rsidRDefault="00162258" w:rsidP="00A51CF0">
      <w:pPr>
        <w:pStyle w:val="NormalWeb"/>
        <w:spacing w:before="0" w:beforeAutospacing="0" w:after="240" w:afterAutospacing="0" w:line="276" w:lineRule="auto"/>
        <w:jc w:val="both"/>
        <w:rPr>
          <w:bCs/>
        </w:rPr>
      </w:pPr>
      <w:r w:rsidRPr="00A51CF0">
        <w:rPr>
          <w:bCs/>
        </w:rPr>
        <w:t>Third</w:t>
      </w:r>
      <w:r w:rsidR="006C574C" w:rsidRPr="00A51CF0">
        <w:rPr>
          <w:bCs/>
        </w:rPr>
        <w:t>, FDI flows in banking and telecoms are helping modernize these sectors and upgrade service quantity and quality.  Both are critical inputs into the export supply chain.  In particular, the potential for service exports in the ITC sector depends on strong FDI partnerships in both sectors.</w:t>
      </w:r>
    </w:p>
    <w:p w14:paraId="0C1A41B0" w14:textId="4D952753" w:rsidR="00F9657B" w:rsidRPr="00A51CF0" w:rsidRDefault="00162258" w:rsidP="00A51CF0">
      <w:pPr>
        <w:pStyle w:val="NormalWeb"/>
        <w:spacing w:before="0" w:beforeAutospacing="0" w:after="240" w:afterAutospacing="0" w:line="276" w:lineRule="auto"/>
        <w:jc w:val="both"/>
        <w:rPr>
          <w:bCs/>
        </w:rPr>
      </w:pPr>
      <w:r w:rsidRPr="00A51CF0">
        <w:rPr>
          <w:bCs/>
        </w:rPr>
        <w:t>Fourth</w:t>
      </w:r>
      <w:r w:rsidR="00F9657B" w:rsidRPr="00A51CF0">
        <w:rPr>
          <w:bCs/>
        </w:rPr>
        <w:t xml:space="preserve">, with GDP having crossed $250 billion, Bangladesh has </w:t>
      </w:r>
      <w:r w:rsidR="00FB7770" w:rsidRPr="00A51CF0">
        <w:rPr>
          <w:bCs/>
        </w:rPr>
        <w:t xml:space="preserve">attracted FDI into </w:t>
      </w:r>
      <w:r w:rsidR="00F9657B" w:rsidRPr="00A51CF0">
        <w:rPr>
          <w:bCs/>
        </w:rPr>
        <w:t xml:space="preserve">a rapidly growing hospitality industry which has attracted the top global Hotel chains like Westin, Radisson, Holiday Inn, Sheraton, Pan Pacific, to set up and manage </w:t>
      </w:r>
      <w:r w:rsidR="00FB7770" w:rsidRPr="00A51CF0">
        <w:rPr>
          <w:bCs/>
        </w:rPr>
        <w:t xml:space="preserve">high class hotels in the country. Hospitality infrastructure plays a vital role in facilitating exports and international trade. </w:t>
      </w:r>
    </w:p>
    <w:p w14:paraId="5C18F33E" w14:textId="3D0118DC" w:rsidR="00FB7770" w:rsidRPr="00A51CF0" w:rsidRDefault="00FB7770" w:rsidP="00A51CF0">
      <w:pPr>
        <w:pStyle w:val="NormalWeb"/>
        <w:spacing w:before="0" w:beforeAutospacing="0" w:after="240" w:afterAutospacing="0" w:line="276" w:lineRule="auto"/>
        <w:jc w:val="both"/>
        <w:rPr>
          <w:bCs/>
        </w:rPr>
      </w:pPr>
      <w:r w:rsidRPr="00A51CF0">
        <w:rPr>
          <w:bCs/>
        </w:rPr>
        <w:t xml:space="preserve">Finally, taking the cue from the initial GVC experience in RMG, Bangladesh needs to launch a concerted effort to hop on to the GVC bandwagon by nurturing incumbent FDI and courting TNCs that are looking for low-cost production centers to expand their supply chains in the South and East Asia region. For the next decade and beyond, this particular </w:t>
      </w:r>
      <w:r w:rsidR="003F7D33" w:rsidRPr="00A51CF0">
        <w:rPr>
          <w:bCs/>
        </w:rPr>
        <w:t xml:space="preserve">feature of FDI promises to boost Bangladesh’s trade and exports by diversifying into many potential export products that are many (some 900 export products were recorded under $1 million in 2016) but still small players in the country’s export basket. </w:t>
      </w:r>
    </w:p>
    <w:p w14:paraId="7197D46A" w14:textId="31D87E76" w:rsidR="00CD2FBB" w:rsidRPr="00E96391" w:rsidRDefault="001842C4" w:rsidP="00B54A48">
      <w:pPr>
        <w:pStyle w:val="Heading1"/>
      </w:pPr>
      <w:bookmarkStart w:id="106" w:name="_Toc496536521"/>
      <w:r w:rsidRPr="00886715">
        <w:t xml:space="preserve">STRENGTHENING </w:t>
      </w:r>
      <w:r w:rsidR="00E96391" w:rsidRPr="00886715">
        <w:t>INSTITU</w:t>
      </w:r>
      <w:r w:rsidR="00AA2C18" w:rsidRPr="00886715">
        <w:t>T</w:t>
      </w:r>
      <w:r w:rsidR="00E96391" w:rsidRPr="00886715">
        <w:t>IONS</w:t>
      </w:r>
      <w:r w:rsidRPr="00886715">
        <w:t xml:space="preserve"> FOR</w:t>
      </w:r>
      <w:r w:rsidR="00E96391" w:rsidRPr="00886715">
        <w:t xml:space="preserve"> TRADE AND INDUSTRY</w:t>
      </w:r>
      <w:bookmarkEnd w:id="106"/>
    </w:p>
    <w:p w14:paraId="3FB15A4E" w14:textId="43300967" w:rsidR="000A2DE1" w:rsidRPr="00A51CF0" w:rsidRDefault="00ED4103" w:rsidP="00A51CF0">
      <w:pPr>
        <w:pStyle w:val="NormalWeb"/>
        <w:spacing w:before="0" w:beforeAutospacing="0" w:after="240" w:afterAutospacing="0" w:line="276" w:lineRule="auto"/>
        <w:jc w:val="both"/>
        <w:rPr>
          <w:bCs/>
        </w:rPr>
      </w:pPr>
      <w:r w:rsidRPr="00A51CF0">
        <w:rPr>
          <w:bCs/>
        </w:rPr>
        <w:t xml:space="preserve">From a careful review of economic </w:t>
      </w:r>
      <w:r w:rsidR="001B672D" w:rsidRPr="00A51CF0">
        <w:rPr>
          <w:bCs/>
        </w:rPr>
        <w:t>history,</w:t>
      </w:r>
      <w:r w:rsidRPr="00A51CF0">
        <w:rPr>
          <w:bCs/>
        </w:rPr>
        <w:t xml:space="preserve"> we find confirmation of the fact that rapid growth that transforms developing economies into developed economies in the course of a generation require</w:t>
      </w:r>
      <w:r w:rsidR="001B672D" w:rsidRPr="00A51CF0">
        <w:rPr>
          <w:bCs/>
        </w:rPr>
        <w:t>s a combination of two things:</w:t>
      </w:r>
      <w:r w:rsidR="000A2DE1" w:rsidRPr="00A51CF0">
        <w:rPr>
          <w:bCs/>
        </w:rPr>
        <w:t xml:space="preserve"> sound economic policies and good institutions to implement them. </w:t>
      </w:r>
      <w:r w:rsidR="00AF58AF" w:rsidRPr="00A51CF0">
        <w:rPr>
          <w:bCs/>
        </w:rPr>
        <w:t>R</w:t>
      </w:r>
      <w:r w:rsidR="00E96391" w:rsidRPr="00A51CF0">
        <w:rPr>
          <w:bCs/>
        </w:rPr>
        <w:t xml:space="preserve">esearch has shown that differences in institutions related to trade and industrial activity explain a good deal of why </w:t>
      </w:r>
      <w:r w:rsidR="00AF58AF" w:rsidRPr="00A51CF0">
        <w:rPr>
          <w:bCs/>
        </w:rPr>
        <w:t>export and industrial performance differ</w:t>
      </w:r>
      <w:r w:rsidR="001B672D" w:rsidRPr="00A51CF0">
        <w:rPr>
          <w:bCs/>
        </w:rPr>
        <w:t>s</w:t>
      </w:r>
      <w:r w:rsidR="00AF58AF" w:rsidRPr="00A51CF0">
        <w:rPr>
          <w:bCs/>
        </w:rPr>
        <w:t xml:space="preserve"> across countries. There is much to be done in reforming several of the institutions in Bangladesh that deal with trade and industry, particularly in the area of promoting exports and its diversification. </w:t>
      </w:r>
    </w:p>
    <w:p w14:paraId="5750D677" w14:textId="50CDA6C9" w:rsidR="009A189E" w:rsidRPr="00A51CF0" w:rsidRDefault="00114D0D" w:rsidP="00A51CF0">
      <w:pPr>
        <w:pStyle w:val="NormalWeb"/>
        <w:spacing w:before="0" w:beforeAutospacing="0" w:after="240" w:afterAutospacing="0" w:line="276" w:lineRule="auto"/>
        <w:jc w:val="both"/>
        <w:rPr>
          <w:bCs/>
        </w:rPr>
      </w:pPr>
      <w:r w:rsidRPr="00A51CF0">
        <w:rPr>
          <w:bCs/>
          <w:i/>
        </w:rPr>
        <w:lastRenderedPageBreak/>
        <w:t>Sound policies.</w:t>
      </w:r>
      <w:r w:rsidRPr="00A51CF0">
        <w:rPr>
          <w:bCs/>
        </w:rPr>
        <w:t xml:space="preserve"> </w:t>
      </w:r>
      <w:r w:rsidR="00891201" w:rsidRPr="00A51CF0">
        <w:rPr>
          <w:bCs/>
        </w:rPr>
        <w:t xml:space="preserve">The World Development Report 1991 </w:t>
      </w:r>
      <w:r w:rsidR="00F355BB" w:rsidRPr="00A51CF0">
        <w:rPr>
          <w:bCs/>
        </w:rPr>
        <w:t>argued</w:t>
      </w:r>
      <w:r w:rsidR="009A189E" w:rsidRPr="00A51CF0">
        <w:rPr>
          <w:bCs/>
        </w:rPr>
        <w:t xml:space="preserve"> that sustained rapid growth results from the positive interaction of four critical aspects of economic policy: macroeconomic stability, human capital formation, openness to international trade, and a policy environment that encourages private investment and competition. </w:t>
      </w:r>
      <w:r w:rsidR="00F355BB" w:rsidRPr="00A51CF0">
        <w:rPr>
          <w:bCs/>
        </w:rPr>
        <w:t xml:space="preserve">That argument is valid today, and will remain so for the foreseeable future. </w:t>
      </w:r>
    </w:p>
    <w:p w14:paraId="2B581261" w14:textId="75793FAE" w:rsidR="000A2DE1" w:rsidRPr="00A51CF0" w:rsidRDefault="00E04892" w:rsidP="00A51CF0">
      <w:pPr>
        <w:pStyle w:val="NormalWeb"/>
        <w:spacing w:before="0" w:beforeAutospacing="0" w:after="240" w:afterAutospacing="0" w:line="276" w:lineRule="auto"/>
        <w:jc w:val="both"/>
        <w:rPr>
          <w:bCs/>
        </w:rPr>
      </w:pPr>
      <w:r w:rsidRPr="00A51CF0">
        <w:rPr>
          <w:bCs/>
        </w:rPr>
        <w:t>M</w:t>
      </w:r>
      <w:r w:rsidR="00114D0D" w:rsidRPr="00A51CF0">
        <w:rPr>
          <w:bCs/>
        </w:rPr>
        <w:t xml:space="preserve">acroeconomic stability </w:t>
      </w:r>
      <w:r w:rsidRPr="00A51CF0">
        <w:rPr>
          <w:bCs/>
        </w:rPr>
        <w:t xml:space="preserve">with sustainable internal and external balance </w:t>
      </w:r>
      <w:r w:rsidR="00114D0D" w:rsidRPr="00A51CF0">
        <w:rPr>
          <w:bCs/>
        </w:rPr>
        <w:t xml:space="preserve">is a fundamental </w:t>
      </w:r>
      <w:r w:rsidRPr="00A51CF0">
        <w:rPr>
          <w:bCs/>
        </w:rPr>
        <w:t xml:space="preserve">prerequisite </w:t>
      </w:r>
      <w:r w:rsidR="00114D0D" w:rsidRPr="00A51CF0">
        <w:rPr>
          <w:bCs/>
        </w:rPr>
        <w:t>of rapid growth</w:t>
      </w:r>
      <w:r w:rsidRPr="00A51CF0">
        <w:rPr>
          <w:bCs/>
        </w:rPr>
        <w:t xml:space="preserve">. On this score Bangladesh does well for having maintained low and sustainable fiscal deficits, prudent management of public expenditures, modest inflation rates, and low level of public debt, both domestic and foreign. On the external front, exchange rate management has ensured exchange rate stability, a competitive exchange rate for the most part, and helped accumulation of foreign exchange </w:t>
      </w:r>
      <w:r w:rsidR="00893616" w:rsidRPr="00A51CF0">
        <w:rPr>
          <w:bCs/>
        </w:rPr>
        <w:t xml:space="preserve">reserves to comfortable levels, without any episode of external debt overhang or debt rescheduling. </w:t>
      </w:r>
    </w:p>
    <w:p w14:paraId="6665BA80" w14:textId="311834C5" w:rsidR="00891201" w:rsidRPr="00A51CF0" w:rsidRDefault="0057261E" w:rsidP="00A51CF0">
      <w:pPr>
        <w:pStyle w:val="NormalWeb"/>
        <w:spacing w:before="0" w:beforeAutospacing="0" w:after="240" w:afterAutospacing="0" w:line="276" w:lineRule="auto"/>
        <w:jc w:val="both"/>
        <w:rPr>
          <w:bCs/>
        </w:rPr>
      </w:pPr>
      <w:r w:rsidRPr="00A51CF0">
        <w:rPr>
          <w:bCs/>
        </w:rPr>
        <w:t>Economic policies have to be market-friendly</w:t>
      </w:r>
      <w:r w:rsidR="00F355BB" w:rsidRPr="00A51CF0">
        <w:rPr>
          <w:bCs/>
        </w:rPr>
        <w:t xml:space="preserve"> with the state</w:t>
      </w:r>
      <w:r w:rsidR="00AA2C18" w:rsidRPr="00A51CF0">
        <w:rPr>
          <w:bCs/>
        </w:rPr>
        <w:t xml:space="preserve"> playing a facilitating role. In</w:t>
      </w:r>
      <w:r w:rsidR="00F355BB" w:rsidRPr="00A51CF0">
        <w:rPr>
          <w:bCs/>
        </w:rPr>
        <w:t xml:space="preserve"> letting markets function </w:t>
      </w:r>
      <w:r w:rsidRPr="00A51CF0">
        <w:rPr>
          <w:bCs/>
        </w:rPr>
        <w:t>private agents will be facing a competitive environment in which to invest and allocate resources</w:t>
      </w:r>
      <w:r w:rsidR="00F355BB" w:rsidRPr="00A51CF0">
        <w:rPr>
          <w:bCs/>
        </w:rPr>
        <w:t xml:space="preserve"> efficiently and productively</w:t>
      </w:r>
      <w:r w:rsidRPr="00A51CF0">
        <w:rPr>
          <w:bCs/>
        </w:rPr>
        <w:t xml:space="preserve">. Bangladesh meets this criteria in modest terms. </w:t>
      </w:r>
      <w:r w:rsidR="009A189E" w:rsidRPr="00A51CF0">
        <w:rPr>
          <w:bCs/>
        </w:rPr>
        <w:t>Having recognized the pivotal role of markets in development, Bangladesh followed a gradualist approach of moving toward market-friendly growth strategy with a carefully delimited government activism</w:t>
      </w:r>
      <w:r w:rsidR="00B00185" w:rsidRPr="00A51CF0">
        <w:rPr>
          <w:bCs/>
        </w:rPr>
        <w:t xml:space="preserve"> leaving much of activities in the hands of the private sec</w:t>
      </w:r>
      <w:r w:rsidRPr="00A51CF0">
        <w:rPr>
          <w:bCs/>
        </w:rPr>
        <w:t>t</w:t>
      </w:r>
      <w:r w:rsidR="00B00185" w:rsidRPr="00A51CF0">
        <w:rPr>
          <w:bCs/>
        </w:rPr>
        <w:t>or</w:t>
      </w:r>
      <w:r w:rsidR="009A189E" w:rsidRPr="00A51CF0">
        <w:rPr>
          <w:bCs/>
        </w:rPr>
        <w:t xml:space="preserve">. </w:t>
      </w:r>
      <w:r w:rsidR="002F71D0" w:rsidRPr="00A51CF0">
        <w:rPr>
          <w:bCs/>
        </w:rPr>
        <w:t xml:space="preserve">While the industrial sector </w:t>
      </w:r>
      <w:r w:rsidR="00AA4185" w:rsidRPr="00A51CF0">
        <w:rPr>
          <w:bCs/>
        </w:rPr>
        <w:t>is no longer subject to investment restrictions for the private sector, there still remains a sizable quantum of state-ownership of enterprises in jute and cotton textiles, and some other products. Loss-making state-owned industries and a bunch of state-owned banks are the Achille’s heels of the Bangladesh e</w:t>
      </w:r>
      <w:r w:rsidR="00F355BB" w:rsidRPr="00A51CF0">
        <w:rPr>
          <w:bCs/>
        </w:rPr>
        <w:t>conomy as they continue to gouge</w:t>
      </w:r>
      <w:r w:rsidR="00AA4185" w:rsidRPr="00A51CF0">
        <w:rPr>
          <w:bCs/>
        </w:rPr>
        <w:t xml:space="preserve"> significant public resources periodically (through subsides and cash infusion) to stay afloat. </w:t>
      </w:r>
    </w:p>
    <w:p w14:paraId="3603A3E1" w14:textId="0549B777" w:rsidR="00AA4185" w:rsidRPr="00A51CF0" w:rsidRDefault="00196357" w:rsidP="00A51CF0">
      <w:pPr>
        <w:pStyle w:val="NormalWeb"/>
        <w:spacing w:before="0" w:beforeAutospacing="0" w:after="240" w:afterAutospacing="0" w:line="276" w:lineRule="auto"/>
        <w:jc w:val="both"/>
        <w:rPr>
          <w:bCs/>
        </w:rPr>
      </w:pPr>
      <w:r w:rsidRPr="00A51CF0">
        <w:rPr>
          <w:bCs/>
        </w:rPr>
        <w:t>Trade openness and greater integration with the world economy has given exports a boost for many developing economies</w:t>
      </w:r>
      <w:r w:rsidR="00C13601" w:rsidRPr="00A51CF0">
        <w:rPr>
          <w:bCs/>
        </w:rPr>
        <w:t xml:space="preserve"> that were able to break into the global market for manufactures. </w:t>
      </w:r>
      <w:r w:rsidR="0057261E" w:rsidRPr="00A51CF0">
        <w:rPr>
          <w:bCs/>
        </w:rPr>
        <w:t>With regard to trade openness, Bangladesh has made huge progress since 1990 but the agenda of trade reforms remains unfinished. There is still some way to go</w:t>
      </w:r>
      <w:r w:rsidR="00C13601" w:rsidRPr="00A51CF0">
        <w:rPr>
          <w:bCs/>
        </w:rPr>
        <w:t xml:space="preserve"> as we have not been able to transfer the success of RMG sector to other export products</w:t>
      </w:r>
      <w:r w:rsidR="0057261E" w:rsidRPr="00A51CF0">
        <w:rPr>
          <w:bCs/>
        </w:rPr>
        <w:t>. One of the features of a competitive dynamic economy is to</w:t>
      </w:r>
      <w:r w:rsidR="000D6598" w:rsidRPr="00A51CF0">
        <w:rPr>
          <w:bCs/>
        </w:rPr>
        <w:t xml:space="preserve"> ensure that</w:t>
      </w:r>
      <w:r w:rsidR="0057261E" w:rsidRPr="00A51CF0">
        <w:rPr>
          <w:bCs/>
        </w:rPr>
        <w:t xml:space="preserve"> domestic prices </w:t>
      </w:r>
      <w:r w:rsidR="000D6598" w:rsidRPr="00A51CF0">
        <w:rPr>
          <w:bCs/>
        </w:rPr>
        <w:t xml:space="preserve">of tradable </w:t>
      </w:r>
      <w:r w:rsidR="00191E3B" w:rsidRPr="00A51CF0">
        <w:rPr>
          <w:bCs/>
        </w:rPr>
        <w:t xml:space="preserve">are </w:t>
      </w:r>
      <w:r w:rsidR="0057261E" w:rsidRPr="00A51CF0">
        <w:rPr>
          <w:bCs/>
        </w:rPr>
        <w:t>close to international</w:t>
      </w:r>
      <w:r w:rsidR="00191E3B" w:rsidRPr="00A51CF0">
        <w:rPr>
          <w:bCs/>
        </w:rPr>
        <w:t xml:space="preserve"> prices</w:t>
      </w:r>
      <w:r w:rsidR="0057261E" w:rsidRPr="00A51CF0">
        <w:rPr>
          <w:bCs/>
        </w:rPr>
        <w:t xml:space="preserve">. That would require protection levels to be modest as in the case of the East Asian economies during their import substitution phase. This is where Bangladesh has work cut out as high levels of effective protection </w:t>
      </w:r>
      <w:r w:rsidR="00C13601" w:rsidRPr="00A51CF0">
        <w:rPr>
          <w:bCs/>
        </w:rPr>
        <w:t xml:space="preserve">to import substitutes keep domestic prices significantly above international prices with </w:t>
      </w:r>
      <w:r w:rsidR="00F355BB" w:rsidRPr="00A51CF0">
        <w:rPr>
          <w:bCs/>
        </w:rPr>
        <w:t>considerably</w:t>
      </w:r>
      <w:r w:rsidR="00C13601" w:rsidRPr="00A51CF0">
        <w:rPr>
          <w:bCs/>
        </w:rPr>
        <w:t xml:space="preserve"> higher profitability of domestic sales compared to exports. A swift rationalization of the protection structure has become an imperative for export diversification, i.e. expansion of non-RMG exports. </w:t>
      </w:r>
    </w:p>
    <w:p w14:paraId="25F25D02" w14:textId="1BBFB146" w:rsidR="00191E3B" w:rsidRPr="00A51CF0" w:rsidRDefault="001B672D" w:rsidP="00A51CF0">
      <w:pPr>
        <w:pStyle w:val="NormalWeb"/>
        <w:spacing w:before="0" w:beforeAutospacing="0" w:after="240" w:afterAutospacing="0" w:line="276" w:lineRule="auto"/>
        <w:jc w:val="both"/>
        <w:rPr>
          <w:bCs/>
        </w:rPr>
      </w:pPr>
      <w:r w:rsidRPr="00A51CF0">
        <w:rPr>
          <w:bCs/>
        </w:rPr>
        <w:t>E</w:t>
      </w:r>
      <w:r w:rsidR="00191E3B" w:rsidRPr="00A51CF0">
        <w:rPr>
          <w:bCs/>
        </w:rPr>
        <w:t>xport-orie</w:t>
      </w:r>
      <w:r w:rsidRPr="00A51CF0">
        <w:rPr>
          <w:bCs/>
        </w:rPr>
        <w:t>nted development in the future must take note that t</w:t>
      </w:r>
      <w:r w:rsidR="00191E3B" w:rsidRPr="00A51CF0">
        <w:rPr>
          <w:bCs/>
        </w:rPr>
        <w:t xml:space="preserve">he future of global trade is digital. </w:t>
      </w:r>
      <w:r w:rsidR="00B11C6C" w:rsidRPr="00A51CF0">
        <w:rPr>
          <w:bCs/>
        </w:rPr>
        <w:t xml:space="preserve">The mega-trends of digitization and more efficient systems are all in play around the globe. </w:t>
      </w:r>
      <w:r w:rsidR="00E45C9E" w:rsidRPr="00A51CF0">
        <w:rPr>
          <w:bCs/>
        </w:rPr>
        <w:lastRenderedPageBreak/>
        <w:t>According to Dubai Multi-Commodities Centre (</w:t>
      </w:r>
      <w:r w:rsidRPr="00A51CF0">
        <w:rPr>
          <w:bCs/>
        </w:rPr>
        <w:t xml:space="preserve">DMCC, </w:t>
      </w:r>
      <w:r w:rsidR="00E45C9E" w:rsidRPr="00A51CF0">
        <w:rPr>
          <w:bCs/>
        </w:rPr>
        <w:t>2015), o</w:t>
      </w:r>
      <w:r w:rsidR="00191E3B" w:rsidRPr="00A51CF0">
        <w:rPr>
          <w:bCs/>
        </w:rPr>
        <w:t xml:space="preserve">n-going digital revolution by stimulating digital commerce in global trade is expected to create 350 million more businesses that will export goods and services adding as much as $29 trillion to the world economy </w:t>
      </w:r>
      <w:r w:rsidR="00B11C6C" w:rsidRPr="00A51CF0">
        <w:rPr>
          <w:bCs/>
        </w:rPr>
        <w:t>over the next decade</w:t>
      </w:r>
      <w:r w:rsidR="00E45C9E" w:rsidRPr="00A51CF0">
        <w:rPr>
          <w:bCs/>
        </w:rPr>
        <w:t xml:space="preserve">. </w:t>
      </w:r>
      <w:r w:rsidR="00191E3B" w:rsidRPr="00A51CF0">
        <w:rPr>
          <w:bCs/>
        </w:rPr>
        <w:t xml:space="preserve">Bangladesh will have to be ready with its own digital strategy for the future in order to create opportunities for </w:t>
      </w:r>
      <w:r w:rsidR="00B11C6C" w:rsidRPr="00A51CF0">
        <w:rPr>
          <w:bCs/>
        </w:rPr>
        <w:t xml:space="preserve">the </w:t>
      </w:r>
      <w:r w:rsidR="00191E3B" w:rsidRPr="00A51CF0">
        <w:rPr>
          <w:bCs/>
        </w:rPr>
        <w:t xml:space="preserve">vast numbers of small businesses </w:t>
      </w:r>
      <w:r w:rsidRPr="00A51CF0">
        <w:rPr>
          <w:bCs/>
        </w:rPr>
        <w:t xml:space="preserve">(SMEs) </w:t>
      </w:r>
      <w:r w:rsidR="00191E3B" w:rsidRPr="00A51CF0">
        <w:rPr>
          <w:bCs/>
        </w:rPr>
        <w:t>that could gain access to world markets</w:t>
      </w:r>
      <w:r w:rsidR="00AB1693" w:rsidRPr="00A51CF0">
        <w:rPr>
          <w:bCs/>
        </w:rPr>
        <w:t xml:space="preserve"> and take advantage of</w:t>
      </w:r>
      <w:r w:rsidR="00B11C6C" w:rsidRPr="00A51CF0">
        <w:rPr>
          <w:bCs/>
        </w:rPr>
        <w:t xml:space="preserve"> this revolution</w:t>
      </w:r>
      <w:r w:rsidR="00191E3B" w:rsidRPr="00A51CF0">
        <w:rPr>
          <w:bCs/>
        </w:rPr>
        <w:t xml:space="preserve">. </w:t>
      </w:r>
      <w:r w:rsidR="00AB1693" w:rsidRPr="00A51CF0">
        <w:rPr>
          <w:bCs/>
        </w:rPr>
        <w:t>Digital Bangladesh will have to shift some of its focus to digital trad</w:t>
      </w:r>
      <w:r w:rsidR="000C146E" w:rsidRPr="00A51CF0">
        <w:rPr>
          <w:bCs/>
        </w:rPr>
        <w:t>e creation opportunities with supportive regulation, access to funding, securing talent</w:t>
      </w:r>
      <w:r w:rsidR="0025080A" w:rsidRPr="00A51CF0">
        <w:rPr>
          <w:bCs/>
        </w:rPr>
        <w:t>, and forging system efficiency</w:t>
      </w:r>
      <w:r w:rsidR="000C146E" w:rsidRPr="00A51CF0">
        <w:rPr>
          <w:bCs/>
        </w:rPr>
        <w:t xml:space="preserve">. </w:t>
      </w:r>
    </w:p>
    <w:p w14:paraId="2346082D" w14:textId="64A39B60" w:rsidR="00BC2872" w:rsidRPr="00A51CF0" w:rsidRDefault="00BC2872" w:rsidP="00A51CF0">
      <w:pPr>
        <w:pStyle w:val="NormalWeb"/>
        <w:spacing w:before="0" w:beforeAutospacing="0" w:after="240" w:afterAutospacing="0" w:line="276" w:lineRule="auto"/>
        <w:jc w:val="both"/>
        <w:rPr>
          <w:bCs/>
        </w:rPr>
      </w:pPr>
      <w:r w:rsidRPr="00A51CF0">
        <w:rPr>
          <w:bCs/>
        </w:rPr>
        <w:t xml:space="preserve">Institutions. </w:t>
      </w:r>
      <w:r w:rsidR="009A5D91" w:rsidRPr="00A51CF0">
        <w:rPr>
          <w:bCs/>
        </w:rPr>
        <w:t xml:space="preserve">Economic historians who have studied prosperity and decline of nations have concluded that </w:t>
      </w:r>
      <w:r w:rsidR="0087720E" w:rsidRPr="00A51CF0">
        <w:rPr>
          <w:bCs/>
        </w:rPr>
        <w:t xml:space="preserve">inclusiveness of political and economic institutions is critical for sustained prosperity (Acemoglu and Robinson, 2012). With a return to democratic politics in the 1990s, opening up of markets, deregulation and privatization of industrial enterprises, trade and exchange liberalization, </w:t>
      </w:r>
      <w:r w:rsidR="00EE0279" w:rsidRPr="00A51CF0">
        <w:rPr>
          <w:bCs/>
        </w:rPr>
        <w:t xml:space="preserve">Bangladesh is on way to building the kind of institutions that yield prosperity for the long-term. The next decade will be crucial for strengthening economic institutions that will help entrepreneurs seize market opportunities emerging in a fast-changing global economy driven by innovation and creative destruction. Though it appears that Bangladesh is on the right track with its growth trajectory on an upward trend, it should not give rise to complacency, as history shows that prosperity over time follows a non-linear process. </w:t>
      </w:r>
      <w:r w:rsidR="001B672D" w:rsidRPr="00A51CF0">
        <w:rPr>
          <w:bCs/>
        </w:rPr>
        <w:t>In order to attain and sustain high economic growth w</w:t>
      </w:r>
      <w:r w:rsidR="00B33907" w:rsidRPr="00A51CF0">
        <w:rPr>
          <w:bCs/>
        </w:rPr>
        <w:t>hat is needed is building and nurturing inclusive economic institutions that are effective in enforcing property rights, creating a level playing field for small and large entrepreneurs, SMEs and big business, and encouraging investment in innovation, adoption of new technologies and developing skills</w:t>
      </w:r>
      <w:r w:rsidR="001B672D" w:rsidRPr="00A51CF0">
        <w:rPr>
          <w:bCs/>
        </w:rPr>
        <w:t xml:space="preserve"> for the future</w:t>
      </w:r>
      <w:r w:rsidR="00E03E9D" w:rsidRPr="00A51CF0">
        <w:rPr>
          <w:bCs/>
        </w:rPr>
        <w:t xml:space="preserve">. </w:t>
      </w:r>
      <w:r w:rsidR="00B33907" w:rsidRPr="00A51CF0">
        <w:rPr>
          <w:bCs/>
        </w:rPr>
        <w:t xml:space="preserve"> </w:t>
      </w:r>
    </w:p>
    <w:p w14:paraId="5494E82A" w14:textId="0222B5F6" w:rsidR="00F355BB" w:rsidRPr="00A51CF0" w:rsidRDefault="00CF1263" w:rsidP="00A51CF0">
      <w:pPr>
        <w:pStyle w:val="NormalWeb"/>
        <w:spacing w:before="0" w:beforeAutospacing="0" w:after="240" w:afterAutospacing="0" w:line="276" w:lineRule="auto"/>
        <w:jc w:val="both"/>
        <w:rPr>
          <w:bCs/>
        </w:rPr>
      </w:pPr>
      <w:r w:rsidRPr="00A51CF0">
        <w:rPr>
          <w:bCs/>
        </w:rPr>
        <w:t xml:space="preserve">Transforming the Bangladesh economy into a high-income economy over the next 25 years will require strengthening of institutions that promote sound economic fundamentals, enhance functioning of markets for efficient resource allocation, and foster competitive discipline. </w:t>
      </w:r>
      <w:r w:rsidR="00227913" w:rsidRPr="00A51CF0">
        <w:rPr>
          <w:bCs/>
        </w:rPr>
        <w:t xml:space="preserve">Intervention in markets would have to be kept to a minimum. The record of high-performing economies show that promotion of specific industries did not yield results as industrial development tended to be market-conforming and exports performed better when driven by factor-intensity based comparative advantage. That means we need to revisit the approach to “thrust sectors” providing instead a </w:t>
      </w:r>
      <w:r w:rsidR="00883E71" w:rsidRPr="00A51CF0">
        <w:rPr>
          <w:bCs/>
        </w:rPr>
        <w:t xml:space="preserve">conducive policy environment for all investors and let those with the best potential succeed. The likely scenario in our digital future is that information asymmetry will fade to equalize market opportunities for all players. </w:t>
      </w:r>
    </w:p>
    <w:p w14:paraId="6432D93B" w14:textId="77777777" w:rsidR="006F2FE4" w:rsidRPr="00A51CF0" w:rsidRDefault="00883E71" w:rsidP="00A51CF0">
      <w:pPr>
        <w:pStyle w:val="NormalWeb"/>
        <w:spacing w:before="0" w:beforeAutospacing="0" w:after="240" w:afterAutospacing="0" w:line="276" w:lineRule="auto"/>
        <w:jc w:val="both"/>
        <w:rPr>
          <w:bCs/>
        </w:rPr>
      </w:pPr>
      <w:r w:rsidRPr="00A51CF0">
        <w:rPr>
          <w:bCs/>
        </w:rPr>
        <w:t>What about institutions that determine policies for import substitute protection</w:t>
      </w:r>
      <w:r w:rsidR="009A4805" w:rsidRPr="00A51CF0">
        <w:rPr>
          <w:bCs/>
        </w:rPr>
        <w:t xml:space="preserve"> and export promotion</w:t>
      </w:r>
      <w:r w:rsidRPr="00A51CF0">
        <w:rPr>
          <w:bCs/>
        </w:rPr>
        <w:t>? For one, there is no alternative but to phase out the current high level of effective protection as early as possible. Tariff protection</w:t>
      </w:r>
      <w:r w:rsidR="009A4805" w:rsidRPr="00A51CF0">
        <w:rPr>
          <w:bCs/>
        </w:rPr>
        <w:t xml:space="preserve"> -- if ever needed in the future --</w:t>
      </w:r>
      <w:r w:rsidRPr="00A51CF0">
        <w:rPr>
          <w:bCs/>
        </w:rPr>
        <w:t xml:space="preserve"> as an economic policy can only be justified </w:t>
      </w:r>
      <w:r w:rsidR="009A4805" w:rsidRPr="00A51CF0">
        <w:rPr>
          <w:bCs/>
        </w:rPr>
        <w:t xml:space="preserve">on a time-bound basis. Research on Bangladesh tariff structure and protection (PRI, 2012) reveals a high degree of tariff escalation resulting in a high magnitude of protection. A transparent and efficient tariff policy of the future can only conform to a scheme of </w:t>
      </w:r>
      <w:r w:rsidR="009A4805" w:rsidRPr="00A51CF0">
        <w:rPr>
          <w:bCs/>
        </w:rPr>
        <w:lastRenderedPageBreak/>
        <w:t xml:space="preserve">low and uniform tariffs. This is also because escalated tariff structure with high import substitute protection creates significant anti-export bias of incentives. Moreover, bureaucratic institutions (customs and tax administration) that govern such protection schemes need to be highly efficient and incorruptible to effectively implement neutralizing </w:t>
      </w:r>
      <w:r w:rsidR="009E720A" w:rsidRPr="00A51CF0">
        <w:rPr>
          <w:bCs/>
        </w:rPr>
        <w:t xml:space="preserve">schemes (e.g. bonded warehouses, duty-free imports). Likewise, export promotion policies like cash subsidies, favorable exchange rate, directed and concessional credit schemes, etc. also need to be results-oriented (e.g. </w:t>
      </w:r>
      <w:r w:rsidR="00835BA0" w:rsidRPr="00A51CF0">
        <w:rPr>
          <w:bCs/>
        </w:rPr>
        <w:t xml:space="preserve">yardstick of </w:t>
      </w:r>
      <w:r w:rsidR="009E720A" w:rsidRPr="00A51CF0">
        <w:rPr>
          <w:bCs/>
        </w:rPr>
        <w:t xml:space="preserve">export targets) and time-bound. The best option for exports in the future would be to move towards a free trade regime with support for skill development and technological deepening. </w:t>
      </w:r>
    </w:p>
    <w:p w14:paraId="4F4060ED" w14:textId="1926F806" w:rsidR="00AD409E" w:rsidRPr="00A51CF0" w:rsidRDefault="006F2FE4" w:rsidP="00A51CF0">
      <w:pPr>
        <w:pStyle w:val="NormalWeb"/>
        <w:spacing w:before="0" w:beforeAutospacing="0" w:after="240" w:afterAutospacing="0" w:line="276" w:lineRule="auto"/>
        <w:jc w:val="both"/>
        <w:rPr>
          <w:bCs/>
        </w:rPr>
      </w:pPr>
      <w:r w:rsidRPr="00A51CF0">
        <w:rPr>
          <w:bCs/>
        </w:rPr>
        <w:t xml:space="preserve">As Bangladesh graduates out of its LDC status, it will need to be cognizant of some WTO rules that it had hitherto ignored – particularly, those relating to levels of protective tariffs and para-tariffs. Other </w:t>
      </w:r>
      <w:r w:rsidR="00AD409E" w:rsidRPr="00A51CF0">
        <w:rPr>
          <w:bCs/>
        </w:rPr>
        <w:t xml:space="preserve">multilateral </w:t>
      </w:r>
      <w:r w:rsidRPr="00A51CF0">
        <w:rPr>
          <w:bCs/>
        </w:rPr>
        <w:t>disciplines will also come into play, such as rules governing intellectual property, subsidies, standards</w:t>
      </w:r>
      <w:r w:rsidR="00AD409E" w:rsidRPr="00A51CF0">
        <w:rPr>
          <w:bCs/>
        </w:rPr>
        <w:t>, and trade-related investment, which are going to be the same for developing and developed economies. Moreover, if Bangladesh were to seek membership of regional trading blocs, like RCEP, it would have to submit to their disciplines which are also likely to be stringent. Broadly speaking, economic institutions in Bangladesh will have to start getting ready to face and conform to a more competitive and rules-based global trading environment in the future. Nevertheless, trade facilitation with improved customs infr</w:t>
      </w:r>
      <w:r w:rsidR="00D144BD" w:rsidRPr="00A51CF0">
        <w:rPr>
          <w:bCs/>
        </w:rPr>
        <w:t>astructure and administration will remain effective mechanisms to</w:t>
      </w:r>
      <w:r w:rsidR="00AD409E" w:rsidRPr="00A51CF0">
        <w:rPr>
          <w:bCs/>
        </w:rPr>
        <w:t xml:space="preserve"> promote exports </w:t>
      </w:r>
      <w:r w:rsidR="00D144BD" w:rsidRPr="00A51CF0">
        <w:rPr>
          <w:bCs/>
        </w:rPr>
        <w:t xml:space="preserve">while being consistent with multilateral rules. </w:t>
      </w:r>
    </w:p>
    <w:p w14:paraId="38A16718" w14:textId="2A6A9187" w:rsidR="00AF58AF" w:rsidRPr="00AF58AF" w:rsidRDefault="00D1701A" w:rsidP="00B54A48">
      <w:pPr>
        <w:pStyle w:val="Heading1"/>
      </w:pPr>
      <w:bookmarkStart w:id="107" w:name="_Toc496536522"/>
      <w:r w:rsidRPr="00886715">
        <w:t>CONCLUSIONS AND THE ROAD TO TRANSFORMATION TO HIC</w:t>
      </w:r>
      <w:bookmarkEnd w:id="107"/>
    </w:p>
    <w:p w14:paraId="196C7B8A" w14:textId="31205155" w:rsidR="00184DD5" w:rsidRPr="00A51CF0" w:rsidRDefault="00184DD5" w:rsidP="00A51CF0">
      <w:pPr>
        <w:pStyle w:val="NormalWeb"/>
        <w:spacing w:before="0" w:beforeAutospacing="0" w:after="240" w:afterAutospacing="0" w:line="276" w:lineRule="auto"/>
        <w:jc w:val="both"/>
        <w:rPr>
          <w:bCs/>
        </w:rPr>
      </w:pPr>
      <w:r w:rsidRPr="00A51CF0">
        <w:rPr>
          <w:bCs/>
        </w:rPr>
        <w:t>The present study has argued that the future of the world economy</w:t>
      </w:r>
      <w:r w:rsidR="001D66FA" w:rsidRPr="00A51CF0">
        <w:rPr>
          <w:bCs/>
        </w:rPr>
        <w:t>, trade and industry,</w:t>
      </w:r>
      <w:r w:rsidRPr="00A51CF0">
        <w:rPr>
          <w:bCs/>
        </w:rPr>
        <w:t xml:space="preserve"> is </w:t>
      </w:r>
      <w:r w:rsidR="001D66FA" w:rsidRPr="00A51CF0">
        <w:rPr>
          <w:bCs/>
        </w:rPr>
        <w:t xml:space="preserve">going to be </w:t>
      </w:r>
      <w:r w:rsidRPr="00A51CF0">
        <w:rPr>
          <w:bCs/>
        </w:rPr>
        <w:t xml:space="preserve">digital. </w:t>
      </w:r>
      <w:r w:rsidR="001D66FA" w:rsidRPr="00A51CF0">
        <w:rPr>
          <w:bCs/>
        </w:rPr>
        <w:t xml:space="preserve">Bangladesh will have to be transformed into a digital economy with industry and services rapidly adopting the technological advances taking place around the globe. That calls for heavy investment in education and skill development as the economy moves into UMIC status. There is no scope for missing the bus. It has been made clear in this study that falling behind in making this investment in human capital will rob the country of its potential attainment of HIC status by 2041. </w:t>
      </w:r>
    </w:p>
    <w:p w14:paraId="48318D49" w14:textId="3B77BC79" w:rsidR="004D3E5A" w:rsidRPr="00A51CF0" w:rsidRDefault="00E66C2E" w:rsidP="00A51CF0">
      <w:pPr>
        <w:pStyle w:val="NormalWeb"/>
        <w:spacing w:before="0" w:beforeAutospacing="0" w:after="240" w:afterAutospacing="0" w:line="276" w:lineRule="auto"/>
        <w:jc w:val="both"/>
        <w:rPr>
          <w:bCs/>
        </w:rPr>
      </w:pPr>
      <w:r w:rsidRPr="00A51CF0">
        <w:rPr>
          <w:bCs/>
        </w:rPr>
        <w:t xml:space="preserve">Development economists have often referred to Bangladesh as a model of development. Gone are the skeptics who had </w:t>
      </w:r>
      <w:r w:rsidR="004D3E5A" w:rsidRPr="00A51CF0">
        <w:rPr>
          <w:bCs/>
        </w:rPr>
        <w:t>dubbed</w:t>
      </w:r>
      <w:r w:rsidRPr="00A51CF0">
        <w:rPr>
          <w:bCs/>
        </w:rPr>
        <w:t xml:space="preserve"> Bangladesh a “basket case”.</w:t>
      </w:r>
      <w:r w:rsidR="004D3E5A" w:rsidRPr="00A51CF0">
        <w:rPr>
          <w:bCs/>
        </w:rPr>
        <w:t xml:space="preserve"> With all the technological breakthroughs and churning that will take place over the next 25 years, Bangladesh could indeed pull another surprise and join the ranks of HIC in the 2040s propelled by high growth in the 2020s and 2030s. </w:t>
      </w:r>
    </w:p>
    <w:p w14:paraId="22FCD59E" w14:textId="67986F09" w:rsidR="006A5BC7" w:rsidRPr="00A51CF0" w:rsidRDefault="00125963" w:rsidP="00A51CF0">
      <w:pPr>
        <w:pStyle w:val="NormalWeb"/>
        <w:spacing w:before="0" w:beforeAutospacing="0" w:after="240" w:afterAutospacing="0" w:line="276" w:lineRule="auto"/>
        <w:jc w:val="both"/>
        <w:rPr>
          <w:bCs/>
        </w:rPr>
      </w:pPr>
      <w:r w:rsidRPr="00A51CF0">
        <w:rPr>
          <w:bCs/>
        </w:rPr>
        <w:t xml:space="preserve">High growth is possible. </w:t>
      </w:r>
      <w:r w:rsidR="006A5BC7" w:rsidRPr="00A51CF0">
        <w:rPr>
          <w:bCs/>
        </w:rPr>
        <w:t xml:space="preserve">According to Nobel Laureate Michael Spence, from ancient to modern times, the global flow of goods and services has never been static. It is now possible for countries to grow at 7,8,9, and 10 percent annually because of the enabling effect of the global economy. That is, economies can grow as fast as they can invest, provided they have some competitive edge. Bangladesh has proven its competitive edge in labor-intensive products, which will remain the basis of its global competitive advantage for the next decade before knowledge and skill-intensive </w:t>
      </w:r>
      <w:r w:rsidR="007363D8" w:rsidRPr="00A51CF0">
        <w:rPr>
          <w:bCs/>
        </w:rPr>
        <w:lastRenderedPageBreak/>
        <w:t xml:space="preserve">growth takes over. Bangladesh will thus have to start now for achieving that transformation in competitive advantage. </w:t>
      </w:r>
    </w:p>
    <w:p w14:paraId="7ADD3090" w14:textId="3D99A5E3" w:rsidR="004D3E5A" w:rsidRPr="00A51CF0" w:rsidRDefault="004D3E5A" w:rsidP="00A51CF0">
      <w:pPr>
        <w:pStyle w:val="NormalWeb"/>
        <w:spacing w:before="0" w:beforeAutospacing="0" w:after="240" w:afterAutospacing="0" w:line="276" w:lineRule="auto"/>
        <w:jc w:val="both"/>
        <w:rPr>
          <w:bCs/>
        </w:rPr>
      </w:pPr>
      <w:r w:rsidRPr="00A51CF0">
        <w:rPr>
          <w:bCs/>
        </w:rPr>
        <w:t>These are some of the transformations that will be taking place as the economy moves up the income ladder:</w:t>
      </w:r>
    </w:p>
    <w:p w14:paraId="1E3E2519" w14:textId="77777777" w:rsidR="00AD72E6" w:rsidRDefault="004D3E5A" w:rsidP="00A42036">
      <w:pPr>
        <w:pStyle w:val="ListParagraph"/>
        <w:numPr>
          <w:ilvl w:val="0"/>
          <w:numId w:val="11"/>
        </w:numPr>
        <w:spacing w:before="240" w:after="100" w:afterAutospacing="1"/>
        <w:jc w:val="both"/>
        <w:rPr>
          <w:rFonts w:ascii="Times New Roman" w:eastAsia="Times New Roman" w:hAnsi="Times New Roman" w:cs="Times New Roman"/>
          <w:spacing w:val="-5"/>
          <w:sz w:val="24"/>
          <w:szCs w:val="24"/>
        </w:rPr>
      </w:pPr>
      <w:r w:rsidRPr="00AA2C18">
        <w:rPr>
          <w:rFonts w:ascii="Times New Roman" w:eastAsia="Times New Roman" w:hAnsi="Times New Roman" w:cs="Times New Roman"/>
          <w:b/>
          <w:i/>
          <w:spacing w:val="-5"/>
          <w:sz w:val="24"/>
          <w:szCs w:val="24"/>
        </w:rPr>
        <w:t>Structural change</w:t>
      </w:r>
      <w:r>
        <w:rPr>
          <w:rFonts w:ascii="Times New Roman" w:eastAsia="Times New Roman" w:hAnsi="Times New Roman" w:cs="Times New Roman"/>
          <w:spacing w:val="-5"/>
          <w:sz w:val="24"/>
          <w:szCs w:val="24"/>
        </w:rPr>
        <w:t>: the share of industry</w:t>
      </w:r>
      <w:r w:rsidR="00AD72E6">
        <w:rPr>
          <w:rFonts w:ascii="Times New Roman" w:eastAsia="Times New Roman" w:hAnsi="Times New Roman" w:cs="Times New Roman"/>
          <w:spacing w:val="-5"/>
          <w:sz w:val="24"/>
          <w:szCs w:val="24"/>
        </w:rPr>
        <w:t xml:space="preserve"> in GDP,</w:t>
      </w:r>
      <w:r>
        <w:rPr>
          <w:rFonts w:ascii="Times New Roman" w:eastAsia="Times New Roman" w:hAnsi="Times New Roman" w:cs="Times New Roman"/>
          <w:spacing w:val="-5"/>
          <w:sz w:val="24"/>
          <w:szCs w:val="24"/>
        </w:rPr>
        <w:t xml:space="preserve"> </w:t>
      </w:r>
      <w:r w:rsidR="00AD72E6">
        <w:rPr>
          <w:rFonts w:ascii="Times New Roman" w:eastAsia="Times New Roman" w:hAnsi="Times New Roman" w:cs="Times New Roman"/>
          <w:spacing w:val="-5"/>
          <w:sz w:val="24"/>
          <w:szCs w:val="24"/>
        </w:rPr>
        <w:t>at 33% in 2020, is expected to reach 40% in 2030, then decline to 33% by 2041; services at 54% of GDP in 2020 will be rising to become the dominant part of the economy reaching 62% of GDP by 2041. Agriculture, like in most developed economies, will shrink to only 5% of GDP by 2041 (Fig.1).</w:t>
      </w:r>
    </w:p>
    <w:p w14:paraId="4A7DC8B6" w14:textId="3D7AF37D" w:rsidR="004D3E5A" w:rsidRDefault="00DE1EF5" w:rsidP="00A42036">
      <w:pPr>
        <w:pStyle w:val="ListParagraph"/>
        <w:numPr>
          <w:ilvl w:val="0"/>
          <w:numId w:val="11"/>
        </w:numPr>
        <w:spacing w:before="240" w:after="100" w:afterAutospacing="1"/>
        <w:jc w:val="both"/>
        <w:rPr>
          <w:rFonts w:ascii="Times New Roman" w:eastAsia="Times New Roman" w:hAnsi="Times New Roman" w:cs="Times New Roman"/>
          <w:spacing w:val="-5"/>
          <w:sz w:val="24"/>
          <w:szCs w:val="24"/>
        </w:rPr>
      </w:pPr>
      <w:r w:rsidRPr="00AA2C18">
        <w:rPr>
          <w:rFonts w:ascii="Times New Roman" w:eastAsia="Times New Roman" w:hAnsi="Times New Roman" w:cs="Times New Roman"/>
          <w:b/>
          <w:i/>
          <w:spacing w:val="-5"/>
          <w:sz w:val="24"/>
          <w:szCs w:val="24"/>
        </w:rPr>
        <w:t>Fourth Industrial Revolution</w:t>
      </w:r>
      <w:r>
        <w:rPr>
          <w:rFonts w:ascii="Times New Roman" w:eastAsia="Times New Roman" w:hAnsi="Times New Roman" w:cs="Times New Roman"/>
          <w:spacing w:val="-5"/>
          <w:sz w:val="24"/>
          <w:szCs w:val="24"/>
        </w:rPr>
        <w:t xml:space="preserve">: Bangladesh will need to play catch up and adopt the technological transformations of Industry 4.0 </w:t>
      </w:r>
      <w:r w:rsidR="00617F90">
        <w:rPr>
          <w:rFonts w:ascii="Times New Roman" w:eastAsia="Times New Roman" w:hAnsi="Times New Roman" w:cs="Times New Roman"/>
          <w:spacing w:val="-5"/>
          <w:sz w:val="24"/>
          <w:szCs w:val="24"/>
        </w:rPr>
        <w:t xml:space="preserve">(IoT, 3D printing, etc.) </w:t>
      </w:r>
      <w:r>
        <w:rPr>
          <w:rFonts w:ascii="Times New Roman" w:eastAsia="Times New Roman" w:hAnsi="Times New Roman" w:cs="Times New Roman"/>
          <w:spacing w:val="-5"/>
          <w:sz w:val="24"/>
          <w:szCs w:val="24"/>
        </w:rPr>
        <w:t xml:space="preserve">in order to remain a global player in RMG and other potential exports. </w:t>
      </w:r>
    </w:p>
    <w:p w14:paraId="5A42502B" w14:textId="23DAC65E" w:rsidR="00DE1EF5" w:rsidRDefault="00DE1EF5" w:rsidP="00A42036">
      <w:pPr>
        <w:pStyle w:val="ListParagraph"/>
        <w:numPr>
          <w:ilvl w:val="0"/>
          <w:numId w:val="11"/>
        </w:numPr>
        <w:spacing w:before="240" w:after="100" w:afterAutospacing="1"/>
        <w:jc w:val="both"/>
        <w:rPr>
          <w:rFonts w:ascii="Times New Roman" w:eastAsia="Times New Roman" w:hAnsi="Times New Roman" w:cs="Times New Roman"/>
          <w:spacing w:val="-5"/>
          <w:sz w:val="24"/>
          <w:szCs w:val="24"/>
        </w:rPr>
      </w:pPr>
      <w:r w:rsidRPr="00AA2C18">
        <w:rPr>
          <w:rFonts w:ascii="Times New Roman" w:eastAsia="Times New Roman" w:hAnsi="Times New Roman" w:cs="Times New Roman"/>
          <w:b/>
          <w:i/>
          <w:spacing w:val="-5"/>
          <w:sz w:val="24"/>
          <w:szCs w:val="24"/>
        </w:rPr>
        <w:t>New Wave of Globalization</w:t>
      </w:r>
      <w:r>
        <w:rPr>
          <w:rFonts w:ascii="Times New Roman" w:eastAsia="Times New Roman" w:hAnsi="Times New Roman" w:cs="Times New Roman"/>
          <w:spacing w:val="-5"/>
          <w:sz w:val="24"/>
          <w:szCs w:val="24"/>
        </w:rPr>
        <w:t xml:space="preserve">: just as globalization created opportunities for Bangladesh to break into world markets for manufactures, it must remain fully prepared to embrace the new wave of globalization, seize emerging opportunities, and take on future challenges. That remains the only option for Bangladesh to become a highly industrialized economy of the future. </w:t>
      </w:r>
    </w:p>
    <w:p w14:paraId="2D0B13F8" w14:textId="474A7B9D" w:rsidR="00617F90" w:rsidRPr="00650F20" w:rsidRDefault="00AA2C18" w:rsidP="00A42036">
      <w:pPr>
        <w:pStyle w:val="ListParagraph"/>
        <w:numPr>
          <w:ilvl w:val="0"/>
          <w:numId w:val="11"/>
        </w:numPr>
        <w:jc w:val="both"/>
        <w:rPr>
          <w:rFonts w:ascii="Times New Roman" w:hAnsi="Times New Roman" w:cs="Times New Roman"/>
          <w:sz w:val="24"/>
          <w:szCs w:val="24"/>
        </w:rPr>
      </w:pPr>
      <w:r>
        <w:rPr>
          <w:rFonts w:ascii="Times New Roman" w:eastAsia="Times New Roman" w:hAnsi="Times New Roman" w:cs="Times New Roman"/>
          <w:b/>
          <w:i/>
          <w:spacing w:val="-5"/>
          <w:sz w:val="24"/>
          <w:szCs w:val="24"/>
        </w:rPr>
        <w:t>Future challenge of competitiveness</w:t>
      </w:r>
      <w:r w:rsidR="00617F90" w:rsidRPr="00650F20">
        <w:rPr>
          <w:rFonts w:ascii="Times New Roman" w:eastAsia="Times New Roman" w:hAnsi="Times New Roman" w:cs="Times New Roman"/>
          <w:spacing w:val="-5"/>
          <w:sz w:val="24"/>
          <w:szCs w:val="24"/>
        </w:rPr>
        <w:t>:</w:t>
      </w:r>
      <w:r w:rsidR="00650F20" w:rsidRPr="00650F20">
        <w:rPr>
          <w:rFonts w:ascii="Times New Roman" w:eastAsia="Times New Roman" w:hAnsi="Times New Roman" w:cs="Times New Roman"/>
          <w:spacing w:val="-5"/>
          <w:sz w:val="24"/>
          <w:szCs w:val="24"/>
        </w:rPr>
        <w:t xml:space="preserve"> In the unfolding industrial universe of the future, Bangladeshi firms will face the stark reality that c</w:t>
      </w:r>
      <w:r w:rsidR="00617F90" w:rsidRPr="00650F20">
        <w:rPr>
          <w:rFonts w:ascii="Times New Roman" w:hAnsi="Times New Roman" w:cs="Times New Roman"/>
          <w:sz w:val="24"/>
          <w:szCs w:val="24"/>
        </w:rPr>
        <w:t xml:space="preserve">ompetitive advantage founded on low labor cost cannot be guaranteed for all time. </w:t>
      </w:r>
      <w:r w:rsidR="00650F20" w:rsidRPr="00650F20">
        <w:rPr>
          <w:rFonts w:ascii="Times New Roman" w:hAnsi="Times New Roman" w:cs="Times New Roman"/>
          <w:sz w:val="24"/>
          <w:szCs w:val="24"/>
        </w:rPr>
        <w:t>C</w:t>
      </w:r>
      <w:r w:rsidR="00617F90" w:rsidRPr="00650F20">
        <w:rPr>
          <w:rFonts w:ascii="Times New Roman" w:hAnsi="Times New Roman" w:cs="Times New Roman"/>
          <w:sz w:val="24"/>
          <w:szCs w:val="24"/>
        </w:rPr>
        <w:t xml:space="preserve">ompetitive advantage is dynamic and </w:t>
      </w:r>
      <w:r w:rsidR="00650F20" w:rsidRPr="00650F20">
        <w:rPr>
          <w:rFonts w:ascii="Times New Roman" w:hAnsi="Times New Roman" w:cs="Times New Roman"/>
          <w:sz w:val="24"/>
          <w:szCs w:val="24"/>
        </w:rPr>
        <w:t xml:space="preserve">will be </w:t>
      </w:r>
      <w:r w:rsidR="00617F90" w:rsidRPr="00650F20">
        <w:rPr>
          <w:rFonts w:ascii="Times New Roman" w:hAnsi="Times New Roman" w:cs="Times New Roman"/>
          <w:sz w:val="24"/>
          <w:szCs w:val="24"/>
        </w:rPr>
        <w:t>evolving.</w:t>
      </w:r>
      <w:r w:rsidR="00650F20" w:rsidRPr="00650F20">
        <w:rPr>
          <w:rFonts w:ascii="Times New Roman" w:hAnsi="Times New Roman" w:cs="Times New Roman"/>
          <w:sz w:val="24"/>
          <w:szCs w:val="24"/>
        </w:rPr>
        <w:t xml:space="preserve"> </w:t>
      </w:r>
      <w:r w:rsidR="00617F90" w:rsidRPr="00650F20">
        <w:rPr>
          <w:rFonts w:ascii="Times New Roman" w:hAnsi="Times New Roman" w:cs="Times New Roman"/>
          <w:sz w:val="24"/>
          <w:szCs w:val="24"/>
        </w:rPr>
        <w:t>From its current phase of factor-driven competitive advantage Bangladeshi firms will have to move into investment and innovation driven competitive advantage (</w:t>
      </w:r>
      <w:r w:rsidR="00617F90" w:rsidRPr="00650F20">
        <w:rPr>
          <w:rFonts w:ascii="Times New Roman" w:hAnsi="Times New Roman" w:cs="Times New Roman"/>
          <w:i/>
          <w:sz w:val="24"/>
          <w:szCs w:val="24"/>
        </w:rPr>
        <w:t>a la Porter</w:t>
      </w:r>
      <w:r w:rsidR="00617F90" w:rsidRPr="00650F20">
        <w:rPr>
          <w:rFonts w:ascii="Times New Roman" w:hAnsi="Times New Roman" w:cs="Times New Roman"/>
          <w:sz w:val="24"/>
          <w:szCs w:val="24"/>
        </w:rPr>
        <w:t xml:space="preserve">). Without such efforts, </w:t>
      </w:r>
      <w:r w:rsidR="00650F20">
        <w:rPr>
          <w:rFonts w:ascii="Times New Roman" w:hAnsi="Times New Roman" w:cs="Times New Roman"/>
          <w:sz w:val="24"/>
          <w:szCs w:val="24"/>
        </w:rPr>
        <w:t xml:space="preserve">entrepreneurs need be warned that </w:t>
      </w:r>
      <w:r w:rsidR="00617F90" w:rsidRPr="00650F20">
        <w:rPr>
          <w:rFonts w:ascii="Times New Roman" w:hAnsi="Times New Roman" w:cs="Times New Roman"/>
          <w:sz w:val="24"/>
          <w:szCs w:val="24"/>
        </w:rPr>
        <w:t>the current competitive advantage in labor-intensive garment exports could well be lost in future.</w:t>
      </w:r>
    </w:p>
    <w:p w14:paraId="1AF8C663" w14:textId="7DA00C52" w:rsidR="0023335D" w:rsidRPr="00D1701A" w:rsidRDefault="00650F20" w:rsidP="00A42036">
      <w:pPr>
        <w:pStyle w:val="ListParagraph"/>
        <w:numPr>
          <w:ilvl w:val="0"/>
          <w:numId w:val="11"/>
        </w:numPr>
        <w:spacing w:before="240" w:after="100" w:afterAutospacing="1"/>
        <w:jc w:val="both"/>
        <w:rPr>
          <w:rFonts w:ascii="Times New Roman" w:eastAsia="Times New Roman" w:hAnsi="Times New Roman" w:cs="Times New Roman"/>
          <w:spacing w:val="-5"/>
          <w:sz w:val="24"/>
          <w:szCs w:val="24"/>
        </w:rPr>
      </w:pPr>
      <w:r w:rsidRPr="00AA2C18">
        <w:rPr>
          <w:rFonts w:ascii="Times New Roman" w:eastAsia="Times New Roman" w:hAnsi="Times New Roman" w:cs="Times New Roman"/>
          <w:b/>
          <w:i/>
          <w:spacing w:val="-5"/>
          <w:sz w:val="24"/>
          <w:szCs w:val="24"/>
        </w:rPr>
        <w:t>Lessons from East Asian economies</w:t>
      </w:r>
      <w:r w:rsidR="00D1701A">
        <w:rPr>
          <w:rFonts w:ascii="Times New Roman" w:eastAsia="Times New Roman" w:hAnsi="Times New Roman" w:cs="Times New Roman"/>
          <w:spacing w:val="-5"/>
          <w:sz w:val="24"/>
          <w:szCs w:val="24"/>
        </w:rPr>
        <w:t xml:space="preserve"> (Korea, Taiwan, Malaysia, Thailand)</w:t>
      </w:r>
      <w:r>
        <w:rPr>
          <w:rFonts w:ascii="Times New Roman" w:eastAsia="Times New Roman" w:hAnsi="Times New Roman" w:cs="Times New Roman"/>
          <w:spacing w:val="-5"/>
          <w:sz w:val="24"/>
          <w:szCs w:val="24"/>
        </w:rPr>
        <w:t xml:space="preserve">: </w:t>
      </w:r>
      <w:r w:rsidRPr="00650F20">
        <w:rPr>
          <w:rFonts w:ascii="Times New Roman" w:hAnsi="Times New Roman" w:cs="Times New Roman"/>
          <w:bCs/>
          <w:sz w:val="24"/>
          <w:szCs w:val="24"/>
        </w:rPr>
        <w:t>all of these high performing economies that eventually crossed the high-income threshold acquired the following characteristics: macroeconomic stability, high shares of trade in GDP, heavy investment in people (skills development), and strong competition among firms.</w:t>
      </w:r>
      <w:r>
        <w:rPr>
          <w:rFonts w:ascii="Times New Roman" w:hAnsi="Times New Roman" w:cs="Times New Roman"/>
          <w:bCs/>
          <w:sz w:val="24"/>
          <w:szCs w:val="24"/>
        </w:rPr>
        <w:t xml:space="preserve"> Bangladesh already has some of these characteristics, and will have to focus on acquiring the rest, </w:t>
      </w:r>
      <w:r w:rsidR="00D1701A">
        <w:rPr>
          <w:rFonts w:ascii="Times New Roman" w:hAnsi="Times New Roman" w:cs="Times New Roman"/>
          <w:bCs/>
          <w:sz w:val="24"/>
          <w:szCs w:val="24"/>
        </w:rPr>
        <w:t>especially on investment in people and skill development.</w:t>
      </w:r>
    </w:p>
    <w:p w14:paraId="5583BE61" w14:textId="5389F0A2" w:rsidR="00D1701A" w:rsidRPr="00430FB6" w:rsidRDefault="00D1701A" w:rsidP="00A42036">
      <w:pPr>
        <w:pStyle w:val="ListParagraph"/>
        <w:numPr>
          <w:ilvl w:val="0"/>
          <w:numId w:val="11"/>
        </w:numPr>
        <w:jc w:val="both"/>
        <w:rPr>
          <w:rFonts w:ascii="Times New Roman" w:eastAsia="Times New Roman" w:hAnsi="Times New Roman" w:cs="Times New Roman"/>
          <w:spacing w:val="-5"/>
          <w:sz w:val="24"/>
          <w:szCs w:val="24"/>
        </w:rPr>
      </w:pPr>
      <w:r w:rsidRPr="00AA2C18">
        <w:rPr>
          <w:rFonts w:ascii="Times New Roman" w:hAnsi="Times New Roman" w:cs="Times New Roman"/>
          <w:b/>
          <w:i/>
          <w:sz w:val="24"/>
          <w:szCs w:val="24"/>
        </w:rPr>
        <w:t>Trade openness and reliance on external markets</w:t>
      </w:r>
      <w:r w:rsidRPr="00430FB6">
        <w:rPr>
          <w:rFonts w:ascii="Times New Roman" w:hAnsi="Times New Roman" w:cs="Times New Roman"/>
          <w:sz w:val="24"/>
          <w:szCs w:val="24"/>
        </w:rPr>
        <w:t xml:space="preserve">: </w:t>
      </w:r>
      <w:r w:rsidR="00430FB6" w:rsidRPr="00430FB6">
        <w:rPr>
          <w:rFonts w:ascii="Times New Roman" w:hAnsi="Times New Roman" w:cs="Times New Roman"/>
          <w:sz w:val="24"/>
          <w:szCs w:val="24"/>
        </w:rPr>
        <w:t>The experience of the high-performing East Asian economies clearly demonstrates the criticality of export-oriented trade policy fo</w:t>
      </w:r>
      <w:r w:rsidR="00430FB6">
        <w:rPr>
          <w:rFonts w:ascii="Times New Roman" w:hAnsi="Times New Roman" w:cs="Times New Roman"/>
          <w:sz w:val="24"/>
          <w:szCs w:val="24"/>
        </w:rPr>
        <w:t xml:space="preserve">r a superior export performance. </w:t>
      </w:r>
      <w:r w:rsidR="00430FB6" w:rsidRPr="00430FB6">
        <w:rPr>
          <w:rFonts w:ascii="Times New Roman" w:eastAsia="Times New Roman" w:hAnsi="Times New Roman" w:cs="Times New Roman"/>
          <w:color w:val="333333"/>
          <w:sz w:val="24"/>
          <w:szCs w:val="24"/>
        </w:rPr>
        <w:t xml:space="preserve">Ensuring export competitiveness in the global marketplace must be a key export strategy for all times and access to world-price inputs must be ensured. </w:t>
      </w:r>
      <w:r w:rsidRPr="00430FB6">
        <w:rPr>
          <w:rFonts w:ascii="Times New Roman" w:hAnsi="Times New Roman" w:cs="Times New Roman"/>
          <w:sz w:val="24"/>
          <w:szCs w:val="24"/>
        </w:rPr>
        <w:t xml:space="preserve">The speed of Bangladesh’s industrialization with job creation will depend on how well the economy is integrated with the global economy, with well-heeled policies to capture external markets while removing distorted incentives in domestic markets. </w:t>
      </w:r>
    </w:p>
    <w:p w14:paraId="5BAC15C5" w14:textId="2D0C2DB9" w:rsidR="00541621" w:rsidRPr="00541621" w:rsidRDefault="00430FB6" w:rsidP="00A42036">
      <w:pPr>
        <w:pStyle w:val="ListParagraph"/>
        <w:numPr>
          <w:ilvl w:val="0"/>
          <w:numId w:val="11"/>
        </w:numPr>
        <w:jc w:val="both"/>
        <w:rPr>
          <w:rFonts w:ascii="Times New Roman" w:hAnsi="Times New Roman" w:cs="Times New Roman"/>
          <w:sz w:val="24"/>
          <w:szCs w:val="24"/>
        </w:rPr>
      </w:pPr>
      <w:r w:rsidRPr="00AA2C18">
        <w:rPr>
          <w:rFonts w:ascii="Times New Roman" w:eastAsia="Times New Roman" w:hAnsi="Times New Roman" w:cs="Times New Roman"/>
          <w:b/>
          <w:i/>
          <w:spacing w:val="-5"/>
          <w:sz w:val="24"/>
          <w:szCs w:val="24"/>
        </w:rPr>
        <w:t>Exploiting Global Value Chains</w:t>
      </w:r>
      <w:r w:rsidR="00541621" w:rsidRPr="00AA2C18">
        <w:rPr>
          <w:rFonts w:ascii="Times New Roman" w:eastAsia="Times New Roman" w:hAnsi="Times New Roman" w:cs="Times New Roman"/>
          <w:b/>
          <w:i/>
          <w:spacing w:val="-5"/>
          <w:sz w:val="24"/>
          <w:szCs w:val="24"/>
        </w:rPr>
        <w:t xml:space="preserve"> and courting FDI</w:t>
      </w:r>
      <w:r w:rsidRPr="00541621">
        <w:rPr>
          <w:rFonts w:ascii="Times New Roman" w:eastAsia="Times New Roman" w:hAnsi="Times New Roman" w:cs="Times New Roman"/>
          <w:spacing w:val="-5"/>
          <w:sz w:val="24"/>
          <w:szCs w:val="24"/>
        </w:rPr>
        <w:t xml:space="preserve">: </w:t>
      </w:r>
      <w:r w:rsidR="00541621" w:rsidRPr="00541621">
        <w:rPr>
          <w:rFonts w:ascii="Times New Roman" w:hAnsi="Times New Roman" w:cs="Times New Roman"/>
          <w:sz w:val="24"/>
          <w:szCs w:val="24"/>
        </w:rPr>
        <w:t xml:space="preserve">The fragmentation of production processes across different countries has given rise to global value chains (GVCs) creating opportunities for intra-industry trade globally, especially giving a boost to trade in intermediate goods. But the technical ‘know-how’ needed for the production of an intermediate good in the GVC must be obtained since Bangladeshi entrepreneurs are not </w:t>
      </w:r>
      <w:r w:rsidR="00541621" w:rsidRPr="00541621">
        <w:rPr>
          <w:rFonts w:ascii="Times New Roman" w:hAnsi="Times New Roman" w:cs="Times New Roman"/>
          <w:sz w:val="24"/>
          <w:szCs w:val="24"/>
        </w:rPr>
        <w:lastRenderedPageBreak/>
        <w:t xml:space="preserve">exposed to such expertise. That justifies the critical need for foreign direct investment, and policy makers must mitigate any constraints that undermine the prospects of FDI. Not only in the production of intermediate goods, courting FDI will be essential for future technology leapfrogging to capture production and market access in manufacturing products of the coming decades. </w:t>
      </w:r>
    </w:p>
    <w:p w14:paraId="208F0111" w14:textId="7485C6A6" w:rsidR="005E5C30" w:rsidRPr="00AA2C18" w:rsidRDefault="005E5C30" w:rsidP="00A42036">
      <w:pPr>
        <w:pStyle w:val="ListParagraph"/>
        <w:numPr>
          <w:ilvl w:val="0"/>
          <w:numId w:val="11"/>
        </w:numPr>
        <w:jc w:val="both"/>
        <w:rPr>
          <w:rFonts w:ascii="Times New Roman" w:eastAsia="Times New Roman" w:hAnsi="Times New Roman" w:cs="Times New Roman"/>
          <w:spacing w:val="-5"/>
          <w:sz w:val="24"/>
          <w:szCs w:val="24"/>
        </w:rPr>
      </w:pPr>
      <w:r w:rsidRPr="00AA2C18">
        <w:rPr>
          <w:rFonts w:ascii="Times New Roman" w:hAnsi="Times New Roman" w:cs="Times New Roman"/>
          <w:b/>
          <w:i/>
          <w:sz w:val="24"/>
          <w:szCs w:val="24"/>
        </w:rPr>
        <w:t>Strengthening institutions for trade and industry</w:t>
      </w:r>
      <w:r w:rsidR="00AA2C18" w:rsidRPr="00AA2C18">
        <w:rPr>
          <w:rFonts w:ascii="Times New Roman" w:hAnsi="Times New Roman" w:cs="Times New Roman"/>
          <w:sz w:val="24"/>
          <w:szCs w:val="24"/>
        </w:rPr>
        <w:t>: Historical research finds conclusive evidence that inclusiveness of political and economic institutions is critical for sustained prosperity</w:t>
      </w:r>
      <w:r w:rsidR="00AA2C18">
        <w:rPr>
          <w:rFonts w:ascii="Times New Roman" w:hAnsi="Times New Roman" w:cs="Times New Roman"/>
          <w:sz w:val="24"/>
          <w:szCs w:val="24"/>
        </w:rPr>
        <w:t>. Bangladesh is on way to building the kind of institutions that yield prosperity for the long-term. The next decade will be crucial for strengthening economic institutions that will help entrepreneurs seize market opportunities emerging in a fast-changing global economy driven by innovation and creative destruction</w:t>
      </w:r>
      <w:r w:rsidR="00700003">
        <w:rPr>
          <w:rFonts w:ascii="Times New Roman" w:hAnsi="Times New Roman" w:cs="Times New Roman"/>
          <w:sz w:val="24"/>
          <w:szCs w:val="24"/>
        </w:rPr>
        <w:t xml:space="preserve"> (</w:t>
      </w:r>
      <w:r w:rsidR="00700003" w:rsidRPr="00700003">
        <w:rPr>
          <w:rFonts w:ascii="Times New Roman" w:hAnsi="Times New Roman" w:cs="Times New Roman"/>
          <w:i/>
          <w:sz w:val="24"/>
          <w:szCs w:val="24"/>
        </w:rPr>
        <w:t>a la Schumpeter</w:t>
      </w:r>
      <w:r w:rsidR="00D63AB7">
        <w:rPr>
          <w:rFonts w:ascii="Times New Roman" w:hAnsi="Times New Roman" w:cs="Times New Roman"/>
          <w:i/>
          <w:sz w:val="24"/>
          <w:szCs w:val="24"/>
        </w:rPr>
        <w:t>, 1942</w:t>
      </w:r>
      <w:r w:rsidR="00700003">
        <w:rPr>
          <w:rFonts w:ascii="Times New Roman" w:hAnsi="Times New Roman" w:cs="Times New Roman"/>
          <w:sz w:val="24"/>
          <w:szCs w:val="24"/>
        </w:rPr>
        <w:t>)</w:t>
      </w:r>
      <w:r w:rsidR="00D63AB7">
        <w:rPr>
          <w:rStyle w:val="FootnoteReference"/>
          <w:rFonts w:ascii="Times New Roman" w:hAnsi="Times New Roman" w:cs="Times New Roman"/>
          <w:sz w:val="24"/>
          <w:szCs w:val="24"/>
        </w:rPr>
        <w:footnoteReference w:id="11"/>
      </w:r>
      <w:r w:rsidR="00AA2C18">
        <w:rPr>
          <w:rFonts w:ascii="Times New Roman" w:hAnsi="Times New Roman" w:cs="Times New Roman"/>
          <w:sz w:val="24"/>
          <w:szCs w:val="24"/>
        </w:rPr>
        <w:t>.</w:t>
      </w:r>
    </w:p>
    <w:p w14:paraId="589BD654" w14:textId="77777777" w:rsidR="001E1D59" w:rsidRDefault="001E1D59" w:rsidP="006A5BC7">
      <w:pPr>
        <w:spacing w:before="240" w:after="100" w:afterAutospacing="1"/>
        <w:ind w:left="360"/>
        <w:jc w:val="both"/>
        <w:rPr>
          <w:rFonts w:ascii="Times New Roman" w:eastAsia="Times New Roman" w:hAnsi="Times New Roman" w:cs="Times New Roman"/>
          <w:spacing w:val="-5"/>
          <w:sz w:val="24"/>
          <w:szCs w:val="24"/>
        </w:rPr>
      </w:pPr>
    </w:p>
    <w:p w14:paraId="6D7A3CBD" w14:textId="77777777" w:rsidR="001E1D59" w:rsidRDefault="001E1D59">
      <w:pPr>
        <w:rPr>
          <w:rFonts w:ascii="Times New Roman" w:eastAsia="Times New Roman" w:hAnsi="Times New Roman" w:cs="Times New Roman"/>
          <w:spacing w:val="-5"/>
          <w:sz w:val="24"/>
          <w:szCs w:val="24"/>
        </w:rPr>
      </w:pPr>
      <w:r>
        <w:rPr>
          <w:rFonts w:ascii="Times New Roman" w:eastAsia="Times New Roman" w:hAnsi="Times New Roman" w:cs="Times New Roman"/>
          <w:spacing w:val="-5"/>
          <w:sz w:val="24"/>
          <w:szCs w:val="24"/>
        </w:rPr>
        <w:br w:type="page"/>
      </w:r>
    </w:p>
    <w:p w14:paraId="10B08C7C" w14:textId="77777777" w:rsidR="001E1D59" w:rsidRPr="00CD2445" w:rsidRDefault="001E1D59" w:rsidP="00595C4E">
      <w:pPr>
        <w:pStyle w:val="Heading1"/>
        <w:numPr>
          <w:ilvl w:val="0"/>
          <w:numId w:val="0"/>
        </w:numPr>
        <w:jc w:val="center"/>
      </w:pPr>
      <w:bookmarkStart w:id="108" w:name="_Toc487657766"/>
      <w:bookmarkStart w:id="109" w:name="_Toc496536523"/>
      <w:r w:rsidRPr="00CD2445">
        <w:lastRenderedPageBreak/>
        <w:t>REFERENCES</w:t>
      </w:r>
      <w:bookmarkEnd w:id="108"/>
      <w:bookmarkEnd w:id="109"/>
    </w:p>
    <w:p w14:paraId="600A220C" w14:textId="77777777" w:rsidR="00C50C60" w:rsidRPr="00970527" w:rsidRDefault="00C50C60" w:rsidP="00886715">
      <w:pPr>
        <w:autoSpaceDE w:val="0"/>
        <w:autoSpaceDN w:val="0"/>
        <w:adjustRightInd w:val="0"/>
        <w:spacing w:after="240"/>
        <w:ind w:left="851" w:hanging="851"/>
        <w:jc w:val="both"/>
        <w:rPr>
          <w:rFonts w:ascii="Times New Roman" w:hAnsi="Times New Roman" w:cs="Times New Roman"/>
          <w:sz w:val="24"/>
          <w:szCs w:val="24"/>
        </w:rPr>
      </w:pPr>
      <w:r w:rsidRPr="00970527">
        <w:rPr>
          <w:rFonts w:ascii="Times New Roman" w:hAnsi="Times New Roman" w:cs="Times New Roman"/>
          <w:sz w:val="24"/>
          <w:szCs w:val="24"/>
        </w:rPr>
        <w:t>Ahmed, Sadiq and Zaidi Sattar (2004). “Impact of Trade Liberalization: Looking at the Evidence”. Economic and Political Weekly, Volume XXXIX, No. 36, pp 4059-4067.</w:t>
      </w:r>
    </w:p>
    <w:p w14:paraId="7FC91E9E" w14:textId="77EE32D9" w:rsidR="0075767B" w:rsidRPr="00970527" w:rsidRDefault="0075767B" w:rsidP="00886715">
      <w:pPr>
        <w:spacing w:after="240"/>
        <w:ind w:left="851" w:hanging="851"/>
        <w:jc w:val="both"/>
        <w:rPr>
          <w:rFonts w:ascii="Times New Roman" w:hAnsi="Times New Roman" w:cs="Times New Roman"/>
          <w:sz w:val="24"/>
          <w:szCs w:val="24"/>
        </w:rPr>
      </w:pPr>
      <w:r w:rsidRPr="00970527">
        <w:rPr>
          <w:rFonts w:ascii="Times New Roman" w:hAnsi="Times New Roman" w:cs="Times New Roman"/>
          <w:sz w:val="24"/>
          <w:szCs w:val="24"/>
        </w:rPr>
        <w:t>Ahmed Sadiq (2012). “Employment, Productivity, Real Wages and Labor Markets in Bangladesh” Draft PRI Working Paper No.1, Policy Research Institute of Bangladesh: Dhaka</w:t>
      </w:r>
      <w:r w:rsidR="0087720E" w:rsidRPr="00970527">
        <w:rPr>
          <w:rFonts w:ascii="Times New Roman" w:hAnsi="Times New Roman" w:cs="Times New Roman"/>
          <w:sz w:val="24"/>
          <w:szCs w:val="24"/>
        </w:rPr>
        <w:t>.</w:t>
      </w:r>
    </w:p>
    <w:p w14:paraId="08219BDB" w14:textId="522DC7A9" w:rsidR="0087720E" w:rsidRPr="00970527" w:rsidRDefault="0087720E" w:rsidP="00886715">
      <w:pPr>
        <w:spacing w:after="240"/>
        <w:ind w:left="851" w:hanging="851"/>
        <w:jc w:val="both"/>
        <w:rPr>
          <w:rFonts w:ascii="Times New Roman" w:hAnsi="Times New Roman" w:cs="Times New Roman"/>
          <w:sz w:val="24"/>
          <w:szCs w:val="24"/>
        </w:rPr>
      </w:pPr>
      <w:r w:rsidRPr="00970527">
        <w:rPr>
          <w:rFonts w:ascii="Times New Roman" w:hAnsi="Times New Roman" w:cs="Times New Roman"/>
          <w:sz w:val="24"/>
          <w:szCs w:val="24"/>
        </w:rPr>
        <w:t xml:space="preserve">Acemoglu, D. and James Robinson (2012). </w:t>
      </w:r>
      <w:r w:rsidRPr="00970527">
        <w:rPr>
          <w:rFonts w:ascii="Times New Roman" w:hAnsi="Times New Roman" w:cs="Times New Roman"/>
          <w:i/>
          <w:sz w:val="24"/>
          <w:szCs w:val="24"/>
        </w:rPr>
        <w:t xml:space="preserve">Why Nations Fail. The Origins of Power, Prosperity, and Poverty. </w:t>
      </w:r>
      <w:r w:rsidRPr="00970527">
        <w:rPr>
          <w:rFonts w:ascii="Times New Roman" w:hAnsi="Times New Roman" w:cs="Times New Roman"/>
          <w:sz w:val="24"/>
          <w:szCs w:val="24"/>
        </w:rPr>
        <w:t xml:space="preserve">Published by Crown Business, a division of Random House Inc. New York. </w:t>
      </w:r>
    </w:p>
    <w:p w14:paraId="61A881B1" w14:textId="77777777" w:rsidR="00B8658A" w:rsidRPr="00970527" w:rsidRDefault="00B8658A" w:rsidP="00886715">
      <w:pPr>
        <w:spacing w:after="240"/>
        <w:ind w:left="851" w:hanging="851"/>
        <w:jc w:val="both"/>
        <w:rPr>
          <w:rFonts w:ascii="Times New Roman" w:hAnsi="Times New Roman" w:cs="Times New Roman"/>
          <w:sz w:val="24"/>
          <w:szCs w:val="24"/>
        </w:rPr>
      </w:pPr>
      <w:r w:rsidRPr="00970527">
        <w:rPr>
          <w:rFonts w:ascii="Times New Roman" w:hAnsi="Times New Roman" w:cs="Times New Roman"/>
          <w:sz w:val="24"/>
          <w:szCs w:val="24"/>
        </w:rPr>
        <w:t xml:space="preserve">Boston Consulting Group (2015). “Takeoff in Robotics Will Power the Next Productivity Surge in Manufacturing”, BCG Press Release, February 10. </w:t>
      </w:r>
    </w:p>
    <w:p w14:paraId="18844B87" w14:textId="77777777" w:rsidR="00C96722" w:rsidRPr="00970527" w:rsidRDefault="00C96722" w:rsidP="00886715">
      <w:pPr>
        <w:spacing w:after="240"/>
        <w:ind w:left="851" w:hanging="851"/>
        <w:jc w:val="both"/>
        <w:rPr>
          <w:rFonts w:ascii="Times New Roman" w:hAnsi="Times New Roman" w:cs="Times New Roman"/>
          <w:sz w:val="24"/>
          <w:szCs w:val="24"/>
        </w:rPr>
      </w:pPr>
      <w:r w:rsidRPr="00970527">
        <w:rPr>
          <w:rFonts w:ascii="Times New Roman" w:hAnsi="Times New Roman" w:cs="Times New Roman"/>
          <w:sz w:val="24"/>
          <w:szCs w:val="24"/>
        </w:rPr>
        <w:t xml:space="preserve">Brenton, P. and Richard Newfarmer (2007). “Watching more than the Discovery Channel: Export Cycles and Diversification in Development”, </w:t>
      </w:r>
      <w:r w:rsidR="00526140" w:rsidRPr="00970527">
        <w:rPr>
          <w:rFonts w:ascii="Times New Roman" w:hAnsi="Times New Roman" w:cs="Times New Roman"/>
          <w:sz w:val="24"/>
          <w:szCs w:val="24"/>
        </w:rPr>
        <w:t>Working paper, Trade Department, World Bank, Washington, DC.</w:t>
      </w:r>
    </w:p>
    <w:p w14:paraId="265246EC" w14:textId="1D9337D0" w:rsidR="00DB6C67" w:rsidRPr="00970527" w:rsidRDefault="00DB6C67" w:rsidP="00886715">
      <w:pPr>
        <w:spacing w:after="240"/>
        <w:ind w:left="851" w:hanging="851"/>
        <w:jc w:val="both"/>
        <w:rPr>
          <w:rFonts w:ascii="Times New Roman" w:hAnsi="Times New Roman" w:cs="Times New Roman"/>
          <w:sz w:val="24"/>
          <w:szCs w:val="24"/>
        </w:rPr>
      </w:pPr>
      <w:r w:rsidRPr="00970527">
        <w:rPr>
          <w:rFonts w:ascii="Times New Roman" w:hAnsi="Times New Roman" w:cs="Times New Roman"/>
          <w:sz w:val="24"/>
          <w:szCs w:val="24"/>
        </w:rPr>
        <w:t xml:space="preserve">Brimble, Peter John (1993). “Industrial Development and Productivity Change in Thailand”. Ph,D dissertation, Johns Hopkins University, Baltimore, MD. </w:t>
      </w:r>
    </w:p>
    <w:p w14:paraId="33D0EC9F" w14:textId="4DBA6C74" w:rsidR="00B11C6C" w:rsidRPr="00970527" w:rsidRDefault="00B11C6C" w:rsidP="00886715">
      <w:pPr>
        <w:spacing w:after="240"/>
        <w:ind w:left="851" w:hanging="851"/>
        <w:jc w:val="both"/>
        <w:rPr>
          <w:rFonts w:ascii="Times New Roman" w:hAnsi="Times New Roman" w:cs="Times New Roman"/>
          <w:sz w:val="24"/>
          <w:szCs w:val="24"/>
        </w:rPr>
      </w:pPr>
      <w:r w:rsidRPr="00970527">
        <w:rPr>
          <w:rFonts w:ascii="Times New Roman" w:hAnsi="Times New Roman" w:cs="Times New Roman"/>
          <w:sz w:val="24"/>
          <w:szCs w:val="24"/>
        </w:rPr>
        <w:t xml:space="preserve">DMCC (2015). </w:t>
      </w:r>
      <w:r w:rsidRPr="00970527">
        <w:rPr>
          <w:rFonts w:ascii="Times New Roman" w:hAnsi="Times New Roman" w:cs="Times New Roman"/>
          <w:i/>
          <w:sz w:val="24"/>
          <w:szCs w:val="24"/>
        </w:rPr>
        <w:t xml:space="preserve">The Future of Trade. </w:t>
      </w:r>
      <w:r w:rsidRPr="00970527">
        <w:rPr>
          <w:rFonts w:ascii="Times New Roman" w:hAnsi="Times New Roman" w:cs="Times New Roman"/>
          <w:sz w:val="24"/>
          <w:szCs w:val="24"/>
        </w:rPr>
        <w:t xml:space="preserve">Insights from Global Discussions. Dubai Multi-Commodity Center. </w:t>
      </w:r>
    </w:p>
    <w:p w14:paraId="3D778D26" w14:textId="77777777" w:rsidR="00A64705" w:rsidRPr="00970527" w:rsidRDefault="00A64705" w:rsidP="00886715">
      <w:pPr>
        <w:spacing w:after="240"/>
        <w:ind w:left="851" w:hanging="851"/>
        <w:jc w:val="both"/>
        <w:rPr>
          <w:rFonts w:ascii="Times New Roman" w:hAnsi="Times New Roman" w:cs="Times New Roman"/>
          <w:sz w:val="24"/>
          <w:szCs w:val="24"/>
          <w:lang w:val="en"/>
        </w:rPr>
      </w:pPr>
      <w:r w:rsidRPr="00970527">
        <w:rPr>
          <w:rFonts w:ascii="Times New Roman" w:hAnsi="Times New Roman" w:cs="Times New Roman"/>
          <w:sz w:val="24"/>
          <w:szCs w:val="24"/>
        </w:rPr>
        <w:t>Global Trade Review (2015). “</w:t>
      </w:r>
      <w:r w:rsidRPr="00970527">
        <w:rPr>
          <w:rFonts w:ascii="Times New Roman" w:hAnsi="Times New Roman" w:cs="Times New Roman"/>
          <w:sz w:val="24"/>
          <w:szCs w:val="24"/>
          <w:lang w:val="en"/>
        </w:rPr>
        <w:t xml:space="preserve">Five trends that will shape the future of trade.” </w:t>
      </w:r>
      <w:r w:rsidR="00124FE0" w:rsidRPr="00970527">
        <w:rPr>
          <w:rFonts w:ascii="Times New Roman" w:hAnsi="Times New Roman" w:cs="Times New Roman"/>
          <w:sz w:val="24"/>
          <w:szCs w:val="24"/>
          <w:lang w:val="en"/>
        </w:rPr>
        <w:t>November issue. London/Singapore</w:t>
      </w:r>
      <w:r w:rsidR="00493A6D" w:rsidRPr="00970527">
        <w:rPr>
          <w:rFonts w:ascii="Times New Roman" w:hAnsi="Times New Roman" w:cs="Times New Roman"/>
          <w:sz w:val="24"/>
          <w:szCs w:val="24"/>
          <w:lang w:val="en"/>
        </w:rPr>
        <w:t>.</w:t>
      </w:r>
    </w:p>
    <w:p w14:paraId="2E6EB43C" w14:textId="55770359" w:rsidR="00493A6D" w:rsidRPr="00970527" w:rsidRDefault="00493A6D" w:rsidP="00886715">
      <w:pPr>
        <w:spacing w:after="240"/>
        <w:ind w:left="851" w:hanging="851"/>
        <w:jc w:val="both"/>
        <w:rPr>
          <w:rFonts w:ascii="Times New Roman" w:hAnsi="Times New Roman" w:cs="Times New Roman"/>
          <w:sz w:val="24"/>
          <w:szCs w:val="24"/>
          <w:lang w:val="en"/>
        </w:rPr>
      </w:pPr>
      <w:r w:rsidRPr="00970527">
        <w:rPr>
          <w:rFonts w:ascii="Times New Roman" w:hAnsi="Times New Roman" w:cs="Times New Roman"/>
          <w:sz w:val="24"/>
          <w:szCs w:val="24"/>
          <w:lang w:val="en"/>
        </w:rPr>
        <w:t xml:space="preserve">Global Agenda Outlook (2013). Pascal Lamy and Kevin Rudd debate “The Future of Globalization”, at the World Economic Forum, January. </w:t>
      </w:r>
    </w:p>
    <w:p w14:paraId="68053BEF" w14:textId="77777777" w:rsidR="00C96722" w:rsidRPr="00970527" w:rsidRDefault="00C96722" w:rsidP="00886715">
      <w:pPr>
        <w:spacing w:after="240"/>
        <w:ind w:left="851" w:hanging="851"/>
        <w:jc w:val="both"/>
        <w:rPr>
          <w:rFonts w:ascii="Times New Roman" w:hAnsi="Times New Roman" w:cs="Times New Roman"/>
          <w:sz w:val="24"/>
          <w:szCs w:val="24"/>
        </w:rPr>
      </w:pPr>
      <w:r w:rsidRPr="00970527">
        <w:rPr>
          <w:rFonts w:ascii="Times New Roman" w:hAnsi="Times New Roman" w:cs="Times New Roman"/>
          <w:sz w:val="24"/>
          <w:szCs w:val="24"/>
        </w:rPr>
        <w:t xml:space="preserve">Hausmann, R., and Dani Rodrik (2003). “Economic Development as Self-Discovery”. </w:t>
      </w:r>
      <w:r w:rsidRPr="00970527">
        <w:rPr>
          <w:rFonts w:ascii="Times New Roman" w:hAnsi="Times New Roman" w:cs="Times New Roman"/>
          <w:i/>
          <w:sz w:val="24"/>
          <w:szCs w:val="24"/>
        </w:rPr>
        <w:t>Journal of Development Economics</w:t>
      </w:r>
      <w:r w:rsidRPr="00970527">
        <w:rPr>
          <w:rFonts w:ascii="Times New Roman" w:hAnsi="Times New Roman" w:cs="Times New Roman"/>
          <w:sz w:val="24"/>
          <w:szCs w:val="24"/>
        </w:rPr>
        <w:t>, 72:602-633.</w:t>
      </w:r>
    </w:p>
    <w:p w14:paraId="2BD92D5F" w14:textId="1D43A0C3" w:rsidR="00B8658A" w:rsidRPr="00970527" w:rsidRDefault="00B8658A" w:rsidP="00886715">
      <w:pPr>
        <w:spacing w:after="240"/>
        <w:ind w:left="851" w:hanging="851"/>
        <w:jc w:val="both"/>
        <w:rPr>
          <w:rFonts w:ascii="Times New Roman" w:hAnsi="Times New Roman" w:cs="Times New Roman"/>
          <w:sz w:val="24"/>
          <w:szCs w:val="24"/>
        </w:rPr>
      </w:pPr>
      <w:r w:rsidRPr="00970527">
        <w:rPr>
          <w:rFonts w:ascii="Times New Roman" w:hAnsi="Times New Roman" w:cs="Times New Roman"/>
          <w:sz w:val="24"/>
          <w:szCs w:val="24"/>
        </w:rPr>
        <w:t xml:space="preserve">Islam, R. (2017). “Has Bangladesh entered a period of Jobless Growth?”, The Financial Express, June. </w:t>
      </w:r>
    </w:p>
    <w:p w14:paraId="2CFCE03B" w14:textId="77777777" w:rsidR="00C76DC1" w:rsidRPr="00970527" w:rsidRDefault="00C76DC1" w:rsidP="00886715">
      <w:pPr>
        <w:spacing w:after="240"/>
        <w:ind w:left="851" w:hanging="851"/>
        <w:jc w:val="both"/>
        <w:rPr>
          <w:rFonts w:ascii="Times New Roman" w:hAnsi="Times New Roman" w:cs="Times New Roman"/>
          <w:sz w:val="24"/>
          <w:szCs w:val="24"/>
        </w:rPr>
      </w:pPr>
      <w:r w:rsidRPr="00970527">
        <w:rPr>
          <w:rFonts w:ascii="Times New Roman" w:hAnsi="Times New Roman" w:cs="Times New Roman"/>
          <w:sz w:val="24"/>
          <w:szCs w:val="24"/>
        </w:rPr>
        <w:t>Johnson, Andreas (2007).  “FDI and Exports: the case of the High Performing East Asian Economies. Andreas Johnson”, Center of Excellence for Science and Innovation Studies, Royal Institute of Technology, Working Paper Series in Economics and Institutions of Innovation No. 57: Stockholm</w:t>
      </w:r>
    </w:p>
    <w:p w14:paraId="467B1EBF" w14:textId="41525A2B" w:rsidR="00C76DC1" w:rsidRPr="00970527" w:rsidRDefault="008274F4" w:rsidP="00886715">
      <w:pPr>
        <w:spacing w:after="240"/>
        <w:ind w:left="851" w:hanging="851"/>
        <w:jc w:val="both"/>
        <w:rPr>
          <w:rFonts w:ascii="Times New Roman" w:hAnsi="Times New Roman" w:cs="Times New Roman"/>
          <w:sz w:val="24"/>
          <w:szCs w:val="24"/>
        </w:rPr>
      </w:pPr>
      <w:r w:rsidRPr="00970527">
        <w:rPr>
          <w:rFonts w:ascii="Times New Roman" w:hAnsi="Times New Roman" w:cs="Times New Roman"/>
          <w:sz w:val="24"/>
          <w:szCs w:val="24"/>
        </w:rPr>
        <w:t>Kharas, Homi and Harinder Kohli (2011). “</w:t>
      </w:r>
      <w:r w:rsidRPr="00970527">
        <w:rPr>
          <w:rFonts w:ascii="Times New Roman" w:hAnsi="Times New Roman" w:cs="Times New Roman"/>
          <w:bCs/>
          <w:kern w:val="36"/>
          <w:sz w:val="24"/>
          <w:szCs w:val="24"/>
          <w:lang w:val="en"/>
        </w:rPr>
        <w:t xml:space="preserve">What Is the Middle Income Trap, Why do Countries Fall into It, and How Can It Be Avoided?”, in </w:t>
      </w:r>
      <w:r w:rsidRPr="00970527">
        <w:rPr>
          <w:rFonts w:ascii="Times New Roman" w:hAnsi="Times New Roman" w:cs="Times New Roman"/>
          <w:bCs/>
          <w:i/>
          <w:kern w:val="36"/>
          <w:sz w:val="24"/>
          <w:szCs w:val="24"/>
          <w:lang w:val="en"/>
        </w:rPr>
        <w:t>Global Journal of Emerging Market Economie</w:t>
      </w:r>
      <w:r w:rsidRPr="00970527">
        <w:rPr>
          <w:rFonts w:ascii="Times New Roman" w:hAnsi="Times New Roman" w:cs="Times New Roman"/>
          <w:bCs/>
          <w:kern w:val="36"/>
          <w:sz w:val="24"/>
          <w:szCs w:val="24"/>
          <w:lang w:val="en"/>
        </w:rPr>
        <w:t xml:space="preserve">s, Vo.3, No.3. </w:t>
      </w:r>
    </w:p>
    <w:p w14:paraId="45AE5E6B" w14:textId="57DF271F" w:rsidR="002A7ACE" w:rsidRPr="00970527" w:rsidRDefault="002A7ACE" w:rsidP="00886715">
      <w:pPr>
        <w:autoSpaceDE w:val="0"/>
        <w:autoSpaceDN w:val="0"/>
        <w:adjustRightInd w:val="0"/>
        <w:spacing w:after="240"/>
        <w:ind w:left="851" w:hanging="851"/>
        <w:jc w:val="both"/>
        <w:rPr>
          <w:rFonts w:ascii="Times New Roman" w:hAnsi="Times New Roman" w:cs="Times New Roman"/>
          <w:sz w:val="24"/>
          <w:szCs w:val="24"/>
        </w:rPr>
      </w:pPr>
      <w:r w:rsidRPr="00970527">
        <w:rPr>
          <w:rFonts w:ascii="Times New Roman" w:hAnsi="Times New Roman" w:cs="Times New Roman"/>
          <w:sz w:val="24"/>
          <w:szCs w:val="24"/>
        </w:rPr>
        <w:lastRenderedPageBreak/>
        <w:t>Khondoker, A. M. and Tetsushi Sonobe (2011). “An Inquiry into the Rapid Growth of theGarment Industry in Bangladesh”, GRIPS Discussion Paper 11-10, National Graduate Institute for Policy Studies: Tokyo</w:t>
      </w:r>
      <w:r w:rsidR="00F56CFE" w:rsidRPr="00970527">
        <w:rPr>
          <w:rFonts w:ascii="Times New Roman" w:hAnsi="Times New Roman" w:cs="Times New Roman"/>
          <w:sz w:val="24"/>
          <w:szCs w:val="24"/>
        </w:rPr>
        <w:t>.</w:t>
      </w:r>
    </w:p>
    <w:p w14:paraId="26ECBFD5" w14:textId="1FAFF23F" w:rsidR="00F56CFE" w:rsidRPr="00970527" w:rsidRDefault="00F56CFE" w:rsidP="00886715">
      <w:pPr>
        <w:autoSpaceDE w:val="0"/>
        <w:autoSpaceDN w:val="0"/>
        <w:adjustRightInd w:val="0"/>
        <w:spacing w:after="240"/>
        <w:ind w:left="851" w:hanging="851"/>
        <w:jc w:val="both"/>
        <w:rPr>
          <w:rFonts w:ascii="Times New Roman" w:hAnsi="Times New Roman" w:cs="Times New Roman"/>
          <w:sz w:val="24"/>
          <w:szCs w:val="24"/>
        </w:rPr>
      </w:pPr>
      <w:r w:rsidRPr="00970527">
        <w:rPr>
          <w:rFonts w:ascii="Times New Roman" w:hAnsi="Times New Roman" w:cs="Times New Roman"/>
          <w:sz w:val="24"/>
          <w:szCs w:val="24"/>
        </w:rPr>
        <w:t>King, Stephen D. (2017</w:t>
      </w:r>
      <w:r w:rsidRPr="00970527">
        <w:rPr>
          <w:rFonts w:ascii="Times New Roman" w:hAnsi="Times New Roman" w:cs="Times New Roman"/>
          <w:i/>
          <w:sz w:val="24"/>
          <w:szCs w:val="24"/>
        </w:rPr>
        <w:t>). Grave New World. The End of Globalization, The Return of History</w:t>
      </w:r>
      <w:r w:rsidRPr="00970527">
        <w:rPr>
          <w:rFonts w:ascii="Times New Roman" w:hAnsi="Times New Roman" w:cs="Times New Roman"/>
          <w:sz w:val="24"/>
          <w:szCs w:val="24"/>
        </w:rPr>
        <w:t xml:space="preserve">. Yale University Press. </w:t>
      </w:r>
    </w:p>
    <w:p w14:paraId="4D68FE98" w14:textId="77777777" w:rsidR="002A3436" w:rsidRPr="00970527" w:rsidRDefault="002A3436" w:rsidP="00886715">
      <w:pPr>
        <w:autoSpaceDE w:val="0"/>
        <w:autoSpaceDN w:val="0"/>
        <w:adjustRightInd w:val="0"/>
        <w:spacing w:after="240" w:line="240" w:lineRule="auto"/>
        <w:ind w:left="851" w:hanging="851"/>
        <w:jc w:val="both"/>
        <w:rPr>
          <w:rFonts w:ascii="Times New Roman" w:hAnsi="Times New Roman" w:cs="Times New Roman"/>
          <w:sz w:val="24"/>
          <w:szCs w:val="24"/>
        </w:rPr>
      </w:pPr>
      <w:r w:rsidRPr="00970527">
        <w:rPr>
          <w:rFonts w:ascii="Times New Roman" w:hAnsi="Times New Roman" w:cs="Times New Roman"/>
          <w:sz w:val="24"/>
          <w:szCs w:val="24"/>
        </w:rPr>
        <w:t xml:space="preserve">Kuo, Shirley W. Y. (1983). </w:t>
      </w:r>
      <w:r w:rsidRPr="00970527">
        <w:rPr>
          <w:rFonts w:ascii="Times New Roman" w:hAnsi="Times New Roman" w:cs="Times New Roman"/>
          <w:bCs/>
          <w:i/>
          <w:iCs/>
          <w:sz w:val="24"/>
          <w:szCs w:val="24"/>
        </w:rPr>
        <w:t>The Taiwan economy in transition</w:t>
      </w:r>
      <w:r w:rsidRPr="00970527">
        <w:rPr>
          <w:rFonts w:ascii="Times New Roman" w:hAnsi="Times New Roman" w:cs="Times New Roman"/>
          <w:b/>
          <w:bCs/>
          <w:i/>
          <w:iCs/>
          <w:sz w:val="24"/>
          <w:szCs w:val="24"/>
        </w:rPr>
        <w:t xml:space="preserve">. </w:t>
      </w:r>
      <w:r w:rsidRPr="00970527">
        <w:rPr>
          <w:rFonts w:ascii="Times New Roman" w:hAnsi="Times New Roman" w:cs="Times New Roman"/>
          <w:sz w:val="24"/>
          <w:szCs w:val="24"/>
        </w:rPr>
        <w:t xml:space="preserve">Boulder, Colo.: West-View. </w:t>
      </w:r>
    </w:p>
    <w:p w14:paraId="0F62EA89" w14:textId="77777777" w:rsidR="00B8658A" w:rsidRPr="00B8658A" w:rsidRDefault="00B8658A" w:rsidP="00886715">
      <w:pPr>
        <w:spacing w:after="240"/>
        <w:ind w:left="851" w:hanging="851"/>
        <w:jc w:val="both"/>
        <w:rPr>
          <w:rFonts w:ascii="Times New Roman" w:hAnsi="Times New Roman" w:cs="Times New Roman"/>
          <w:sz w:val="24"/>
          <w:szCs w:val="24"/>
        </w:rPr>
      </w:pPr>
      <w:r w:rsidRPr="00C2798A">
        <w:rPr>
          <w:rFonts w:ascii="Times New Roman" w:hAnsi="Times New Roman" w:cs="Times New Roman"/>
          <w:sz w:val="24"/>
          <w:szCs w:val="24"/>
        </w:rPr>
        <w:t xml:space="preserve">Miller, B. and R.Atkinson (2013), “Are Robots Taking Our Jobs, or Making Them?”, The Information Technology and Innovation Foundation”. </w:t>
      </w:r>
      <w:hyperlink r:id="rId63" w:history="1">
        <w:r w:rsidRPr="003870E5">
          <w:rPr>
            <w:rStyle w:val="Hyperlink"/>
            <w:rFonts w:ascii="Times New Roman" w:hAnsi="Times New Roman" w:cs="Times New Roman"/>
            <w:sz w:val="24"/>
            <w:szCs w:val="24"/>
          </w:rPr>
          <w:t>http://www2.itif.org/2013-are-robots-taking-jobs.pdf</w:t>
        </w:r>
      </w:hyperlink>
      <w:r>
        <w:rPr>
          <w:rFonts w:ascii="Times New Roman" w:hAnsi="Times New Roman" w:cs="Times New Roman"/>
          <w:sz w:val="24"/>
          <w:szCs w:val="24"/>
        </w:rPr>
        <w:t>.</w:t>
      </w:r>
    </w:p>
    <w:p w14:paraId="60CC4BC8" w14:textId="77777777" w:rsidR="00F83759" w:rsidRPr="00F83759" w:rsidRDefault="00F83759" w:rsidP="00886715">
      <w:pPr>
        <w:spacing w:after="240"/>
        <w:ind w:left="851" w:hanging="851"/>
        <w:jc w:val="both"/>
        <w:rPr>
          <w:rFonts w:ascii="Times New Roman" w:hAnsi="Times New Roman" w:cs="Times New Roman"/>
          <w:sz w:val="24"/>
          <w:szCs w:val="24"/>
        </w:rPr>
      </w:pPr>
      <w:r w:rsidRPr="00F83759">
        <w:rPr>
          <w:rFonts w:ascii="Times New Roman" w:hAnsi="Times New Roman" w:cs="Times New Roman"/>
          <w:sz w:val="24"/>
          <w:szCs w:val="24"/>
        </w:rPr>
        <w:t xml:space="preserve">McCraw, Thomas K. (2012). “Joseph Schumpeter on Competition”, Published in CPI Competition Policy International (ISSN 1554-6853) Spring, Vol. 8 No. 1.  </w:t>
      </w:r>
    </w:p>
    <w:p w14:paraId="08F9DDB8" w14:textId="77777777" w:rsidR="00300FD1" w:rsidRPr="00886715" w:rsidRDefault="00300FD1" w:rsidP="00886715">
      <w:pPr>
        <w:spacing w:after="240"/>
        <w:ind w:left="851" w:hanging="851"/>
        <w:jc w:val="both"/>
        <w:rPr>
          <w:rFonts w:ascii="Times New Roman" w:hAnsi="Times New Roman" w:cs="Times New Roman"/>
          <w:sz w:val="24"/>
          <w:szCs w:val="24"/>
          <w:lang w:val="en"/>
        </w:rPr>
      </w:pPr>
      <w:r w:rsidRPr="00886715">
        <w:rPr>
          <w:rFonts w:ascii="Times New Roman" w:hAnsi="Times New Roman" w:cs="Times New Roman"/>
          <w:sz w:val="24"/>
          <w:szCs w:val="24"/>
          <w:lang w:val="en"/>
        </w:rPr>
        <w:t>Mjolner Infomatics (2015). Realizing the Fourth Industrial Revolution.  </w:t>
      </w:r>
      <w:hyperlink r:id="rId64" w:tgtFrame="_blank" w:history="1">
        <w:r w:rsidRPr="00886715">
          <w:rPr>
            <w:rStyle w:val="Hyperlink"/>
            <w:rFonts w:ascii="Times New Roman" w:hAnsi="Times New Roman" w:cs="Times New Roman"/>
            <w:sz w:val="24"/>
            <w:szCs w:val="24"/>
          </w:rPr>
          <w:t>https://mjolner.dk/tech/realizing-fourth-industrial-revolution/</w:t>
        </w:r>
      </w:hyperlink>
      <w:r w:rsidRPr="00886715">
        <w:rPr>
          <w:rStyle w:val="Hyperlink"/>
          <w:rFonts w:ascii="Times New Roman" w:hAnsi="Times New Roman" w:cs="Times New Roman"/>
          <w:sz w:val="24"/>
          <w:szCs w:val="24"/>
        </w:rPr>
        <w:t> .</w:t>
      </w:r>
      <w:r w:rsidRPr="00886715">
        <w:rPr>
          <w:rFonts w:ascii="Times New Roman" w:hAnsi="Times New Roman" w:cs="Times New Roman"/>
          <w:sz w:val="24"/>
          <w:szCs w:val="24"/>
          <w:lang w:val="en"/>
        </w:rPr>
        <w:t xml:space="preserve"> </w:t>
      </w:r>
    </w:p>
    <w:p w14:paraId="342E8923" w14:textId="77777777" w:rsidR="00C76DC1" w:rsidRPr="00970527" w:rsidRDefault="00C76DC1" w:rsidP="00886715">
      <w:pPr>
        <w:spacing w:after="240"/>
        <w:ind w:left="851" w:hanging="851"/>
        <w:jc w:val="both"/>
        <w:rPr>
          <w:rFonts w:ascii="Times New Roman" w:hAnsi="Times New Roman" w:cs="Times New Roman"/>
          <w:sz w:val="24"/>
          <w:szCs w:val="24"/>
        </w:rPr>
      </w:pPr>
      <w:r w:rsidRPr="00970527">
        <w:rPr>
          <w:rFonts w:ascii="Times New Roman" w:hAnsi="Times New Roman" w:cs="Times New Roman"/>
          <w:sz w:val="24"/>
          <w:szCs w:val="24"/>
          <w:lang w:val="en"/>
        </w:rPr>
        <w:t xml:space="preserve">OECD (2014). Science, Technology and Industry Outlook 2014. </w:t>
      </w:r>
    </w:p>
    <w:p w14:paraId="784FCFD7" w14:textId="77777777" w:rsidR="00C76DC1" w:rsidRPr="00970527" w:rsidRDefault="00C76DC1" w:rsidP="00886715">
      <w:pPr>
        <w:spacing w:after="240" w:line="240" w:lineRule="auto"/>
        <w:ind w:left="851" w:right="70" w:hanging="851"/>
        <w:jc w:val="both"/>
        <w:rPr>
          <w:rFonts w:ascii="Times New Roman" w:hAnsi="Times New Roman" w:cs="Times New Roman"/>
          <w:sz w:val="24"/>
          <w:szCs w:val="24"/>
        </w:rPr>
      </w:pPr>
      <w:r w:rsidRPr="00970527">
        <w:rPr>
          <w:rFonts w:ascii="Times New Roman" w:hAnsi="Times New Roman" w:cs="Times New Roman"/>
          <w:sz w:val="24"/>
          <w:szCs w:val="24"/>
        </w:rPr>
        <w:t>OECD (2016). “Enabling the Next Production Revolution: The Future of Manufacturing and</w:t>
      </w:r>
    </w:p>
    <w:p w14:paraId="0B8CA038" w14:textId="7CBF57AF" w:rsidR="00C76DC1" w:rsidRPr="00970527" w:rsidRDefault="00C76DC1" w:rsidP="00886715">
      <w:pPr>
        <w:spacing w:after="240" w:line="240" w:lineRule="auto"/>
        <w:ind w:left="851" w:right="21" w:hanging="851"/>
        <w:jc w:val="both"/>
        <w:rPr>
          <w:rFonts w:ascii="Times New Roman" w:hAnsi="Times New Roman" w:cs="Times New Roman"/>
          <w:sz w:val="24"/>
          <w:szCs w:val="24"/>
        </w:rPr>
      </w:pPr>
      <w:r w:rsidRPr="00970527">
        <w:rPr>
          <w:rFonts w:ascii="Times New Roman" w:hAnsi="Times New Roman" w:cs="Times New Roman"/>
          <w:sz w:val="24"/>
          <w:szCs w:val="24"/>
        </w:rPr>
        <w:t xml:space="preserve">Services”.  OECD Interim Report, Paris. </w:t>
      </w:r>
    </w:p>
    <w:p w14:paraId="74BBA02D" w14:textId="66DC740E" w:rsidR="00A77274" w:rsidRPr="00970527" w:rsidRDefault="00A77274" w:rsidP="00886715">
      <w:pPr>
        <w:spacing w:after="240"/>
        <w:ind w:left="851" w:hanging="851"/>
        <w:jc w:val="both"/>
        <w:rPr>
          <w:rFonts w:ascii="Times New Roman" w:hAnsi="Times New Roman" w:cs="Times New Roman"/>
          <w:sz w:val="24"/>
          <w:szCs w:val="24"/>
        </w:rPr>
      </w:pPr>
      <w:r w:rsidRPr="00970527">
        <w:rPr>
          <w:rFonts w:ascii="Times New Roman" w:hAnsi="Times New Roman" w:cs="Times New Roman"/>
          <w:sz w:val="24"/>
          <w:szCs w:val="24"/>
        </w:rPr>
        <w:t xml:space="preserve">Page, </w:t>
      </w:r>
      <w:r w:rsidR="001465D6" w:rsidRPr="00970527">
        <w:rPr>
          <w:rFonts w:ascii="Times New Roman" w:hAnsi="Times New Roman" w:cs="Times New Roman"/>
          <w:sz w:val="24"/>
          <w:szCs w:val="24"/>
        </w:rPr>
        <w:t xml:space="preserve">John M, and Peter A. (1993). “Productivity Change and Strategic Growth Policy in the Asian Miracle”. Background paper for The East Asian Miracle, World Bank, Policy research Department, Washington, DC. </w:t>
      </w:r>
    </w:p>
    <w:p w14:paraId="46DC50FB" w14:textId="77777777" w:rsidR="00306A77" w:rsidRPr="00970527" w:rsidRDefault="00306A77" w:rsidP="00886715">
      <w:pPr>
        <w:pStyle w:val="NoSpacing"/>
        <w:spacing w:after="240" w:line="276" w:lineRule="auto"/>
        <w:ind w:left="851" w:hanging="851"/>
        <w:jc w:val="both"/>
        <w:rPr>
          <w:rFonts w:ascii="Times New Roman" w:hAnsi="Times New Roman" w:cs="Times New Roman"/>
          <w:sz w:val="24"/>
          <w:szCs w:val="24"/>
        </w:rPr>
      </w:pPr>
      <w:r w:rsidRPr="00970527">
        <w:rPr>
          <w:rFonts w:ascii="Times New Roman" w:hAnsi="Times New Roman" w:cs="Times New Roman"/>
          <w:sz w:val="24"/>
          <w:szCs w:val="24"/>
        </w:rPr>
        <w:t xml:space="preserve">Prasanna, N. (2010).  “Impact of Foreign Direct Investment on Export Performance in India”.  </w:t>
      </w:r>
      <w:r w:rsidRPr="00970527">
        <w:rPr>
          <w:rFonts w:ascii="Times New Roman" w:hAnsi="Times New Roman" w:cs="Times New Roman"/>
          <w:i/>
          <w:sz w:val="24"/>
          <w:szCs w:val="24"/>
        </w:rPr>
        <w:t>Journal of Social Sciences</w:t>
      </w:r>
      <w:r w:rsidRPr="00970527">
        <w:rPr>
          <w:rFonts w:ascii="Times New Roman" w:hAnsi="Times New Roman" w:cs="Times New Roman"/>
          <w:sz w:val="24"/>
          <w:szCs w:val="24"/>
        </w:rPr>
        <w:t>, 24(1), pp 65-71</w:t>
      </w:r>
    </w:p>
    <w:p w14:paraId="5CFCD15C" w14:textId="77777777" w:rsidR="00B93979" w:rsidRPr="00970527" w:rsidRDefault="00B93979" w:rsidP="00886715">
      <w:pPr>
        <w:spacing w:after="240"/>
        <w:ind w:left="851" w:hanging="851"/>
        <w:jc w:val="both"/>
        <w:rPr>
          <w:rFonts w:ascii="Times New Roman" w:hAnsi="Times New Roman" w:cs="Times New Roman"/>
          <w:sz w:val="24"/>
          <w:szCs w:val="24"/>
        </w:rPr>
      </w:pPr>
      <w:r w:rsidRPr="00970527">
        <w:rPr>
          <w:rFonts w:ascii="Times New Roman" w:hAnsi="Times New Roman" w:cs="Times New Roman"/>
          <w:sz w:val="24"/>
          <w:szCs w:val="24"/>
        </w:rPr>
        <w:t xml:space="preserve">PRI (2012). “Assessment of Effective Rates of Protection. 2012 Survey of Manufacturing Industries”. Report prepared for the World Bank by Policy Research Institute of Bangladesh (PRI). Dhaka. </w:t>
      </w:r>
    </w:p>
    <w:p w14:paraId="69F8AFBB" w14:textId="77777777" w:rsidR="00486748" w:rsidRPr="00970527" w:rsidRDefault="004131D2" w:rsidP="00886715">
      <w:pPr>
        <w:spacing w:after="240"/>
        <w:ind w:left="851" w:hanging="851"/>
        <w:jc w:val="both"/>
        <w:rPr>
          <w:rFonts w:ascii="Times New Roman" w:hAnsi="Times New Roman" w:cs="Times New Roman"/>
          <w:sz w:val="24"/>
          <w:szCs w:val="24"/>
          <w:lang w:val="en"/>
        </w:rPr>
      </w:pPr>
      <w:r w:rsidRPr="00970527">
        <w:rPr>
          <w:rFonts w:ascii="Times New Roman" w:hAnsi="Times New Roman" w:cs="Times New Roman"/>
          <w:sz w:val="24"/>
          <w:szCs w:val="24"/>
          <w:lang w:val="en"/>
        </w:rPr>
        <w:t xml:space="preserve">Porter, Michael (1998). The Competitive Advantage of Nations. Pelgrave, New York. </w:t>
      </w:r>
    </w:p>
    <w:p w14:paraId="047A75B3" w14:textId="36D2B901" w:rsidR="0082663A" w:rsidRDefault="0082663A" w:rsidP="00886715">
      <w:pPr>
        <w:autoSpaceDE w:val="0"/>
        <w:autoSpaceDN w:val="0"/>
        <w:adjustRightInd w:val="0"/>
        <w:spacing w:after="240"/>
        <w:ind w:left="851" w:hanging="851"/>
        <w:jc w:val="both"/>
        <w:rPr>
          <w:rFonts w:ascii="Times New Roman" w:eastAsia="Times New Roman" w:hAnsi="Times New Roman" w:cs="Times New Roman"/>
          <w:sz w:val="24"/>
          <w:szCs w:val="24"/>
        </w:rPr>
      </w:pPr>
      <w:r w:rsidRPr="00970527">
        <w:rPr>
          <w:rFonts w:ascii="Times New Roman" w:eastAsia="Times New Roman" w:hAnsi="Times New Roman" w:cs="Times New Roman"/>
          <w:sz w:val="24"/>
          <w:szCs w:val="24"/>
        </w:rPr>
        <w:t xml:space="preserve">Sachs, Jeffrey D. &amp; Andrew Warner (1995), "Economic Reform and the Process of Global Integration," </w:t>
      </w:r>
      <w:r w:rsidRPr="00970527">
        <w:rPr>
          <w:rFonts w:ascii="Times New Roman" w:eastAsia="Times New Roman" w:hAnsi="Times New Roman" w:cs="Times New Roman"/>
          <w:i/>
          <w:sz w:val="24"/>
          <w:szCs w:val="24"/>
        </w:rPr>
        <w:t>Brookings Papers on Economic Activity</w:t>
      </w:r>
      <w:r w:rsidRPr="00970527">
        <w:rPr>
          <w:rFonts w:ascii="Times New Roman" w:eastAsia="Times New Roman" w:hAnsi="Times New Roman" w:cs="Times New Roman"/>
          <w:sz w:val="24"/>
          <w:szCs w:val="24"/>
        </w:rPr>
        <w:t>, Economic Studies Program, The Brookings Institution, vol. 26(1, 25th A), pages 1-118.</w:t>
      </w:r>
    </w:p>
    <w:p w14:paraId="4D10320E" w14:textId="7723E0E3" w:rsidR="007A5289" w:rsidRPr="00970527" w:rsidRDefault="007A5289" w:rsidP="00886715">
      <w:pPr>
        <w:autoSpaceDE w:val="0"/>
        <w:autoSpaceDN w:val="0"/>
        <w:adjustRightInd w:val="0"/>
        <w:spacing w:after="240"/>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Schumpeter, Joseph (1942). </w:t>
      </w:r>
      <w:r w:rsidRPr="007A5289">
        <w:rPr>
          <w:rFonts w:ascii="Times New Roman" w:eastAsia="Times New Roman" w:hAnsi="Times New Roman" w:cs="Times New Roman"/>
          <w:i/>
          <w:sz w:val="24"/>
          <w:szCs w:val="24"/>
        </w:rPr>
        <w:t>Capitalism, Socialism, and Democracy</w:t>
      </w:r>
      <w:r>
        <w:rPr>
          <w:rFonts w:ascii="Times New Roman" w:eastAsia="Times New Roman" w:hAnsi="Times New Roman" w:cs="Times New Roman"/>
          <w:sz w:val="24"/>
          <w:szCs w:val="24"/>
        </w:rPr>
        <w:t>. Published by Harper &amp; Brothers</w:t>
      </w:r>
      <w:r w:rsidR="001531AE">
        <w:rPr>
          <w:rFonts w:ascii="Times New Roman" w:eastAsia="Times New Roman" w:hAnsi="Times New Roman" w:cs="Times New Roman"/>
          <w:sz w:val="24"/>
          <w:szCs w:val="24"/>
        </w:rPr>
        <w:t xml:space="preserve"> (now Harper Collins), New York and U.K</w:t>
      </w:r>
      <w:r>
        <w:rPr>
          <w:rFonts w:ascii="Times New Roman" w:eastAsia="Times New Roman" w:hAnsi="Times New Roman" w:cs="Times New Roman"/>
          <w:sz w:val="24"/>
          <w:szCs w:val="24"/>
        </w:rPr>
        <w:t xml:space="preserve">. </w:t>
      </w:r>
    </w:p>
    <w:p w14:paraId="6902028E" w14:textId="77777777" w:rsidR="00C96722" w:rsidRPr="00970527" w:rsidRDefault="00C96722" w:rsidP="00886715">
      <w:pPr>
        <w:spacing w:after="240"/>
        <w:ind w:left="851" w:hanging="851"/>
        <w:jc w:val="both"/>
        <w:rPr>
          <w:rFonts w:ascii="Times New Roman" w:hAnsi="Times New Roman" w:cs="Times New Roman"/>
          <w:sz w:val="24"/>
          <w:szCs w:val="24"/>
        </w:rPr>
      </w:pPr>
      <w:r w:rsidRPr="00970527">
        <w:rPr>
          <w:rFonts w:ascii="Times New Roman" w:hAnsi="Times New Roman" w:cs="Times New Roman"/>
          <w:sz w:val="24"/>
          <w:szCs w:val="24"/>
        </w:rPr>
        <w:lastRenderedPageBreak/>
        <w:t xml:space="preserve">Spence, Michael (2007). “Wealth of Nations: Why China Grows So Fast”, </w:t>
      </w:r>
      <w:r w:rsidRPr="00970527">
        <w:rPr>
          <w:rFonts w:ascii="Times New Roman" w:hAnsi="Times New Roman" w:cs="Times New Roman"/>
          <w:i/>
          <w:sz w:val="24"/>
          <w:szCs w:val="24"/>
        </w:rPr>
        <w:t>The Wall Street Journal</w:t>
      </w:r>
      <w:r w:rsidRPr="00970527">
        <w:rPr>
          <w:rFonts w:ascii="Times New Roman" w:hAnsi="Times New Roman" w:cs="Times New Roman"/>
          <w:i/>
          <w:sz w:val="24"/>
          <w:szCs w:val="24"/>
          <w:u w:val="single"/>
        </w:rPr>
        <w:t>,</w:t>
      </w:r>
      <w:r w:rsidRPr="00970527">
        <w:rPr>
          <w:rFonts w:ascii="Times New Roman" w:hAnsi="Times New Roman" w:cs="Times New Roman"/>
          <w:sz w:val="24"/>
          <w:szCs w:val="24"/>
        </w:rPr>
        <w:t xml:space="preserve"> January 23.</w:t>
      </w:r>
    </w:p>
    <w:p w14:paraId="0D28FA13" w14:textId="77777777" w:rsidR="0082663A" w:rsidRPr="00970527" w:rsidRDefault="0082663A" w:rsidP="00886715">
      <w:pPr>
        <w:spacing w:after="240"/>
        <w:ind w:left="851" w:hanging="851"/>
        <w:jc w:val="both"/>
        <w:rPr>
          <w:rFonts w:ascii="Times New Roman" w:hAnsi="Times New Roman" w:cs="Times New Roman"/>
          <w:sz w:val="24"/>
          <w:szCs w:val="24"/>
        </w:rPr>
      </w:pPr>
      <w:r w:rsidRPr="00970527">
        <w:rPr>
          <w:rFonts w:ascii="Times New Roman" w:hAnsi="Times New Roman" w:cs="Times New Roman"/>
          <w:sz w:val="24"/>
          <w:szCs w:val="24"/>
        </w:rPr>
        <w:t xml:space="preserve">Srinivasan, T. N. &amp; Jagdish Bhagwati (1999). "Outward-Orientation and Development: Are Revisionists Right," </w:t>
      </w:r>
      <w:r w:rsidRPr="00970527">
        <w:rPr>
          <w:rFonts w:ascii="Times New Roman" w:hAnsi="Times New Roman" w:cs="Times New Roman"/>
          <w:i/>
          <w:sz w:val="24"/>
          <w:szCs w:val="24"/>
        </w:rPr>
        <w:t>Working Papers #806</w:t>
      </w:r>
      <w:r w:rsidRPr="00970527">
        <w:rPr>
          <w:rFonts w:ascii="Times New Roman" w:hAnsi="Times New Roman" w:cs="Times New Roman"/>
          <w:sz w:val="24"/>
          <w:szCs w:val="24"/>
        </w:rPr>
        <w:t>, Economic Growth Center, Yale University.</w:t>
      </w:r>
    </w:p>
    <w:p w14:paraId="780E615F" w14:textId="77777777" w:rsidR="00422C9E" w:rsidRPr="00970527" w:rsidRDefault="00422C9E" w:rsidP="00886715">
      <w:pPr>
        <w:spacing w:after="240"/>
        <w:ind w:left="851" w:hanging="851"/>
        <w:jc w:val="both"/>
        <w:rPr>
          <w:rFonts w:ascii="Times New Roman" w:hAnsi="Times New Roman" w:cs="Times New Roman"/>
          <w:sz w:val="24"/>
          <w:szCs w:val="24"/>
          <w:lang w:val="en"/>
        </w:rPr>
      </w:pPr>
      <w:r w:rsidRPr="00970527">
        <w:rPr>
          <w:rFonts w:ascii="Times New Roman" w:hAnsi="Times New Roman" w:cs="Times New Roman"/>
          <w:sz w:val="24"/>
          <w:szCs w:val="24"/>
        </w:rPr>
        <w:t xml:space="preserve">Seidel, B. and Lawrence Chandy (2016). “Future of Globalization in a Post-Trump World”, Brookings Institution. </w:t>
      </w:r>
    </w:p>
    <w:p w14:paraId="5ABA7BBC" w14:textId="78F1BC80" w:rsidR="00F83759" w:rsidRDefault="00F83759" w:rsidP="00886715">
      <w:pPr>
        <w:autoSpaceDE w:val="0"/>
        <w:autoSpaceDN w:val="0"/>
        <w:adjustRightInd w:val="0"/>
        <w:spacing w:after="240" w:line="240" w:lineRule="auto"/>
        <w:ind w:left="851" w:hanging="851"/>
        <w:jc w:val="both"/>
        <w:rPr>
          <w:rFonts w:ascii="Times New Roman" w:hAnsi="Times New Roman" w:cs="Times New Roman"/>
          <w:sz w:val="24"/>
          <w:szCs w:val="24"/>
        </w:rPr>
      </w:pPr>
      <w:r w:rsidRPr="00012005">
        <w:rPr>
          <w:rFonts w:ascii="Times New Roman" w:hAnsi="Times New Roman" w:cs="Times New Roman"/>
          <w:sz w:val="24"/>
          <w:szCs w:val="24"/>
        </w:rPr>
        <w:t>Subramaniam</w:t>
      </w:r>
      <w:r>
        <w:rPr>
          <w:rFonts w:ascii="Times New Roman" w:hAnsi="Times New Roman" w:cs="Times New Roman"/>
          <w:sz w:val="24"/>
          <w:szCs w:val="24"/>
        </w:rPr>
        <w:t>, Arvind</w:t>
      </w:r>
      <w:r w:rsidRPr="00012005">
        <w:rPr>
          <w:rFonts w:ascii="Times New Roman" w:hAnsi="Times New Roman" w:cs="Times New Roman"/>
          <w:sz w:val="24"/>
          <w:szCs w:val="24"/>
        </w:rPr>
        <w:t xml:space="preserve"> and Martin Kessler</w:t>
      </w:r>
      <w:r>
        <w:rPr>
          <w:rFonts w:ascii="Times New Roman" w:hAnsi="Times New Roman" w:cs="Times New Roman"/>
          <w:sz w:val="24"/>
          <w:szCs w:val="24"/>
        </w:rPr>
        <w:t xml:space="preserve"> (2013).</w:t>
      </w:r>
      <w:r w:rsidRPr="00012005">
        <w:rPr>
          <w:rFonts w:ascii="Times New Roman" w:hAnsi="Times New Roman" w:cs="Times New Roman"/>
          <w:sz w:val="24"/>
          <w:szCs w:val="24"/>
        </w:rPr>
        <w:t xml:space="preserve"> “The Hyperglobalization </w:t>
      </w:r>
      <w:r>
        <w:rPr>
          <w:rFonts w:ascii="Times New Roman" w:hAnsi="Times New Roman" w:cs="Times New Roman"/>
          <w:sz w:val="24"/>
          <w:szCs w:val="24"/>
        </w:rPr>
        <w:t>of Trade and its Future”, Global Citizen Foundation</w:t>
      </w:r>
      <w:r w:rsidRPr="00012005">
        <w:rPr>
          <w:rFonts w:ascii="Times New Roman" w:hAnsi="Times New Roman" w:cs="Times New Roman"/>
          <w:sz w:val="24"/>
          <w:szCs w:val="24"/>
        </w:rPr>
        <w:t xml:space="preserve">, </w:t>
      </w:r>
      <w:hyperlink r:id="rId65" w:history="1">
        <w:r w:rsidRPr="00012005">
          <w:rPr>
            <w:rStyle w:val="Hyperlink"/>
            <w:rFonts w:ascii="Times New Roman" w:hAnsi="Times New Roman" w:cs="Times New Roman"/>
            <w:sz w:val="24"/>
            <w:szCs w:val="24"/>
          </w:rPr>
          <w:t>http://www.gcf.ch/wp-content/</w:t>
        </w:r>
      </w:hyperlink>
      <w:r w:rsidRPr="00012005">
        <w:rPr>
          <w:rFonts w:ascii="Times New Roman" w:hAnsi="Times New Roman" w:cs="Times New Roman"/>
          <w:sz w:val="24"/>
          <w:szCs w:val="24"/>
        </w:rPr>
        <w:t xml:space="preserve"> uploads/2013/06/GCF_Subramanian-working-paper-3_-6.17.13.pdf.</w:t>
      </w:r>
    </w:p>
    <w:p w14:paraId="6CD965DF" w14:textId="5646F172" w:rsidR="00964097" w:rsidRPr="00964097" w:rsidRDefault="00964097" w:rsidP="00886715">
      <w:pPr>
        <w:autoSpaceDE w:val="0"/>
        <w:autoSpaceDN w:val="0"/>
        <w:adjustRightInd w:val="0"/>
        <w:spacing w:after="240" w:line="240" w:lineRule="auto"/>
        <w:ind w:left="851" w:hanging="851"/>
        <w:jc w:val="both"/>
        <w:rPr>
          <w:rFonts w:ascii="Times New Roman" w:hAnsi="Times New Roman" w:cs="Times New Roman"/>
          <w:sz w:val="24"/>
          <w:szCs w:val="24"/>
        </w:rPr>
      </w:pPr>
      <w:r w:rsidRPr="00964097">
        <w:rPr>
          <w:rFonts w:ascii="Times New Roman" w:hAnsi="Times New Roman" w:cs="Times New Roman"/>
          <w:sz w:val="24"/>
          <w:szCs w:val="24"/>
        </w:rPr>
        <w:t>UNCTAD (2013). World Investment Report 2013: “Global Value Chains: Investment and Trade for Development”. Statement By James Zhan, Director</w:t>
      </w:r>
      <w:r>
        <w:rPr>
          <w:rFonts w:ascii="Times New Roman" w:hAnsi="Times New Roman" w:cs="Times New Roman"/>
          <w:sz w:val="24"/>
          <w:szCs w:val="24"/>
        </w:rPr>
        <w:t>,</w:t>
      </w:r>
      <w:r w:rsidRPr="00964097">
        <w:rPr>
          <w:rFonts w:ascii="Times New Roman" w:hAnsi="Times New Roman" w:cs="Times New Roman"/>
          <w:sz w:val="24"/>
          <w:szCs w:val="24"/>
        </w:rPr>
        <w:t xml:space="preserve"> Division on Investment and Enterprise UNCTAD. </w:t>
      </w:r>
    </w:p>
    <w:p w14:paraId="3F29CFD0" w14:textId="77777777" w:rsidR="004255D7" w:rsidRDefault="004255D7" w:rsidP="00886715">
      <w:pPr>
        <w:autoSpaceDE w:val="0"/>
        <w:autoSpaceDN w:val="0"/>
        <w:adjustRightInd w:val="0"/>
        <w:spacing w:after="240" w:line="240" w:lineRule="auto"/>
        <w:ind w:left="851" w:hanging="851"/>
        <w:jc w:val="both"/>
        <w:rPr>
          <w:rFonts w:ascii="Times New Roman" w:hAnsi="Times New Roman" w:cs="Times New Roman"/>
          <w:color w:val="3B3092"/>
          <w:sz w:val="24"/>
          <w:szCs w:val="24"/>
          <w:u w:val="single" w:color="3B3092"/>
        </w:rPr>
      </w:pPr>
      <w:r w:rsidRPr="004255D7">
        <w:rPr>
          <w:rFonts w:ascii="Times New Roman" w:hAnsi="Times New Roman" w:cs="Times New Roman"/>
          <w:sz w:val="24"/>
          <w:szCs w:val="24"/>
        </w:rPr>
        <w:t>Vodafone</w:t>
      </w:r>
      <w:r w:rsidR="005678ED">
        <w:rPr>
          <w:rFonts w:ascii="Times New Roman" w:hAnsi="Times New Roman" w:cs="Times New Roman"/>
          <w:sz w:val="24"/>
          <w:szCs w:val="24"/>
        </w:rPr>
        <w:t xml:space="preserve"> </w:t>
      </w:r>
      <w:r w:rsidRPr="004255D7">
        <w:rPr>
          <w:rFonts w:ascii="Times New Roman" w:hAnsi="Times New Roman" w:cs="Times New Roman"/>
          <w:sz w:val="24"/>
          <w:szCs w:val="24"/>
        </w:rPr>
        <w:t>(2015), “M2M Barometer 2015 report”,</w:t>
      </w:r>
      <w:r w:rsidRPr="004255D7">
        <w:rPr>
          <w:rFonts w:ascii="Times New Roman" w:hAnsi="Times New Roman" w:cs="Times New Roman"/>
          <w:sz w:val="24"/>
          <w:szCs w:val="24"/>
        </w:rPr>
        <w:tab/>
        <w:t>Vodafone,</w:t>
      </w:r>
      <w:r w:rsidRPr="004255D7">
        <w:rPr>
          <w:rFonts w:ascii="Times New Roman" w:hAnsi="Times New Roman" w:cs="Times New Roman"/>
          <w:sz w:val="24"/>
          <w:szCs w:val="24"/>
        </w:rPr>
        <w:tab/>
      </w:r>
      <w:hyperlink r:id="rId66">
        <w:r w:rsidRPr="004255D7">
          <w:rPr>
            <w:rFonts w:ascii="Times New Roman" w:hAnsi="Times New Roman" w:cs="Times New Roman"/>
            <w:color w:val="3B3092"/>
            <w:spacing w:val="-1"/>
            <w:sz w:val="24"/>
            <w:szCs w:val="24"/>
            <w:u w:val="single" w:color="3B3092"/>
          </w:rPr>
          <w:t>http://m2m-</w:t>
        </w:r>
      </w:hyperlink>
      <w:r w:rsidRPr="004255D7">
        <w:rPr>
          <w:rFonts w:ascii="Times New Roman" w:hAnsi="Times New Roman" w:cs="Times New Roman"/>
          <w:color w:val="3B3092"/>
          <w:spacing w:val="-1"/>
          <w:sz w:val="24"/>
          <w:szCs w:val="24"/>
        </w:rPr>
        <w:t xml:space="preserve"> </w:t>
      </w:r>
      <w:r w:rsidRPr="004255D7">
        <w:rPr>
          <w:rFonts w:ascii="Times New Roman" w:hAnsi="Times New Roman" w:cs="Times New Roman"/>
          <w:color w:val="3B3092"/>
          <w:sz w:val="24"/>
          <w:szCs w:val="24"/>
          <w:u w:val="single" w:color="3B3092"/>
        </w:rPr>
        <w:t>mktg.vodafone.com/barometer2015</w:t>
      </w:r>
    </w:p>
    <w:p w14:paraId="42162359" w14:textId="77777777" w:rsidR="005678ED" w:rsidRDefault="005678ED" w:rsidP="00886715">
      <w:pPr>
        <w:autoSpaceDE w:val="0"/>
        <w:autoSpaceDN w:val="0"/>
        <w:adjustRightInd w:val="0"/>
        <w:spacing w:after="240" w:line="240" w:lineRule="auto"/>
        <w:ind w:left="851" w:hanging="851"/>
        <w:jc w:val="both"/>
        <w:rPr>
          <w:rFonts w:ascii="Times New Roman" w:hAnsi="Times New Roman" w:cs="Times New Roman"/>
          <w:color w:val="3B3092"/>
          <w:sz w:val="24"/>
          <w:szCs w:val="24"/>
          <w:u w:val="single" w:color="3B3092"/>
        </w:rPr>
      </w:pPr>
      <w:r w:rsidRPr="005678ED">
        <w:rPr>
          <w:rFonts w:ascii="Times New Roman" w:hAnsi="Times New Roman" w:cs="Times New Roman"/>
          <w:sz w:val="24"/>
          <w:szCs w:val="24"/>
          <w:u w:color="3B3092"/>
        </w:rPr>
        <w:t>Wikipedia</w:t>
      </w:r>
      <w:r w:rsidRPr="005678ED">
        <w:rPr>
          <w:rFonts w:ascii="Times New Roman" w:hAnsi="Times New Roman" w:cs="Times New Roman"/>
          <w:color w:val="3B3092"/>
          <w:sz w:val="24"/>
          <w:szCs w:val="24"/>
          <w:u w:color="3B3092"/>
        </w:rPr>
        <w:t>.</w:t>
      </w:r>
      <w:r>
        <w:rPr>
          <w:rFonts w:ascii="Times New Roman" w:hAnsi="Times New Roman" w:cs="Times New Roman"/>
          <w:color w:val="3B3092"/>
          <w:sz w:val="24"/>
          <w:szCs w:val="24"/>
          <w:u w:val="single" w:color="3B3092"/>
        </w:rPr>
        <w:t xml:space="preserve"> </w:t>
      </w:r>
      <w:r w:rsidRPr="005678ED">
        <w:rPr>
          <w:rStyle w:val="HTMLCite"/>
          <w:rFonts w:ascii="Arial" w:hAnsi="Arial" w:cs="Arial"/>
          <w:color w:val="666666"/>
          <w:u w:val="single"/>
        </w:rPr>
        <w:t>https://en.wikipedia.org</w:t>
      </w:r>
    </w:p>
    <w:p w14:paraId="6656DD6E" w14:textId="0EF75D11" w:rsidR="006C6096" w:rsidRPr="00970527" w:rsidRDefault="006C6096" w:rsidP="00886715">
      <w:pPr>
        <w:autoSpaceDE w:val="0"/>
        <w:autoSpaceDN w:val="0"/>
        <w:adjustRightInd w:val="0"/>
        <w:spacing w:after="240" w:line="240" w:lineRule="auto"/>
        <w:ind w:left="851" w:hanging="851"/>
        <w:jc w:val="both"/>
        <w:rPr>
          <w:rFonts w:ascii="Times New Roman" w:hAnsi="Times New Roman" w:cs="Times New Roman"/>
          <w:sz w:val="24"/>
          <w:szCs w:val="24"/>
          <w:u w:val="single" w:color="3B3092"/>
        </w:rPr>
      </w:pPr>
      <w:r w:rsidRPr="00970527">
        <w:rPr>
          <w:rFonts w:ascii="Times New Roman" w:hAnsi="Times New Roman" w:cs="Times New Roman"/>
          <w:sz w:val="24"/>
          <w:szCs w:val="24"/>
          <w:u w:color="3B3092"/>
        </w:rPr>
        <w:t>Westphal, Larry E. (1978). “The Republic of Korea’s Experience with Export Led Development”, World Development, Vol.6, 347-82</w:t>
      </w:r>
      <w:r w:rsidRPr="00970527">
        <w:rPr>
          <w:rFonts w:ascii="Times New Roman" w:hAnsi="Times New Roman" w:cs="Times New Roman"/>
          <w:sz w:val="24"/>
          <w:szCs w:val="24"/>
          <w:u w:val="single" w:color="3B3092"/>
        </w:rPr>
        <w:t xml:space="preserve">. </w:t>
      </w:r>
    </w:p>
    <w:p w14:paraId="42BA0C66" w14:textId="696CA549" w:rsidR="009A189E" w:rsidRPr="009A189E" w:rsidRDefault="009A189E" w:rsidP="00886715">
      <w:pPr>
        <w:autoSpaceDE w:val="0"/>
        <w:autoSpaceDN w:val="0"/>
        <w:adjustRightInd w:val="0"/>
        <w:spacing w:after="240" w:line="240" w:lineRule="auto"/>
        <w:ind w:left="851" w:hanging="851"/>
        <w:jc w:val="both"/>
        <w:rPr>
          <w:rFonts w:ascii="Times New Roman" w:hAnsi="Times New Roman" w:cs="Times New Roman"/>
          <w:color w:val="3B3092"/>
          <w:sz w:val="24"/>
          <w:szCs w:val="24"/>
          <w:u w:val="single" w:color="3B3092"/>
        </w:rPr>
      </w:pPr>
      <w:r w:rsidRPr="00970527">
        <w:rPr>
          <w:rFonts w:ascii="Times New Roman" w:hAnsi="Times New Roman" w:cs="Times New Roman"/>
          <w:iCs/>
          <w:sz w:val="24"/>
          <w:szCs w:val="24"/>
          <w:lang w:val="en"/>
        </w:rPr>
        <w:t>World Bank (1991)</w:t>
      </w:r>
      <w:r w:rsidRPr="00970527">
        <w:rPr>
          <w:rFonts w:ascii="Times New Roman" w:hAnsi="Times New Roman" w:cs="Times New Roman"/>
          <w:i/>
          <w:iCs/>
          <w:sz w:val="24"/>
          <w:szCs w:val="24"/>
          <w:lang w:val="en"/>
        </w:rPr>
        <w:t xml:space="preserve">. </w:t>
      </w:r>
      <w:r w:rsidRPr="00970527">
        <w:rPr>
          <w:rStyle w:val="italic1"/>
          <w:rFonts w:ascii="Times New Roman" w:hAnsi="Times New Roman" w:cs="Times New Roman"/>
          <w:sz w:val="24"/>
          <w:szCs w:val="24"/>
          <w:lang w:val="en"/>
        </w:rPr>
        <w:t>World Development Report 1991: The Challenge of Development</w:t>
      </w:r>
      <w:r w:rsidRPr="00970527">
        <w:rPr>
          <w:rFonts w:ascii="Times New Roman" w:hAnsi="Times New Roman" w:cs="Times New Roman"/>
          <w:i/>
          <w:iCs/>
          <w:sz w:val="24"/>
          <w:szCs w:val="24"/>
          <w:lang w:val="en"/>
        </w:rPr>
        <w:t xml:space="preserve">. </w:t>
      </w:r>
      <w:r w:rsidRPr="00970527">
        <w:rPr>
          <w:rFonts w:ascii="Times New Roman" w:hAnsi="Times New Roman" w:cs="Times New Roman"/>
          <w:iCs/>
          <w:sz w:val="24"/>
          <w:szCs w:val="24"/>
          <w:lang w:val="en"/>
        </w:rPr>
        <w:t>New York: Oxford University Press. © World Bank</w:t>
      </w:r>
      <w:r w:rsidRPr="00970527">
        <w:rPr>
          <w:rFonts w:ascii="Times New Roman" w:hAnsi="Times New Roman" w:cs="Times New Roman"/>
          <w:i/>
          <w:iCs/>
          <w:sz w:val="24"/>
          <w:szCs w:val="24"/>
          <w:lang w:val="en"/>
        </w:rPr>
        <w:t xml:space="preserve">. </w:t>
      </w:r>
      <w:r w:rsidRPr="009A189E">
        <w:rPr>
          <w:rFonts w:ascii="Times New Roman" w:hAnsi="Times New Roman" w:cs="Times New Roman"/>
          <w:i/>
          <w:iCs/>
          <w:color w:val="333333"/>
          <w:sz w:val="24"/>
          <w:szCs w:val="24"/>
          <w:lang w:val="en"/>
        </w:rPr>
        <w:t>https://openknowledge.worldbank.org/handle/10986/5974 License: CC BY 3.0 IGO.”</w:t>
      </w:r>
    </w:p>
    <w:p w14:paraId="2D79A578" w14:textId="0E83C8F9" w:rsidR="0029504A" w:rsidRPr="00970527" w:rsidRDefault="0029504A" w:rsidP="00886715">
      <w:pPr>
        <w:autoSpaceDE w:val="0"/>
        <w:autoSpaceDN w:val="0"/>
        <w:adjustRightInd w:val="0"/>
        <w:spacing w:after="240" w:line="240" w:lineRule="auto"/>
        <w:ind w:left="851" w:hanging="851"/>
        <w:jc w:val="both"/>
        <w:rPr>
          <w:rFonts w:ascii="Times New Roman" w:hAnsi="Times New Roman" w:cs="Times New Roman"/>
          <w:iCs/>
          <w:sz w:val="24"/>
          <w:szCs w:val="24"/>
        </w:rPr>
      </w:pPr>
      <w:r w:rsidRPr="00970527">
        <w:rPr>
          <w:rFonts w:ascii="Times New Roman" w:hAnsi="Times New Roman" w:cs="Times New Roman"/>
          <w:sz w:val="24"/>
          <w:szCs w:val="24"/>
          <w:u w:color="3B3092"/>
        </w:rPr>
        <w:t>World Bank (1993)</w:t>
      </w:r>
      <w:r w:rsidRPr="00970527">
        <w:rPr>
          <w:rFonts w:ascii="Times New Roman" w:hAnsi="Times New Roman" w:cs="Times New Roman"/>
          <w:iCs/>
          <w:sz w:val="24"/>
          <w:szCs w:val="24"/>
        </w:rPr>
        <w:t xml:space="preserve">. </w:t>
      </w:r>
      <w:r w:rsidR="008434E1" w:rsidRPr="00970527">
        <w:rPr>
          <w:rFonts w:ascii="Times New Roman" w:hAnsi="Times New Roman" w:cs="Times New Roman"/>
          <w:iCs/>
          <w:sz w:val="24"/>
          <w:szCs w:val="24"/>
        </w:rPr>
        <w:t xml:space="preserve">The East Asian Miracle: Economic growth and Public Policy. Oxford University Press, New York. </w:t>
      </w:r>
    </w:p>
    <w:p w14:paraId="70C1B525" w14:textId="653B09D7" w:rsidR="000C4DC0" w:rsidRPr="00970527" w:rsidRDefault="000C4DC0" w:rsidP="00886715">
      <w:pPr>
        <w:autoSpaceDE w:val="0"/>
        <w:autoSpaceDN w:val="0"/>
        <w:adjustRightInd w:val="0"/>
        <w:spacing w:after="240" w:line="240" w:lineRule="auto"/>
        <w:ind w:left="851" w:hanging="851"/>
        <w:jc w:val="both"/>
        <w:rPr>
          <w:rFonts w:ascii="Times New Roman" w:hAnsi="Times New Roman" w:cs="Times New Roman"/>
          <w:iCs/>
          <w:sz w:val="24"/>
          <w:szCs w:val="24"/>
        </w:rPr>
      </w:pPr>
      <w:r w:rsidRPr="00970527">
        <w:rPr>
          <w:rFonts w:ascii="Times New Roman" w:hAnsi="Times New Roman" w:cs="Times New Roman"/>
          <w:iCs/>
          <w:sz w:val="24"/>
          <w:szCs w:val="24"/>
        </w:rPr>
        <w:t xml:space="preserve">World Bank (2002). </w:t>
      </w:r>
      <w:r w:rsidRPr="00970527">
        <w:rPr>
          <w:rFonts w:ascii="Times New Roman" w:hAnsi="Times New Roman" w:cs="Times New Roman"/>
          <w:i/>
          <w:iCs/>
          <w:sz w:val="24"/>
          <w:szCs w:val="24"/>
        </w:rPr>
        <w:t>Globalization, Growth, and Poverty: Building an Inclusive World Economy</w:t>
      </w:r>
      <w:r w:rsidRPr="00970527">
        <w:rPr>
          <w:rFonts w:ascii="Times New Roman" w:hAnsi="Times New Roman" w:cs="Times New Roman"/>
          <w:iCs/>
          <w:sz w:val="24"/>
          <w:szCs w:val="24"/>
        </w:rPr>
        <w:t xml:space="preserve">. World Bank Policy Research Report. World Bank and Oxford University Press. </w:t>
      </w:r>
    </w:p>
    <w:p w14:paraId="2ECDC4A3" w14:textId="77777777" w:rsidR="00C50C60" w:rsidRPr="00970527" w:rsidRDefault="00C50C60" w:rsidP="00886715">
      <w:pPr>
        <w:autoSpaceDE w:val="0"/>
        <w:autoSpaceDN w:val="0"/>
        <w:adjustRightInd w:val="0"/>
        <w:spacing w:after="240" w:line="240" w:lineRule="auto"/>
        <w:ind w:left="851" w:hanging="851"/>
        <w:jc w:val="both"/>
        <w:rPr>
          <w:rFonts w:ascii="Times New Roman" w:hAnsi="Times New Roman" w:cs="Times New Roman"/>
          <w:iCs/>
          <w:sz w:val="24"/>
          <w:szCs w:val="24"/>
        </w:rPr>
      </w:pPr>
      <w:r w:rsidRPr="00970527">
        <w:rPr>
          <w:rFonts w:ascii="Times New Roman" w:hAnsi="Times New Roman" w:cs="Times New Roman"/>
          <w:sz w:val="24"/>
          <w:szCs w:val="24"/>
        </w:rPr>
        <w:t xml:space="preserve">World Bank (2004). </w:t>
      </w:r>
      <w:r w:rsidRPr="00970527">
        <w:rPr>
          <w:rFonts w:ascii="Times New Roman" w:hAnsi="Times New Roman" w:cs="Times New Roman"/>
          <w:i/>
          <w:sz w:val="24"/>
          <w:szCs w:val="24"/>
        </w:rPr>
        <w:t>Trade Policies in South Asia. An Overview</w:t>
      </w:r>
      <w:r w:rsidRPr="00970527">
        <w:rPr>
          <w:rFonts w:ascii="Times New Roman" w:hAnsi="Times New Roman" w:cs="Times New Roman"/>
          <w:sz w:val="24"/>
          <w:szCs w:val="24"/>
        </w:rPr>
        <w:t>. Report No. 29949, Poverty Reduction and Economic Management, South Asia Region, The World Bank: Washington DC</w:t>
      </w:r>
    </w:p>
    <w:p w14:paraId="26FD651A" w14:textId="77777777" w:rsidR="00486748" w:rsidRPr="00970527" w:rsidRDefault="00486748" w:rsidP="00886715">
      <w:pPr>
        <w:spacing w:after="240"/>
        <w:ind w:left="851" w:hanging="851"/>
        <w:jc w:val="both"/>
        <w:rPr>
          <w:rFonts w:ascii="Times New Roman" w:hAnsi="Times New Roman" w:cs="Times New Roman"/>
          <w:sz w:val="24"/>
          <w:szCs w:val="24"/>
          <w:lang w:val="en"/>
        </w:rPr>
      </w:pPr>
      <w:r w:rsidRPr="00970527">
        <w:rPr>
          <w:rFonts w:ascii="Times New Roman" w:hAnsi="Times New Roman" w:cs="Times New Roman"/>
          <w:sz w:val="24"/>
          <w:szCs w:val="24"/>
          <w:lang w:val="en"/>
        </w:rPr>
        <w:t xml:space="preserve">World Bank (2007). Global Economic Prospects: Managing the Next Wave of Globalization. </w:t>
      </w:r>
      <w:r w:rsidR="004446CB" w:rsidRPr="00970527">
        <w:rPr>
          <w:rFonts w:ascii="Times New Roman" w:hAnsi="Times New Roman" w:cs="Times New Roman"/>
          <w:i/>
          <w:sz w:val="24"/>
          <w:szCs w:val="24"/>
          <w:lang w:val="en"/>
        </w:rPr>
        <w:t>Chapter 2, The Coming Globalization</w:t>
      </w:r>
      <w:r w:rsidR="004446CB" w:rsidRPr="00970527">
        <w:rPr>
          <w:rFonts w:ascii="Times New Roman" w:hAnsi="Times New Roman" w:cs="Times New Roman"/>
          <w:sz w:val="24"/>
          <w:szCs w:val="24"/>
          <w:lang w:val="en"/>
        </w:rPr>
        <w:t xml:space="preserve">. </w:t>
      </w:r>
      <w:r w:rsidRPr="00970527">
        <w:rPr>
          <w:rFonts w:ascii="Times New Roman" w:hAnsi="Times New Roman" w:cs="Times New Roman"/>
          <w:sz w:val="24"/>
          <w:szCs w:val="24"/>
          <w:lang w:val="en"/>
        </w:rPr>
        <w:t xml:space="preserve">Washington, DC. </w:t>
      </w:r>
    </w:p>
    <w:p w14:paraId="621C5FA6" w14:textId="77777777" w:rsidR="00820BB4" w:rsidRPr="00970527" w:rsidRDefault="00820BB4" w:rsidP="00886715">
      <w:pPr>
        <w:spacing w:after="240"/>
        <w:ind w:left="851" w:hanging="851"/>
        <w:jc w:val="both"/>
        <w:rPr>
          <w:rFonts w:ascii="Times New Roman" w:hAnsi="Times New Roman" w:cs="Times New Roman"/>
          <w:sz w:val="24"/>
          <w:szCs w:val="24"/>
          <w:lang w:val="en"/>
        </w:rPr>
      </w:pPr>
      <w:r w:rsidRPr="00970527">
        <w:rPr>
          <w:rFonts w:ascii="Times New Roman" w:hAnsi="Times New Roman" w:cs="Times New Roman"/>
          <w:sz w:val="24"/>
          <w:szCs w:val="24"/>
          <w:lang w:val="en"/>
        </w:rPr>
        <w:t xml:space="preserve">World Bank (2010). “Global Value Chains in the Electronics Industry”, Timothy J. Sturgeon and Momoko Kawakami. Working Paper Series #5417, The World Bank. </w:t>
      </w:r>
    </w:p>
    <w:p w14:paraId="758E4EE6" w14:textId="77777777" w:rsidR="00336A3E" w:rsidRPr="00970527" w:rsidRDefault="00336A3E" w:rsidP="00970527">
      <w:pPr>
        <w:autoSpaceDE w:val="0"/>
        <w:autoSpaceDN w:val="0"/>
        <w:adjustRightInd w:val="0"/>
        <w:spacing w:after="240" w:line="240" w:lineRule="auto"/>
        <w:ind w:left="851" w:hanging="851"/>
        <w:jc w:val="both"/>
        <w:rPr>
          <w:rFonts w:ascii="Times New Roman" w:hAnsi="Times New Roman" w:cs="Times New Roman"/>
          <w:iCs/>
          <w:sz w:val="24"/>
          <w:szCs w:val="24"/>
        </w:rPr>
      </w:pPr>
      <w:r w:rsidRPr="00970527">
        <w:rPr>
          <w:rFonts w:ascii="Times New Roman" w:hAnsi="Times New Roman" w:cs="Times New Roman"/>
          <w:iCs/>
          <w:sz w:val="24"/>
          <w:szCs w:val="24"/>
        </w:rPr>
        <w:t xml:space="preserve">Woetzel, J., Diaan-Yi Lin, J. Seong, A. Madgavkar, and S. Lund (2017). “China’s role in the next phase of globalization”. McKinsey Global Institute Report. </w:t>
      </w:r>
    </w:p>
    <w:p w14:paraId="1471E817" w14:textId="77777777" w:rsidR="00336A3E" w:rsidRPr="00970527" w:rsidRDefault="001C7243" w:rsidP="00886715">
      <w:pPr>
        <w:autoSpaceDE w:val="0"/>
        <w:autoSpaceDN w:val="0"/>
        <w:adjustRightInd w:val="0"/>
        <w:spacing w:after="240" w:line="240" w:lineRule="auto"/>
        <w:ind w:left="851" w:hanging="851"/>
        <w:jc w:val="both"/>
        <w:rPr>
          <w:rFonts w:ascii="Times New Roman" w:hAnsi="Times New Roman" w:cs="Times New Roman"/>
          <w:iCs/>
          <w:sz w:val="24"/>
          <w:szCs w:val="24"/>
        </w:rPr>
      </w:pPr>
      <w:r w:rsidRPr="00970527">
        <w:rPr>
          <w:rFonts w:ascii="Times New Roman" w:hAnsi="Times New Roman" w:cs="Times New Roman"/>
          <w:sz w:val="24"/>
          <w:szCs w:val="24"/>
        </w:rPr>
        <w:lastRenderedPageBreak/>
        <w:t xml:space="preserve">Wolf, Martin (2014). “The Future of Global Trade Policy”, in Better Governance for Inclusive Growth, </w:t>
      </w:r>
      <w:r w:rsidRPr="00970527">
        <w:rPr>
          <w:rFonts w:ascii="Times New Roman" w:hAnsi="Times New Roman" w:cs="Times New Roman"/>
          <w:i/>
          <w:iCs/>
          <w:sz w:val="24"/>
          <w:szCs w:val="24"/>
        </w:rPr>
        <w:t xml:space="preserve">CUTS 30th Anniversary Lecture Series 2013-14. </w:t>
      </w:r>
      <w:r w:rsidRPr="00970527">
        <w:rPr>
          <w:rFonts w:ascii="Times New Roman" w:hAnsi="Times New Roman" w:cs="Times New Roman"/>
          <w:iCs/>
          <w:sz w:val="24"/>
          <w:szCs w:val="24"/>
        </w:rPr>
        <w:t xml:space="preserve">CUTS International, Jaipur. </w:t>
      </w:r>
    </w:p>
    <w:p w14:paraId="145EC91F" w14:textId="2C8E919A" w:rsidR="00C43928" w:rsidRPr="00970527" w:rsidRDefault="00C43928" w:rsidP="00886715">
      <w:pPr>
        <w:autoSpaceDE w:val="0"/>
        <w:autoSpaceDN w:val="0"/>
        <w:adjustRightInd w:val="0"/>
        <w:spacing w:after="240" w:line="240" w:lineRule="auto"/>
        <w:ind w:left="851" w:hanging="851"/>
        <w:jc w:val="both"/>
      </w:pPr>
      <w:r w:rsidRPr="00970527">
        <w:rPr>
          <w:rFonts w:ascii="Times New Roman" w:hAnsi="Times New Roman" w:cs="Times New Roman"/>
          <w:sz w:val="24"/>
          <w:szCs w:val="24"/>
        </w:rPr>
        <w:t>WTO-OECD (2011). “Trade patterns and global value chains in East Asia: From trade in goods to trade in tasks”. Joint report of IDE-JETRO and WTO</w:t>
      </w:r>
      <w:r w:rsidRPr="00970527">
        <w:t xml:space="preserve">.  </w:t>
      </w:r>
    </w:p>
    <w:p w14:paraId="13566755" w14:textId="799BDF51" w:rsidR="00354A3B" w:rsidRPr="00970527" w:rsidRDefault="00306A77" w:rsidP="00886715">
      <w:pPr>
        <w:autoSpaceDE w:val="0"/>
        <w:autoSpaceDN w:val="0"/>
        <w:adjustRightInd w:val="0"/>
        <w:spacing w:after="240" w:line="240" w:lineRule="auto"/>
        <w:ind w:left="851" w:hanging="851"/>
        <w:jc w:val="both"/>
        <w:rPr>
          <w:rFonts w:ascii="Times New Roman" w:hAnsi="Times New Roman" w:cs="Times New Roman"/>
          <w:iCs/>
          <w:sz w:val="24"/>
          <w:szCs w:val="24"/>
        </w:rPr>
      </w:pPr>
      <w:r w:rsidRPr="00970527">
        <w:rPr>
          <w:rFonts w:ascii="Times New Roman" w:hAnsi="Times New Roman" w:cs="Times New Roman"/>
          <w:iCs/>
          <w:sz w:val="24"/>
          <w:szCs w:val="24"/>
        </w:rPr>
        <w:t xml:space="preserve">Xuan, NT and Xing (2008). “Foreign Direct Investment and Exports: The Experience of Vietnam”, in </w:t>
      </w:r>
      <w:r w:rsidRPr="00970527">
        <w:rPr>
          <w:rFonts w:ascii="Times New Roman" w:hAnsi="Times New Roman" w:cs="Times New Roman"/>
          <w:i/>
          <w:iCs/>
          <w:sz w:val="24"/>
          <w:szCs w:val="24"/>
        </w:rPr>
        <w:t>Economics of Transition</w:t>
      </w:r>
      <w:r w:rsidRPr="00970527">
        <w:rPr>
          <w:rFonts w:ascii="Times New Roman" w:hAnsi="Times New Roman" w:cs="Times New Roman"/>
          <w:iCs/>
          <w:sz w:val="24"/>
          <w:szCs w:val="24"/>
        </w:rPr>
        <w:t xml:space="preserve">, Wiley Online Library. </w:t>
      </w:r>
    </w:p>
    <w:p w14:paraId="74C6DCC6" w14:textId="255FE4F1" w:rsidR="00354A3B" w:rsidRDefault="00354A3B" w:rsidP="00886715">
      <w:pPr>
        <w:autoSpaceDE w:val="0"/>
        <w:autoSpaceDN w:val="0"/>
        <w:adjustRightInd w:val="0"/>
        <w:spacing w:after="24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Yoo, Jung-ho (1993). “The Political Economy of Protection Structure in Korea”</w:t>
      </w:r>
      <w:r w:rsidR="000E7F46">
        <w:rPr>
          <w:rFonts w:ascii="Times New Roman" w:hAnsi="Times New Roman" w:cs="Times New Roman"/>
          <w:sz w:val="24"/>
          <w:szCs w:val="24"/>
        </w:rPr>
        <w:t xml:space="preserve">, chapter in </w:t>
      </w:r>
      <w:r w:rsidR="000E7F46" w:rsidRPr="00306A77">
        <w:rPr>
          <w:rFonts w:ascii="Times New Roman" w:hAnsi="Times New Roman" w:cs="Times New Roman"/>
          <w:i/>
          <w:sz w:val="24"/>
          <w:szCs w:val="24"/>
        </w:rPr>
        <w:t>Trade and Protectionism</w:t>
      </w:r>
      <w:r w:rsidR="000E7F46">
        <w:rPr>
          <w:rFonts w:ascii="Times New Roman" w:hAnsi="Times New Roman" w:cs="Times New Roman"/>
          <w:sz w:val="24"/>
          <w:szCs w:val="24"/>
        </w:rPr>
        <w:t xml:space="preserve">, NBER-EASE Volume 2, Takatoshi Ito and Anne O. Krueger, eds., University of Chicago Press. </w:t>
      </w:r>
      <w:hyperlink r:id="rId67" w:history="1">
        <w:r w:rsidR="00C926C8" w:rsidRPr="005B5BB0">
          <w:rPr>
            <w:rStyle w:val="Hyperlink"/>
            <w:rFonts w:ascii="Times New Roman" w:hAnsi="Times New Roman" w:cs="Times New Roman"/>
            <w:sz w:val="24"/>
            <w:szCs w:val="24"/>
          </w:rPr>
          <w:t>http://www.nber.org/chapters/c8081</w:t>
        </w:r>
      </w:hyperlink>
    </w:p>
    <w:p w14:paraId="30DB0D68" w14:textId="77777777" w:rsidR="00C926C8" w:rsidRDefault="00C926C8" w:rsidP="00886715">
      <w:pPr>
        <w:spacing w:after="240"/>
        <w:ind w:left="851" w:hanging="851"/>
        <w:jc w:val="both"/>
        <w:rPr>
          <w:rFonts w:ascii="Times" w:hAnsi="Times"/>
          <w:sz w:val="24"/>
          <w:szCs w:val="24"/>
        </w:rPr>
      </w:pPr>
      <w:r>
        <w:rPr>
          <w:rFonts w:ascii="Times" w:eastAsia="Times New Roman" w:hAnsi="Times" w:cs="Times New Roman"/>
          <w:sz w:val="24"/>
          <w:szCs w:val="24"/>
        </w:rPr>
        <w:t xml:space="preserve">Zhang, Kevin Honglin. (2005) </w:t>
      </w:r>
      <w:r>
        <w:rPr>
          <w:rFonts w:ascii="Times" w:eastAsia="Times New Roman" w:hAnsi="Times" w:cs="Times New Roman" w:hint="eastAsia"/>
          <w:sz w:val="24"/>
          <w:szCs w:val="24"/>
        </w:rPr>
        <w:t>“</w:t>
      </w:r>
      <w:r w:rsidRPr="00E123C5">
        <w:rPr>
          <w:rFonts w:ascii="Times" w:eastAsia="Times New Roman" w:hAnsi="Times" w:cs="Times New Roman"/>
          <w:sz w:val="24"/>
          <w:szCs w:val="24"/>
        </w:rPr>
        <w:t>How Does FDI Affect a Host Country’s Export Performance? The Case of China</w:t>
      </w:r>
      <w:r>
        <w:rPr>
          <w:rFonts w:ascii="Times" w:eastAsia="Times New Roman" w:hAnsi="Times" w:cs="Times New Roman" w:hint="eastAsia"/>
          <w:sz w:val="24"/>
          <w:szCs w:val="24"/>
        </w:rPr>
        <w:t>”</w:t>
      </w:r>
      <w:r>
        <w:rPr>
          <w:rFonts w:ascii="Times" w:eastAsia="Times New Roman" w:hAnsi="Times" w:cs="Times New Roman"/>
          <w:sz w:val="24"/>
          <w:szCs w:val="24"/>
        </w:rPr>
        <w:t xml:space="preserve">, </w:t>
      </w:r>
      <w:r w:rsidRPr="00E123C5">
        <w:rPr>
          <w:rFonts w:ascii="Times" w:hAnsi="Times"/>
          <w:sz w:val="24"/>
          <w:szCs w:val="24"/>
        </w:rPr>
        <w:t>Department of Econo</w:t>
      </w:r>
      <w:r>
        <w:rPr>
          <w:rFonts w:ascii="Times" w:hAnsi="Times"/>
          <w:sz w:val="24"/>
          <w:szCs w:val="24"/>
        </w:rPr>
        <w:t>mics, Illinois State University:</w:t>
      </w:r>
      <w:r w:rsidRPr="00E123C5">
        <w:rPr>
          <w:rFonts w:ascii="Times" w:hAnsi="Times"/>
          <w:sz w:val="24"/>
          <w:szCs w:val="24"/>
        </w:rPr>
        <w:t xml:space="preserve"> Normal, IL </w:t>
      </w:r>
    </w:p>
    <w:p w14:paraId="75355280" w14:textId="77777777" w:rsidR="00C926C8" w:rsidRDefault="00C926C8" w:rsidP="001C7243">
      <w:pPr>
        <w:autoSpaceDE w:val="0"/>
        <w:autoSpaceDN w:val="0"/>
        <w:adjustRightInd w:val="0"/>
        <w:spacing w:after="0" w:line="240" w:lineRule="auto"/>
        <w:ind w:left="720" w:hanging="630"/>
        <w:rPr>
          <w:rFonts w:ascii="Times New Roman" w:hAnsi="Times New Roman" w:cs="Times New Roman"/>
          <w:iCs/>
          <w:sz w:val="24"/>
          <w:szCs w:val="24"/>
        </w:rPr>
      </w:pPr>
    </w:p>
    <w:p w14:paraId="0C10A147" w14:textId="77777777" w:rsidR="00467219" w:rsidRDefault="00467219" w:rsidP="001C7243">
      <w:pPr>
        <w:autoSpaceDE w:val="0"/>
        <w:autoSpaceDN w:val="0"/>
        <w:adjustRightInd w:val="0"/>
        <w:spacing w:after="0" w:line="240" w:lineRule="auto"/>
        <w:ind w:left="720" w:hanging="630"/>
        <w:rPr>
          <w:rFonts w:ascii="Times New Roman" w:hAnsi="Times New Roman" w:cs="Times New Roman"/>
          <w:iCs/>
          <w:sz w:val="24"/>
          <w:szCs w:val="24"/>
        </w:rPr>
      </w:pPr>
    </w:p>
    <w:p w14:paraId="7507D251" w14:textId="77777777" w:rsidR="00467219" w:rsidRDefault="00467219">
      <w:pPr>
        <w:rPr>
          <w:rFonts w:ascii="Times New Roman" w:hAnsi="Times New Roman" w:cs="Times New Roman"/>
          <w:iCs/>
          <w:sz w:val="24"/>
          <w:szCs w:val="24"/>
        </w:rPr>
      </w:pPr>
    </w:p>
    <w:p w14:paraId="481C701A" w14:textId="77777777" w:rsidR="002E7B9D" w:rsidRDefault="002E7B9D">
      <w:pPr>
        <w:rPr>
          <w:rFonts w:ascii="Times New Roman" w:hAnsi="Times New Roman" w:cs="Times New Roman"/>
          <w:iCs/>
          <w:sz w:val="24"/>
          <w:szCs w:val="24"/>
        </w:rPr>
      </w:pPr>
    </w:p>
    <w:p w14:paraId="060566E5" w14:textId="77777777" w:rsidR="002E7B9D" w:rsidRDefault="002E7B9D">
      <w:pPr>
        <w:rPr>
          <w:rFonts w:ascii="Times New Roman" w:hAnsi="Times New Roman" w:cs="Times New Roman"/>
          <w:iCs/>
          <w:sz w:val="24"/>
          <w:szCs w:val="24"/>
        </w:rPr>
      </w:pPr>
    </w:p>
    <w:p w14:paraId="184923AE" w14:textId="77777777" w:rsidR="002E7B9D" w:rsidRDefault="002E7B9D">
      <w:pPr>
        <w:rPr>
          <w:rFonts w:ascii="Times New Roman" w:hAnsi="Times New Roman" w:cs="Times New Roman"/>
          <w:iCs/>
          <w:sz w:val="24"/>
          <w:szCs w:val="24"/>
        </w:rPr>
      </w:pPr>
      <w:r>
        <w:rPr>
          <w:rFonts w:ascii="Times New Roman" w:hAnsi="Times New Roman" w:cs="Times New Roman"/>
          <w:iCs/>
          <w:sz w:val="24"/>
          <w:szCs w:val="24"/>
        </w:rPr>
        <w:br w:type="page"/>
      </w:r>
    </w:p>
    <w:p w14:paraId="7A5E5EE1" w14:textId="77777777" w:rsidR="00DD0408" w:rsidRPr="00970527" w:rsidRDefault="00DD0408" w:rsidP="00595C4E">
      <w:pPr>
        <w:pStyle w:val="Heading1"/>
        <w:numPr>
          <w:ilvl w:val="0"/>
          <w:numId w:val="0"/>
        </w:numPr>
        <w:jc w:val="center"/>
      </w:pPr>
      <w:bookmarkStart w:id="110" w:name="_Toc496536524"/>
      <w:r w:rsidRPr="007E0FEA">
        <w:lastRenderedPageBreak/>
        <w:t>ANNEX-A</w:t>
      </w:r>
      <w:bookmarkEnd w:id="110"/>
    </w:p>
    <w:tbl>
      <w:tblPr>
        <w:tblW w:w="5000" w:type="pct"/>
        <w:jc w:val="center"/>
        <w:tblLook w:val="04A0" w:firstRow="1" w:lastRow="0" w:firstColumn="1" w:lastColumn="0" w:noHBand="0" w:noVBand="1"/>
      </w:tblPr>
      <w:tblGrid>
        <w:gridCol w:w="3839"/>
        <w:gridCol w:w="1097"/>
        <w:gridCol w:w="1155"/>
        <w:gridCol w:w="1277"/>
        <w:gridCol w:w="1992"/>
      </w:tblGrid>
      <w:tr w:rsidR="00DD0408" w:rsidRPr="003B66DB" w14:paraId="49251714" w14:textId="77777777" w:rsidTr="00A51CF0">
        <w:trPr>
          <w:trHeight w:val="25"/>
          <w:jc w:val="center"/>
        </w:trPr>
        <w:tc>
          <w:tcPr>
            <w:tcW w:w="4758" w:type="pct"/>
            <w:gridSpan w:val="5"/>
            <w:tcBorders>
              <w:bottom w:val="single" w:sz="4" w:space="0" w:color="auto"/>
            </w:tcBorders>
            <w:shd w:val="clear" w:color="auto" w:fill="auto"/>
            <w:noWrap/>
            <w:vAlign w:val="bottom"/>
          </w:tcPr>
          <w:p w14:paraId="116ACC1C" w14:textId="63125ED3" w:rsidR="00DD0408" w:rsidRPr="003B66DB" w:rsidRDefault="00DD0408" w:rsidP="00970527">
            <w:pPr>
              <w:spacing w:after="0" w:line="240" w:lineRule="auto"/>
              <w:jc w:val="center"/>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bCs/>
                <w:color w:val="000000"/>
                <w:sz w:val="24"/>
                <w:szCs w:val="24"/>
              </w:rPr>
              <w:t>Table-A1</w:t>
            </w:r>
            <w:r w:rsidR="00970527">
              <w:rPr>
                <w:rFonts w:ascii="Times New Roman" w:eastAsia="Times New Roman" w:hAnsi="Times New Roman" w:cs="Times New Roman"/>
                <w:b/>
                <w:bCs/>
                <w:color w:val="000000"/>
                <w:sz w:val="24"/>
                <w:szCs w:val="24"/>
              </w:rPr>
              <w:t>:</w:t>
            </w:r>
            <w:r w:rsidRPr="003B66DB">
              <w:rPr>
                <w:rFonts w:ascii="Times New Roman" w:eastAsia="Times New Roman" w:hAnsi="Times New Roman" w:cs="Times New Roman"/>
                <w:b/>
                <w:bCs/>
                <w:color w:val="000000"/>
                <w:sz w:val="24"/>
                <w:szCs w:val="24"/>
              </w:rPr>
              <w:t xml:space="preserve">  Republic Of Korea: Key Growth Drivers During Transition From Lower Middle Income(LMYC) to Upper Middle Income(UMYC) and Beyond</w:t>
            </w:r>
          </w:p>
        </w:tc>
      </w:tr>
      <w:tr w:rsidR="00DD0408" w:rsidRPr="003B66DB" w14:paraId="0633CC05" w14:textId="77777777" w:rsidTr="00A51CF0">
        <w:trPr>
          <w:trHeight w:val="25"/>
          <w:jc w:val="center"/>
        </w:trPr>
        <w:tc>
          <w:tcPr>
            <w:tcW w:w="21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329FE"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Economic Indicator</w:t>
            </w:r>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14:paraId="419EB2F1" w14:textId="77777777" w:rsidR="00DD0408" w:rsidRPr="003B66DB" w:rsidRDefault="00DD0408" w:rsidP="002D1CD4">
            <w:pPr>
              <w:spacing w:after="0" w:line="240" w:lineRule="auto"/>
              <w:jc w:val="center"/>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1970s</w:t>
            </w:r>
          </w:p>
        </w:tc>
        <w:tc>
          <w:tcPr>
            <w:tcW w:w="596" w:type="pct"/>
            <w:tcBorders>
              <w:top w:val="single" w:sz="4" w:space="0" w:color="auto"/>
              <w:left w:val="nil"/>
              <w:bottom w:val="single" w:sz="4" w:space="0" w:color="auto"/>
              <w:right w:val="single" w:sz="4" w:space="0" w:color="auto"/>
            </w:tcBorders>
            <w:shd w:val="clear" w:color="auto" w:fill="auto"/>
            <w:noWrap/>
            <w:vAlign w:val="bottom"/>
          </w:tcPr>
          <w:p w14:paraId="00438DD6" w14:textId="77777777" w:rsidR="00DD0408" w:rsidRPr="003B66DB" w:rsidRDefault="00DD0408" w:rsidP="002D1CD4">
            <w:pPr>
              <w:spacing w:after="0" w:line="240" w:lineRule="auto"/>
              <w:jc w:val="center"/>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1980s</w:t>
            </w:r>
          </w:p>
        </w:tc>
        <w:tc>
          <w:tcPr>
            <w:tcW w:w="665" w:type="pct"/>
            <w:tcBorders>
              <w:top w:val="single" w:sz="4" w:space="0" w:color="auto"/>
              <w:left w:val="nil"/>
              <w:bottom w:val="single" w:sz="4" w:space="0" w:color="auto"/>
              <w:right w:val="single" w:sz="4" w:space="0" w:color="auto"/>
            </w:tcBorders>
            <w:shd w:val="clear" w:color="auto" w:fill="auto"/>
            <w:noWrap/>
            <w:vAlign w:val="bottom"/>
          </w:tcPr>
          <w:p w14:paraId="3AA50CC1" w14:textId="77777777" w:rsidR="00DD0408" w:rsidRPr="003B66DB" w:rsidRDefault="00DD0408" w:rsidP="002D1CD4">
            <w:pPr>
              <w:spacing w:after="0" w:line="240" w:lineRule="auto"/>
              <w:jc w:val="center"/>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1990s</w:t>
            </w:r>
          </w:p>
        </w:tc>
        <w:tc>
          <w:tcPr>
            <w:tcW w:w="826" w:type="pct"/>
            <w:tcBorders>
              <w:top w:val="single" w:sz="4" w:space="0" w:color="auto"/>
              <w:left w:val="nil"/>
              <w:bottom w:val="single" w:sz="4" w:space="0" w:color="auto"/>
              <w:right w:val="single" w:sz="4" w:space="0" w:color="auto"/>
            </w:tcBorders>
            <w:shd w:val="clear" w:color="auto" w:fill="auto"/>
            <w:noWrap/>
          </w:tcPr>
          <w:p w14:paraId="68E722ED" w14:textId="77777777" w:rsidR="00DD0408" w:rsidRPr="003B66DB" w:rsidRDefault="00DD0408" w:rsidP="002D1CD4">
            <w:pPr>
              <w:spacing w:after="0" w:line="240" w:lineRule="auto"/>
              <w:jc w:val="center"/>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2000s</w:t>
            </w:r>
          </w:p>
        </w:tc>
      </w:tr>
      <w:tr w:rsidR="00DD0408" w:rsidRPr="003B66DB" w14:paraId="75BC2813"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noWrap/>
            <w:vAlign w:val="bottom"/>
            <w:hideMark/>
          </w:tcPr>
          <w:p w14:paraId="0C26A134" w14:textId="77777777" w:rsidR="00DD0408" w:rsidRPr="003B66DB" w:rsidRDefault="00DD0408" w:rsidP="002D1CD4">
            <w:pPr>
              <w:spacing w:after="0" w:line="240" w:lineRule="auto"/>
              <w:rPr>
                <w:rFonts w:ascii="Times New Roman" w:eastAsia="Times New Roman" w:hAnsi="Times New Roman" w:cs="Times New Roman"/>
                <w:b/>
                <w:bCs/>
                <w:color w:val="000000"/>
                <w:sz w:val="24"/>
                <w:szCs w:val="24"/>
              </w:rPr>
            </w:pPr>
            <w:r w:rsidRPr="003B66DB">
              <w:rPr>
                <w:rFonts w:ascii="Times New Roman" w:eastAsia="Times New Roman" w:hAnsi="Times New Roman" w:cs="Times New Roman"/>
                <w:b/>
                <w:bCs/>
                <w:color w:val="000000"/>
                <w:sz w:val="24"/>
                <w:szCs w:val="24"/>
              </w:rPr>
              <w:t>Real Sector Block</w:t>
            </w:r>
          </w:p>
        </w:tc>
        <w:tc>
          <w:tcPr>
            <w:tcW w:w="563" w:type="pct"/>
            <w:tcBorders>
              <w:top w:val="nil"/>
              <w:left w:val="nil"/>
              <w:bottom w:val="single" w:sz="4" w:space="0" w:color="auto"/>
              <w:right w:val="single" w:sz="4" w:space="0" w:color="auto"/>
            </w:tcBorders>
            <w:shd w:val="clear" w:color="auto" w:fill="auto"/>
            <w:noWrap/>
            <w:vAlign w:val="bottom"/>
            <w:hideMark/>
          </w:tcPr>
          <w:p w14:paraId="41030302"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 </w:t>
            </w:r>
          </w:p>
        </w:tc>
        <w:tc>
          <w:tcPr>
            <w:tcW w:w="596" w:type="pct"/>
            <w:tcBorders>
              <w:top w:val="nil"/>
              <w:left w:val="nil"/>
              <w:bottom w:val="single" w:sz="4" w:space="0" w:color="auto"/>
              <w:right w:val="single" w:sz="4" w:space="0" w:color="auto"/>
            </w:tcBorders>
            <w:shd w:val="clear" w:color="auto" w:fill="auto"/>
            <w:noWrap/>
            <w:vAlign w:val="bottom"/>
          </w:tcPr>
          <w:p w14:paraId="2B9749A1"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 </w:t>
            </w:r>
          </w:p>
        </w:tc>
        <w:tc>
          <w:tcPr>
            <w:tcW w:w="665" w:type="pct"/>
            <w:tcBorders>
              <w:top w:val="nil"/>
              <w:left w:val="nil"/>
              <w:bottom w:val="single" w:sz="4" w:space="0" w:color="auto"/>
              <w:right w:val="single" w:sz="4" w:space="0" w:color="auto"/>
            </w:tcBorders>
            <w:shd w:val="clear" w:color="auto" w:fill="auto"/>
            <w:noWrap/>
            <w:vAlign w:val="bottom"/>
          </w:tcPr>
          <w:p w14:paraId="65F08086"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 </w:t>
            </w:r>
          </w:p>
        </w:tc>
        <w:tc>
          <w:tcPr>
            <w:tcW w:w="826" w:type="pct"/>
            <w:tcBorders>
              <w:top w:val="nil"/>
              <w:left w:val="nil"/>
              <w:bottom w:val="single" w:sz="4" w:space="0" w:color="auto"/>
              <w:right w:val="single" w:sz="4" w:space="0" w:color="auto"/>
            </w:tcBorders>
            <w:shd w:val="clear" w:color="auto" w:fill="auto"/>
            <w:noWrap/>
          </w:tcPr>
          <w:p w14:paraId="567F891E"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p>
        </w:tc>
      </w:tr>
      <w:tr w:rsidR="00DD0408" w:rsidRPr="003B66DB" w14:paraId="4848E8CC"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noWrap/>
            <w:vAlign w:val="bottom"/>
            <w:hideMark/>
          </w:tcPr>
          <w:p w14:paraId="4E5A5B7C"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Real GDP growth (%)</w:t>
            </w:r>
          </w:p>
        </w:tc>
        <w:tc>
          <w:tcPr>
            <w:tcW w:w="563" w:type="pct"/>
            <w:tcBorders>
              <w:top w:val="nil"/>
              <w:left w:val="nil"/>
              <w:bottom w:val="single" w:sz="4" w:space="0" w:color="auto"/>
              <w:right w:val="single" w:sz="4" w:space="0" w:color="auto"/>
            </w:tcBorders>
            <w:shd w:val="clear" w:color="auto" w:fill="auto"/>
            <w:noWrap/>
            <w:vAlign w:val="bottom"/>
            <w:hideMark/>
          </w:tcPr>
          <w:p w14:paraId="7B74842D"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10.5</w:t>
            </w:r>
          </w:p>
        </w:tc>
        <w:tc>
          <w:tcPr>
            <w:tcW w:w="596" w:type="pct"/>
            <w:tcBorders>
              <w:top w:val="nil"/>
              <w:left w:val="nil"/>
              <w:bottom w:val="single" w:sz="4" w:space="0" w:color="auto"/>
              <w:right w:val="single" w:sz="4" w:space="0" w:color="auto"/>
            </w:tcBorders>
            <w:shd w:val="clear" w:color="auto" w:fill="auto"/>
            <w:noWrap/>
            <w:vAlign w:val="bottom"/>
          </w:tcPr>
          <w:p w14:paraId="3FFFB446"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8.8</w:t>
            </w:r>
          </w:p>
        </w:tc>
        <w:tc>
          <w:tcPr>
            <w:tcW w:w="665" w:type="pct"/>
            <w:tcBorders>
              <w:top w:val="nil"/>
              <w:left w:val="nil"/>
              <w:bottom w:val="single" w:sz="4" w:space="0" w:color="auto"/>
              <w:right w:val="single" w:sz="4" w:space="0" w:color="auto"/>
            </w:tcBorders>
            <w:shd w:val="clear" w:color="auto" w:fill="auto"/>
            <w:noWrap/>
            <w:vAlign w:val="bottom"/>
          </w:tcPr>
          <w:p w14:paraId="4FB3BA12"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7</w:t>
            </w:r>
          </w:p>
        </w:tc>
        <w:tc>
          <w:tcPr>
            <w:tcW w:w="826" w:type="pct"/>
            <w:tcBorders>
              <w:top w:val="nil"/>
              <w:left w:val="nil"/>
              <w:bottom w:val="single" w:sz="4" w:space="0" w:color="auto"/>
              <w:right w:val="single" w:sz="4" w:space="0" w:color="auto"/>
            </w:tcBorders>
            <w:shd w:val="clear" w:color="auto" w:fill="auto"/>
            <w:noWrap/>
          </w:tcPr>
          <w:p w14:paraId="3CF619CF"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4.7</w:t>
            </w:r>
          </w:p>
        </w:tc>
      </w:tr>
      <w:tr w:rsidR="00DD0408" w:rsidRPr="003B66DB" w14:paraId="244745ED"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noWrap/>
            <w:vAlign w:val="bottom"/>
            <w:hideMark/>
          </w:tcPr>
          <w:p w14:paraId="3017C8B4"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Per Capita GDP Growth (%)</w:t>
            </w:r>
          </w:p>
        </w:tc>
        <w:tc>
          <w:tcPr>
            <w:tcW w:w="563" w:type="pct"/>
            <w:tcBorders>
              <w:top w:val="nil"/>
              <w:left w:val="nil"/>
              <w:bottom w:val="single" w:sz="4" w:space="0" w:color="auto"/>
              <w:right w:val="single" w:sz="4" w:space="0" w:color="auto"/>
            </w:tcBorders>
            <w:shd w:val="clear" w:color="auto" w:fill="auto"/>
            <w:noWrap/>
            <w:vAlign w:val="bottom"/>
            <w:hideMark/>
          </w:tcPr>
          <w:p w14:paraId="1B7B7F21"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 8.3</w:t>
            </w:r>
          </w:p>
        </w:tc>
        <w:tc>
          <w:tcPr>
            <w:tcW w:w="596" w:type="pct"/>
            <w:tcBorders>
              <w:top w:val="nil"/>
              <w:left w:val="nil"/>
              <w:bottom w:val="single" w:sz="4" w:space="0" w:color="auto"/>
              <w:right w:val="single" w:sz="4" w:space="0" w:color="auto"/>
            </w:tcBorders>
            <w:shd w:val="clear" w:color="auto" w:fill="auto"/>
            <w:noWrap/>
            <w:vAlign w:val="bottom"/>
          </w:tcPr>
          <w:p w14:paraId="6BC8D161"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 -3.2</w:t>
            </w:r>
          </w:p>
        </w:tc>
        <w:tc>
          <w:tcPr>
            <w:tcW w:w="665" w:type="pct"/>
            <w:tcBorders>
              <w:top w:val="nil"/>
              <w:left w:val="nil"/>
              <w:bottom w:val="single" w:sz="4" w:space="0" w:color="auto"/>
              <w:right w:val="single" w:sz="4" w:space="0" w:color="auto"/>
            </w:tcBorders>
            <w:shd w:val="clear" w:color="auto" w:fill="auto"/>
            <w:noWrap/>
            <w:vAlign w:val="bottom"/>
          </w:tcPr>
          <w:p w14:paraId="12155F84"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 8.7</w:t>
            </w:r>
          </w:p>
        </w:tc>
        <w:tc>
          <w:tcPr>
            <w:tcW w:w="826" w:type="pct"/>
            <w:tcBorders>
              <w:top w:val="nil"/>
              <w:left w:val="nil"/>
              <w:bottom w:val="single" w:sz="4" w:space="0" w:color="auto"/>
              <w:right w:val="single" w:sz="4" w:space="0" w:color="auto"/>
            </w:tcBorders>
            <w:shd w:val="clear" w:color="auto" w:fill="auto"/>
            <w:noWrap/>
          </w:tcPr>
          <w:p w14:paraId="58FE065F"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8.0</w:t>
            </w:r>
          </w:p>
        </w:tc>
      </w:tr>
      <w:tr w:rsidR="00DD0408" w:rsidRPr="003B66DB" w14:paraId="71C79847"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vAlign w:val="center"/>
            <w:hideMark/>
          </w:tcPr>
          <w:p w14:paraId="5D525FA6" w14:textId="77777777" w:rsidR="00DD0408" w:rsidRPr="003B66DB" w:rsidRDefault="00DD0408" w:rsidP="002D1CD4">
            <w:pPr>
              <w:spacing w:after="0" w:line="240" w:lineRule="auto"/>
              <w:rPr>
                <w:rFonts w:ascii="Times New Roman" w:eastAsia="Times New Roman" w:hAnsi="Times New Roman" w:cs="Times New Roman"/>
                <w:b/>
                <w:bCs/>
                <w:color w:val="000000"/>
                <w:sz w:val="24"/>
                <w:szCs w:val="24"/>
              </w:rPr>
            </w:pPr>
            <w:r w:rsidRPr="003B66DB">
              <w:rPr>
                <w:rFonts w:ascii="Times New Roman" w:eastAsia="Times New Roman" w:hAnsi="Times New Roman" w:cs="Times New Roman"/>
                <w:b/>
                <w:bCs/>
                <w:color w:val="000000"/>
                <w:sz w:val="24"/>
                <w:szCs w:val="24"/>
              </w:rPr>
              <w:t>Economic Transition</w:t>
            </w:r>
          </w:p>
        </w:tc>
        <w:tc>
          <w:tcPr>
            <w:tcW w:w="563" w:type="pct"/>
            <w:tcBorders>
              <w:top w:val="nil"/>
              <w:left w:val="nil"/>
              <w:bottom w:val="single" w:sz="4" w:space="0" w:color="auto"/>
              <w:right w:val="single" w:sz="4" w:space="0" w:color="auto"/>
            </w:tcBorders>
            <w:shd w:val="clear" w:color="auto" w:fill="auto"/>
            <w:noWrap/>
            <w:vAlign w:val="bottom"/>
            <w:hideMark/>
          </w:tcPr>
          <w:p w14:paraId="3C2C593E" w14:textId="77777777" w:rsidR="00DD0408" w:rsidRPr="003B66DB" w:rsidRDefault="00DD0408" w:rsidP="002D1CD4">
            <w:pPr>
              <w:spacing w:after="0" w:line="240" w:lineRule="auto"/>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 1971</w:t>
            </w:r>
          </w:p>
        </w:tc>
        <w:tc>
          <w:tcPr>
            <w:tcW w:w="596" w:type="pct"/>
            <w:tcBorders>
              <w:top w:val="nil"/>
              <w:left w:val="nil"/>
              <w:bottom w:val="single" w:sz="4" w:space="0" w:color="auto"/>
              <w:right w:val="single" w:sz="4" w:space="0" w:color="auto"/>
            </w:tcBorders>
            <w:shd w:val="clear" w:color="auto" w:fill="auto"/>
            <w:noWrap/>
            <w:vAlign w:val="bottom"/>
          </w:tcPr>
          <w:p w14:paraId="0C68759F" w14:textId="77777777" w:rsidR="00DD0408" w:rsidRPr="003B66DB" w:rsidRDefault="00DD0408" w:rsidP="002D1CD4">
            <w:pPr>
              <w:spacing w:after="0" w:line="240" w:lineRule="auto"/>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1980 </w:t>
            </w:r>
          </w:p>
        </w:tc>
        <w:tc>
          <w:tcPr>
            <w:tcW w:w="665" w:type="pct"/>
            <w:tcBorders>
              <w:top w:val="nil"/>
              <w:left w:val="nil"/>
              <w:bottom w:val="single" w:sz="4" w:space="0" w:color="auto"/>
              <w:right w:val="single" w:sz="4" w:space="0" w:color="auto"/>
            </w:tcBorders>
            <w:shd w:val="clear" w:color="auto" w:fill="auto"/>
            <w:noWrap/>
            <w:vAlign w:val="bottom"/>
          </w:tcPr>
          <w:p w14:paraId="1E74FCED" w14:textId="77777777" w:rsidR="00DD0408" w:rsidRPr="003B66DB" w:rsidRDefault="00DD0408" w:rsidP="002D1CD4">
            <w:pPr>
              <w:spacing w:after="0" w:line="240" w:lineRule="auto"/>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1990 </w:t>
            </w:r>
          </w:p>
        </w:tc>
        <w:tc>
          <w:tcPr>
            <w:tcW w:w="826" w:type="pct"/>
            <w:tcBorders>
              <w:top w:val="nil"/>
              <w:left w:val="nil"/>
              <w:bottom w:val="single" w:sz="4" w:space="0" w:color="auto"/>
              <w:right w:val="single" w:sz="4" w:space="0" w:color="auto"/>
            </w:tcBorders>
            <w:shd w:val="clear" w:color="auto" w:fill="auto"/>
            <w:noWrap/>
          </w:tcPr>
          <w:p w14:paraId="0917D15D" w14:textId="77777777" w:rsidR="00DD0408" w:rsidRPr="003B66DB" w:rsidRDefault="00DD0408" w:rsidP="002D1CD4">
            <w:pPr>
              <w:spacing w:after="0" w:line="240" w:lineRule="auto"/>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2000</w:t>
            </w:r>
          </w:p>
        </w:tc>
      </w:tr>
      <w:tr w:rsidR="00DD0408" w:rsidRPr="003B66DB" w14:paraId="3CA2B6D6"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noWrap/>
            <w:vAlign w:val="bottom"/>
            <w:hideMark/>
          </w:tcPr>
          <w:p w14:paraId="1129BE2D"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Agriculture share of GDP (%)</w:t>
            </w:r>
          </w:p>
        </w:tc>
        <w:tc>
          <w:tcPr>
            <w:tcW w:w="563" w:type="pct"/>
            <w:tcBorders>
              <w:top w:val="nil"/>
              <w:left w:val="nil"/>
              <w:bottom w:val="single" w:sz="4" w:space="0" w:color="auto"/>
              <w:right w:val="single" w:sz="4" w:space="0" w:color="auto"/>
            </w:tcBorders>
            <w:shd w:val="clear" w:color="auto" w:fill="auto"/>
            <w:noWrap/>
            <w:vAlign w:val="bottom"/>
            <w:hideMark/>
          </w:tcPr>
          <w:p w14:paraId="09718ADC"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29.5</w:t>
            </w:r>
          </w:p>
        </w:tc>
        <w:tc>
          <w:tcPr>
            <w:tcW w:w="596" w:type="pct"/>
            <w:tcBorders>
              <w:top w:val="nil"/>
              <w:left w:val="nil"/>
              <w:bottom w:val="single" w:sz="4" w:space="0" w:color="auto"/>
              <w:right w:val="single" w:sz="4" w:space="0" w:color="auto"/>
            </w:tcBorders>
            <w:shd w:val="clear" w:color="auto" w:fill="auto"/>
            <w:noWrap/>
            <w:vAlign w:val="bottom"/>
          </w:tcPr>
          <w:p w14:paraId="63E8CA79"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15.9</w:t>
            </w:r>
          </w:p>
        </w:tc>
        <w:tc>
          <w:tcPr>
            <w:tcW w:w="665" w:type="pct"/>
            <w:tcBorders>
              <w:top w:val="nil"/>
              <w:left w:val="nil"/>
              <w:bottom w:val="single" w:sz="4" w:space="0" w:color="auto"/>
              <w:right w:val="single" w:sz="4" w:space="0" w:color="auto"/>
            </w:tcBorders>
            <w:shd w:val="clear" w:color="auto" w:fill="auto"/>
            <w:noWrap/>
            <w:vAlign w:val="bottom"/>
          </w:tcPr>
          <w:p w14:paraId="74AC78C4"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8.4</w:t>
            </w:r>
          </w:p>
        </w:tc>
        <w:tc>
          <w:tcPr>
            <w:tcW w:w="826" w:type="pct"/>
            <w:tcBorders>
              <w:top w:val="nil"/>
              <w:left w:val="nil"/>
              <w:bottom w:val="single" w:sz="4" w:space="0" w:color="auto"/>
              <w:right w:val="single" w:sz="4" w:space="0" w:color="auto"/>
            </w:tcBorders>
            <w:shd w:val="clear" w:color="auto" w:fill="auto"/>
            <w:noWrap/>
          </w:tcPr>
          <w:p w14:paraId="17A1FE3A"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4.4</w:t>
            </w:r>
          </w:p>
        </w:tc>
      </w:tr>
      <w:tr w:rsidR="00DD0408" w:rsidRPr="003B66DB" w14:paraId="464E8940"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noWrap/>
            <w:vAlign w:val="bottom"/>
            <w:hideMark/>
          </w:tcPr>
          <w:p w14:paraId="494CF952"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Industry Share of GDP (%)</w:t>
            </w:r>
          </w:p>
        </w:tc>
        <w:tc>
          <w:tcPr>
            <w:tcW w:w="563" w:type="pct"/>
            <w:tcBorders>
              <w:top w:val="nil"/>
              <w:left w:val="nil"/>
              <w:bottom w:val="single" w:sz="4" w:space="0" w:color="auto"/>
              <w:right w:val="single" w:sz="4" w:space="0" w:color="auto"/>
            </w:tcBorders>
            <w:shd w:val="clear" w:color="auto" w:fill="auto"/>
            <w:noWrap/>
            <w:vAlign w:val="bottom"/>
            <w:hideMark/>
          </w:tcPr>
          <w:p w14:paraId="2905A6DE"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25.2</w:t>
            </w:r>
          </w:p>
        </w:tc>
        <w:tc>
          <w:tcPr>
            <w:tcW w:w="596" w:type="pct"/>
            <w:tcBorders>
              <w:top w:val="nil"/>
              <w:left w:val="nil"/>
              <w:bottom w:val="single" w:sz="4" w:space="0" w:color="auto"/>
              <w:right w:val="single" w:sz="4" w:space="0" w:color="auto"/>
            </w:tcBorders>
            <w:shd w:val="clear" w:color="auto" w:fill="auto"/>
            <w:noWrap/>
            <w:vAlign w:val="bottom"/>
          </w:tcPr>
          <w:p w14:paraId="58DF5196"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35.4</w:t>
            </w:r>
          </w:p>
        </w:tc>
        <w:tc>
          <w:tcPr>
            <w:tcW w:w="665" w:type="pct"/>
            <w:tcBorders>
              <w:top w:val="nil"/>
              <w:left w:val="nil"/>
              <w:bottom w:val="single" w:sz="4" w:space="0" w:color="auto"/>
              <w:right w:val="single" w:sz="4" w:space="0" w:color="auto"/>
            </w:tcBorders>
            <w:shd w:val="clear" w:color="auto" w:fill="auto"/>
            <w:noWrap/>
            <w:vAlign w:val="bottom"/>
          </w:tcPr>
          <w:p w14:paraId="0A49D783"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39.6</w:t>
            </w:r>
          </w:p>
        </w:tc>
        <w:tc>
          <w:tcPr>
            <w:tcW w:w="826" w:type="pct"/>
            <w:tcBorders>
              <w:top w:val="nil"/>
              <w:left w:val="nil"/>
              <w:bottom w:val="single" w:sz="4" w:space="0" w:color="auto"/>
              <w:right w:val="single" w:sz="4" w:space="0" w:color="auto"/>
            </w:tcBorders>
            <w:shd w:val="clear" w:color="auto" w:fill="auto"/>
            <w:noWrap/>
          </w:tcPr>
          <w:p w14:paraId="4DDD8545"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38.1</w:t>
            </w:r>
          </w:p>
        </w:tc>
      </w:tr>
      <w:tr w:rsidR="00DD0408" w:rsidRPr="003B66DB" w14:paraId="4E83C70A"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noWrap/>
            <w:vAlign w:val="bottom"/>
            <w:hideMark/>
          </w:tcPr>
          <w:p w14:paraId="4DF42647"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Service Share of GDP (%)</w:t>
            </w:r>
          </w:p>
        </w:tc>
        <w:tc>
          <w:tcPr>
            <w:tcW w:w="563" w:type="pct"/>
            <w:tcBorders>
              <w:top w:val="nil"/>
              <w:left w:val="nil"/>
              <w:bottom w:val="single" w:sz="4" w:space="0" w:color="auto"/>
              <w:right w:val="single" w:sz="4" w:space="0" w:color="auto"/>
            </w:tcBorders>
            <w:shd w:val="clear" w:color="auto" w:fill="auto"/>
            <w:noWrap/>
            <w:vAlign w:val="bottom"/>
          </w:tcPr>
          <w:p w14:paraId="2A6D5D51"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45.5</w:t>
            </w:r>
          </w:p>
        </w:tc>
        <w:tc>
          <w:tcPr>
            <w:tcW w:w="596" w:type="pct"/>
            <w:tcBorders>
              <w:top w:val="nil"/>
              <w:left w:val="nil"/>
              <w:bottom w:val="single" w:sz="4" w:space="0" w:color="auto"/>
              <w:right w:val="single" w:sz="4" w:space="0" w:color="auto"/>
            </w:tcBorders>
            <w:shd w:val="clear" w:color="auto" w:fill="auto"/>
            <w:noWrap/>
            <w:vAlign w:val="bottom"/>
          </w:tcPr>
          <w:p w14:paraId="40A1B901"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48.7</w:t>
            </w:r>
          </w:p>
        </w:tc>
        <w:tc>
          <w:tcPr>
            <w:tcW w:w="665" w:type="pct"/>
            <w:tcBorders>
              <w:top w:val="nil"/>
              <w:left w:val="nil"/>
              <w:bottom w:val="single" w:sz="4" w:space="0" w:color="auto"/>
              <w:right w:val="single" w:sz="4" w:space="0" w:color="auto"/>
            </w:tcBorders>
            <w:shd w:val="clear" w:color="auto" w:fill="auto"/>
            <w:noWrap/>
            <w:vAlign w:val="bottom"/>
          </w:tcPr>
          <w:p w14:paraId="17432745"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51.9</w:t>
            </w:r>
          </w:p>
        </w:tc>
        <w:tc>
          <w:tcPr>
            <w:tcW w:w="826" w:type="pct"/>
            <w:tcBorders>
              <w:top w:val="nil"/>
              <w:left w:val="nil"/>
              <w:bottom w:val="single" w:sz="4" w:space="0" w:color="auto"/>
              <w:right w:val="single" w:sz="4" w:space="0" w:color="auto"/>
            </w:tcBorders>
            <w:shd w:val="clear" w:color="auto" w:fill="auto"/>
            <w:noWrap/>
          </w:tcPr>
          <w:p w14:paraId="0646359F"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57.5</w:t>
            </w:r>
          </w:p>
        </w:tc>
      </w:tr>
      <w:tr w:rsidR="00DD0408" w:rsidRPr="003B66DB" w14:paraId="5BC823BB"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vAlign w:val="bottom"/>
            <w:hideMark/>
          </w:tcPr>
          <w:p w14:paraId="30779FE7"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Investment rate (%)</w:t>
            </w:r>
          </w:p>
        </w:tc>
        <w:tc>
          <w:tcPr>
            <w:tcW w:w="563" w:type="pct"/>
            <w:tcBorders>
              <w:top w:val="nil"/>
              <w:left w:val="nil"/>
              <w:bottom w:val="single" w:sz="4" w:space="0" w:color="auto"/>
              <w:right w:val="single" w:sz="4" w:space="0" w:color="auto"/>
            </w:tcBorders>
            <w:shd w:val="clear" w:color="auto" w:fill="auto"/>
            <w:noWrap/>
            <w:vAlign w:val="bottom"/>
            <w:hideMark/>
          </w:tcPr>
          <w:p w14:paraId="783E2F84"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25.5</w:t>
            </w:r>
          </w:p>
        </w:tc>
        <w:tc>
          <w:tcPr>
            <w:tcW w:w="596" w:type="pct"/>
            <w:tcBorders>
              <w:top w:val="nil"/>
              <w:left w:val="nil"/>
              <w:bottom w:val="single" w:sz="4" w:space="0" w:color="auto"/>
              <w:right w:val="single" w:sz="4" w:space="0" w:color="auto"/>
            </w:tcBorders>
            <w:shd w:val="clear" w:color="auto" w:fill="auto"/>
            <w:noWrap/>
            <w:vAlign w:val="bottom"/>
          </w:tcPr>
          <w:p w14:paraId="04B1C98D"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34.6</w:t>
            </w:r>
          </w:p>
        </w:tc>
        <w:tc>
          <w:tcPr>
            <w:tcW w:w="665" w:type="pct"/>
            <w:tcBorders>
              <w:top w:val="nil"/>
              <w:left w:val="nil"/>
              <w:bottom w:val="single" w:sz="4" w:space="0" w:color="auto"/>
              <w:right w:val="single" w:sz="4" w:space="0" w:color="auto"/>
            </w:tcBorders>
            <w:shd w:val="clear" w:color="auto" w:fill="auto"/>
            <w:noWrap/>
            <w:vAlign w:val="bottom"/>
          </w:tcPr>
          <w:p w14:paraId="338DDD99"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39.6</w:t>
            </w:r>
          </w:p>
        </w:tc>
        <w:tc>
          <w:tcPr>
            <w:tcW w:w="826" w:type="pct"/>
            <w:tcBorders>
              <w:top w:val="nil"/>
              <w:left w:val="nil"/>
              <w:bottom w:val="single" w:sz="4" w:space="0" w:color="auto"/>
              <w:right w:val="single" w:sz="4" w:space="0" w:color="auto"/>
            </w:tcBorders>
            <w:shd w:val="clear" w:color="auto" w:fill="auto"/>
            <w:noWrap/>
          </w:tcPr>
          <w:p w14:paraId="647AF2F9"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32.9</w:t>
            </w:r>
          </w:p>
        </w:tc>
      </w:tr>
      <w:tr w:rsidR="00DD0408" w:rsidRPr="003B66DB" w14:paraId="35963745"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vAlign w:val="bottom"/>
            <w:hideMark/>
          </w:tcPr>
          <w:p w14:paraId="280F9EA4"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ICOR</w:t>
            </w:r>
          </w:p>
        </w:tc>
        <w:tc>
          <w:tcPr>
            <w:tcW w:w="563" w:type="pct"/>
            <w:tcBorders>
              <w:top w:val="nil"/>
              <w:left w:val="nil"/>
              <w:bottom w:val="single" w:sz="4" w:space="0" w:color="auto"/>
              <w:right w:val="single" w:sz="4" w:space="0" w:color="auto"/>
            </w:tcBorders>
            <w:shd w:val="clear" w:color="auto" w:fill="auto"/>
            <w:noWrap/>
            <w:vAlign w:val="bottom"/>
            <w:hideMark/>
          </w:tcPr>
          <w:p w14:paraId="7A45CE05"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2.4</w:t>
            </w:r>
          </w:p>
        </w:tc>
        <w:tc>
          <w:tcPr>
            <w:tcW w:w="596" w:type="pct"/>
            <w:tcBorders>
              <w:top w:val="nil"/>
              <w:left w:val="nil"/>
              <w:bottom w:val="single" w:sz="4" w:space="0" w:color="auto"/>
              <w:right w:val="single" w:sz="4" w:space="0" w:color="auto"/>
            </w:tcBorders>
            <w:shd w:val="clear" w:color="auto" w:fill="auto"/>
            <w:noWrap/>
            <w:vAlign w:val="bottom"/>
          </w:tcPr>
          <w:p w14:paraId="62FD8ADA"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21.5</w:t>
            </w:r>
          </w:p>
        </w:tc>
        <w:tc>
          <w:tcPr>
            <w:tcW w:w="665" w:type="pct"/>
            <w:tcBorders>
              <w:top w:val="nil"/>
              <w:left w:val="nil"/>
              <w:bottom w:val="single" w:sz="4" w:space="0" w:color="auto"/>
              <w:right w:val="single" w:sz="4" w:space="0" w:color="auto"/>
            </w:tcBorders>
            <w:shd w:val="clear" w:color="auto" w:fill="auto"/>
            <w:noWrap/>
            <w:vAlign w:val="bottom"/>
          </w:tcPr>
          <w:p w14:paraId="33C4C2E9"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2.8</w:t>
            </w:r>
          </w:p>
        </w:tc>
        <w:tc>
          <w:tcPr>
            <w:tcW w:w="826" w:type="pct"/>
            <w:tcBorders>
              <w:top w:val="nil"/>
              <w:left w:val="nil"/>
              <w:bottom w:val="single" w:sz="4" w:space="0" w:color="auto"/>
              <w:right w:val="single" w:sz="4" w:space="0" w:color="auto"/>
            </w:tcBorders>
            <w:shd w:val="clear" w:color="auto" w:fill="auto"/>
            <w:noWrap/>
          </w:tcPr>
          <w:p w14:paraId="1E7625D6"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p>
        </w:tc>
      </w:tr>
      <w:tr w:rsidR="00DD0408" w:rsidRPr="003B66DB" w14:paraId="79C655E0"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vAlign w:val="center"/>
            <w:hideMark/>
          </w:tcPr>
          <w:p w14:paraId="5ED31234"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Saving rate (%)</w:t>
            </w:r>
          </w:p>
        </w:tc>
        <w:tc>
          <w:tcPr>
            <w:tcW w:w="563" w:type="pct"/>
            <w:tcBorders>
              <w:top w:val="nil"/>
              <w:left w:val="nil"/>
              <w:bottom w:val="single" w:sz="4" w:space="0" w:color="auto"/>
              <w:right w:val="single" w:sz="4" w:space="0" w:color="auto"/>
            </w:tcBorders>
            <w:shd w:val="clear" w:color="auto" w:fill="auto"/>
            <w:noWrap/>
            <w:vAlign w:val="bottom"/>
            <w:hideMark/>
          </w:tcPr>
          <w:p w14:paraId="626E414F"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15.9</w:t>
            </w:r>
          </w:p>
        </w:tc>
        <w:tc>
          <w:tcPr>
            <w:tcW w:w="596" w:type="pct"/>
            <w:tcBorders>
              <w:top w:val="nil"/>
              <w:left w:val="nil"/>
              <w:bottom w:val="single" w:sz="4" w:space="0" w:color="auto"/>
              <w:right w:val="single" w:sz="4" w:space="0" w:color="auto"/>
            </w:tcBorders>
            <w:shd w:val="clear" w:color="auto" w:fill="auto"/>
            <w:noWrap/>
            <w:vAlign w:val="bottom"/>
          </w:tcPr>
          <w:p w14:paraId="3ACC6D89"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25.4</w:t>
            </w:r>
          </w:p>
        </w:tc>
        <w:tc>
          <w:tcPr>
            <w:tcW w:w="665" w:type="pct"/>
            <w:tcBorders>
              <w:top w:val="nil"/>
              <w:left w:val="nil"/>
              <w:bottom w:val="single" w:sz="4" w:space="0" w:color="auto"/>
              <w:right w:val="single" w:sz="4" w:space="0" w:color="auto"/>
            </w:tcBorders>
            <w:shd w:val="clear" w:color="auto" w:fill="auto"/>
            <w:noWrap/>
            <w:vAlign w:val="bottom"/>
          </w:tcPr>
          <w:p w14:paraId="4F92E195"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39.2</w:t>
            </w:r>
          </w:p>
        </w:tc>
        <w:tc>
          <w:tcPr>
            <w:tcW w:w="826" w:type="pct"/>
            <w:tcBorders>
              <w:top w:val="nil"/>
              <w:left w:val="nil"/>
              <w:bottom w:val="single" w:sz="4" w:space="0" w:color="auto"/>
              <w:right w:val="single" w:sz="4" w:space="0" w:color="auto"/>
            </w:tcBorders>
            <w:shd w:val="clear" w:color="auto" w:fill="auto"/>
            <w:noWrap/>
          </w:tcPr>
          <w:p w14:paraId="50E4EF8A"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34.3</w:t>
            </w:r>
          </w:p>
        </w:tc>
      </w:tr>
      <w:tr w:rsidR="00DD0408" w:rsidRPr="003B66DB" w14:paraId="453ABEAB" w14:textId="77777777" w:rsidTr="00A51CF0">
        <w:trPr>
          <w:trHeight w:val="25"/>
          <w:jc w:val="center"/>
        </w:trPr>
        <w:tc>
          <w:tcPr>
            <w:tcW w:w="2108" w:type="pct"/>
            <w:tcBorders>
              <w:top w:val="single" w:sz="4" w:space="0" w:color="auto"/>
              <w:left w:val="single" w:sz="4" w:space="0" w:color="auto"/>
              <w:bottom w:val="single" w:sz="4" w:space="0" w:color="auto"/>
              <w:right w:val="single" w:sz="4" w:space="0" w:color="auto"/>
            </w:tcBorders>
            <w:shd w:val="clear" w:color="auto" w:fill="auto"/>
            <w:vAlign w:val="bottom"/>
          </w:tcPr>
          <w:p w14:paraId="48D95CEC"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GNI Per Capita</w:t>
            </w:r>
          </w:p>
        </w:tc>
        <w:tc>
          <w:tcPr>
            <w:tcW w:w="563" w:type="pct"/>
            <w:tcBorders>
              <w:top w:val="single" w:sz="4" w:space="0" w:color="auto"/>
              <w:left w:val="nil"/>
              <w:bottom w:val="single" w:sz="4" w:space="0" w:color="auto"/>
              <w:right w:val="single" w:sz="4" w:space="0" w:color="auto"/>
            </w:tcBorders>
            <w:shd w:val="clear" w:color="auto" w:fill="auto"/>
            <w:noWrap/>
            <w:vAlign w:val="bottom"/>
          </w:tcPr>
          <w:p w14:paraId="55CEAEF6"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1979</w:t>
            </w:r>
          </w:p>
        </w:tc>
        <w:tc>
          <w:tcPr>
            <w:tcW w:w="596" w:type="pct"/>
            <w:tcBorders>
              <w:top w:val="single" w:sz="4" w:space="0" w:color="auto"/>
              <w:left w:val="nil"/>
              <w:bottom w:val="single" w:sz="4" w:space="0" w:color="auto"/>
              <w:right w:val="single" w:sz="4" w:space="0" w:color="auto"/>
            </w:tcBorders>
            <w:shd w:val="clear" w:color="auto" w:fill="auto"/>
            <w:noWrap/>
            <w:vAlign w:val="bottom"/>
          </w:tcPr>
          <w:p w14:paraId="751AFC6A"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3663</w:t>
            </w:r>
          </w:p>
        </w:tc>
        <w:tc>
          <w:tcPr>
            <w:tcW w:w="665" w:type="pct"/>
            <w:tcBorders>
              <w:top w:val="single" w:sz="4" w:space="0" w:color="auto"/>
              <w:left w:val="nil"/>
              <w:bottom w:val="single" w:sz="4" w:space="0" w:color="auto"/>
              <w:right w:val="single" w:sz="4" w:space="0" w:color="auto"/>
            </w:tcBorders>
            <w:shd w:val="clear" w:color="auto" w:fill="auto"/>
            <w:noWrap/>
            <w:vAlign w:val="bottom"/>
          </w:tcPr>
          <w:p w14:paraId="275261AD"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8451</w:t>
            </w:r>
          </w:p>
        </w:tc>
        <w:tc>
          <w:tcPr>
            <w:tcW w:w="826" w:type="pct"/>
            <w:tcBorders>
              <w:top w:val="single" w:sz="4" w:space="0" w:color="auto"/>
              <w:left w:val="nil"/>
              <w:bottom w:val="single" w:sz="4" w:space="0" w:color="auto"/>
              <w:right w:val="single" w:sz="4" w:space="0" w:color="auto"/>
            </w:tcBorders>
            <w:shd w:val="clear" w:color="auto" w:fill="auto"/>
            <w:noWrap/>
          </w:tcPr>
          <w:p w14:paraId="1E79E45E"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14989</w:t>
            </w:r>
          </w:p>
        </w:tc>
      </w:tr>
      <w:tr w:rsidR="00DD0408" w:rsidRPr="003B66DB" w14:paraId="28E5D948" w14:textId="77777777" w:rsidTr="00A51CF0">
        <w:trPr>
          <w:trHeight w:val="25"/>
          <w:jc w:val="center"/>
        </w:trPr>
        <w:tc>
          <w:tcPr>
            <w:tcW w:w="4839" w:type="pct"/>
            <w:gridSpan w:val="5"/>
            <w:tcBorders>
              <w:bottom w:val="single" w:sz="4" w:space="0" w:color="auto"/>
            </w:tcBorders>
            <w:shd w:val="clear" w:color="auto" w:fill="auto"/>
            <w:noWrap/>
            <w:vAlign w:val="bottom"/>
          </w:tcPr>
          <w:p w14:paraId="79B17BC3" w14:textId="0F5C1447" w:rsidR="00DD0408" w:rsidRPr="003B66DB" w:rsidRDefault="00970527" w:rsidP="002D1CD4">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bCs/>
                <w:color w:val="000000"/>
                <w:sz w:val="24"/>
                <w:szCs w:val="24"/>
              </w:rPr>
              <w:t>Table-A2:</w:t>
            </w:r>
            <w:r w:rsidR="00DD0408" w:rsidRPr="003B66DB">
              <w:rPr>
                <w:rFonts w:ascii="Times New Roman" w:eastAsia="Times New Roman" w:hAnsi="Times New Roman" w:cs="Times New Roman"/>
                <w:b/>
                <w:bCs/>
                <w:color w:val="000000"/>
                <w:sz w:val="24"/>
                <w:szCs w:val="24"/>
              </w:rPr>
              <w:t xml:space="preserve">  Taiwan: Key Growth Drivers During Transition From Lower Middle Income(LMYC) to Upper Middle Income(UMYC) and Beyond</w:t>
            </w:r>
          </w:p>
        </w:tc>
      </w:tr>
      <w:tr w:rsidR="00DD0408" w:rsidRPr="003B66DB" w14:paraId="225B48B5" w14:textId="77777777" w:rsidTr="00A51CF0">
        <w:trPr>
          <w:trHeight w:val="25"/>
          <w:jc w:val="center"/>
        </w:trPr>
        <w:tc>
          <w:tcPr>
            <w:tcW w:w="21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D794C"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Economic Indicator</w:t>
            </w:r>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14:paraId="29B31FCB" w14:textId="77777777" w:rsidR="00DD0408" w:rsidRPr="003B66DB" w:rsidRDefault="00DD0408" w:rsidP="002D1CD4">
            <w:pPr>
              <w:spacing w:after="0" w:line="240" w:lineRule="auto"/>
              <w:jc w:val="center"/>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1970s</w:t>
            </w:r>
          </w:p>
        </w:tc>
        <w:tc>
          <w:tcPr>
            <w:tcW w:w="596" w:type="pct"/>
            <w:tcBorders>
              <w:top w:val="single" w:sz="4" w:space="0" w:color="auto"/>
              <w:left w:val="nil"/>
              <w:bottom w:val="single" w:sz="4" w:space="0" w:color="auto"/>
              <w:right w:val="single" w:sz="4" w:space="0" w:color="auto"/>
            </w:tcBorders>
            <w:shd w:val="clear" w:color="auto" w:fill="auto"/>
            <w:noWrap/>
            <w:vAlign w:val="bottom"/>
          </w:tcPr>
          <w:p w14:paraId="57D777A6" w14:textId="77777777" w:rsidR="00DD0408" w:rsidRPr="003B66DB" w:rsidRDefault="00DD0408" w:rsidP="002D1CD4">
            <w:pPr>
              <w:spacing w:after="0" w:line="240" w:lineRule="auto"/>
              <w:jc w:val="center"/>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1980s</w:t>
            </w:r>
          </w:p>
        </w:tc>
        <w:tc>
          <w:tcPr>
            <w:tcW w:w="665" w:type="pct"/>
            <w:tcBorders>
              <w:top w:val="single" w:sz="4" w:space="0" w:color="auto"/>
              <w:left w:val="nil"/>
              <w:bottom w:val="single" w:sz="4" w:space="0" w:color="auto"/>
              <w:right w:val="single" w:sz="4" w:space="0" w:color="auto"/>
            </w:tcBorders>
            <w:shd w:val="clear" w:color="auto" w:fill="auto"/>
            <w:noWrap/>
            <w:vAlign w:val="bottom"/>
          </w:tcPr>
          <w:p w14:paraId="00161165" w14:textId="77777777" w:rsidR="00DD0408" w:rsidRPr="003B66DB" w:rsidRDefault="00DD0408" w:rsidP="002D1CD4">
            <w:pPr>
              <w:spacing w:after="0" w:line="240" w:lineRule="auto"/>
              <w:jc w:val="center"/>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1990s</w:t>
            </w:r>
          </w:p>
        </w:tc>
        <w:tc>
          <w:tcPr>
            <w:tcW w:w="907" w:type="pct"/>
            <w:tcBorders>
              <w:top w:val="single" w:sz="4" w:space="0" w:color="auto"/>
              <w:left w:val="nil"/>
              <w:bottom w:val="single" w:sz="4" w:space="0" w:color="auto"/>
              <w:right w:val="single" w:sz="4" w:space="0" w:color="auto"/>
            </w:tcBorders>
            <w:shd w:val="clear" w:color="auto" w:fill="auto"/>
            <w:noWrap/>
          </w:tcPr>
          <w:p w14:paraId="69A60D5B" w14:textId="77777777" w:rsidR="00DD0408" w:rsidRPr="003B66DB" w:rsidRDefault="00DD0408" w:rsidP="002D1CD4">
            <w:pPr>
              <w:spacing w:after="0" w:line="240" w:lineRule="auto"/>
              <w:jc w:val="center"/>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2000s</w:t>
            </w:r>
          </w:p>
        </w:tc>
      </w:tr>
      <w:tr w:rsidR="00DD0408" w:rsidRPr="003B66DB" w14:paraId="7F568D56"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noWrap/>
            <w:vAlign w:val="bottom"/>
            <w:hideMark/>
          </w:tcPr>
          <w:p w14:paraId="23011768" w14:textId="77777777" w:rsidR="00DD0408" w:rsidRPr="003B66DB" w:rsidRDefault="00DD0408" w:rsidP="002D1CD4">
            <w:pPr>
              <w:spacing w:after="0" w:line="240" w:lineRule="auto"/>
              <w:rPr>
                <w:rFonts w:ascii="Times New Roman" w:eastAsia="Times New Roman" w:hAnsi="Times New Roman" w:cs="Times New Roman"/>
                <w:b/>
                <w:bCs/>
                <w:color w:val="000000"/>
                <w:sz w:val="24"/>
                <w:szCs w:val="24"/>
              </w:rPr>
            </w:pPr>
            <w:r w:rsidRPr="003B66DB">
              <w:rPr>
                <w:rFonts w:ascii="Times New Roman" w:eastAsia="Times New Roman" w:hAnsi="Times New Roman" w:cs="Times New Roman"/>
                <w:b/>
                <w:bCs/>
                <w:color w:val="000000"/>
                <w:sz w:val="24"/>
                <w:szCs w:val="24"/>
              </w:rPr>
              <w:t>Real Sector Block</w:t>
            </w:r>
          </w:p>
        </w:tc>
        <w:tc>
          <w:tcPr>
            <w:tcW w:w="563" w:type="pct"/>
            <w:tcBorders>
              <w:top w:val="nil"/>
              <w:left w:val="nil"/>
              <w:bottom w:val="single" w:sz="4" w:space="0" w:color="auto"/>
              <w:right w:val="single" w:sz="4" w:space="0" w:color="auto"/>
            </w:tcBorders>
            <w:shd w:val="clear" w:color="auto" w:fill="auto"/>
            <w:noWrap/>
            <w:vAlign w:val="bottom"/>
            <w:hideMark/>
          </w:tcPr>
          <w:p w14:paraId="7BEBA77A"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 </w:t>
            </w:r>
          </w:p>
        </w:tc>
        <w:tc>
          <w:tcPr>
            <w:tcW w:w="596" w:type="pct"/>
            <w:tcBorders>
              <w:top w:val="nil"/>
              <w:left w:val="nil"/>
              <w:bottom w:val="single" w:sz="4" w:space="0" w:color="auto"/>
              <w:right w:val="single" w:sz="4" w:space="0" w:color="auto"/>
            </w:tcBorders>
            <w:shd w:val="clear" w:color="auto" w:fill="auto"/>
            <w:noWrap/>
            <w:vAlign w:val="bottom"/>
          </w:tcPr>
          <w:p w14:paraId="1A84E417"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 </w:t>
            </w:r>
          </w:p>
        </w:tc>
        <w:tc>
          <w:tcPr>
            <w:tcW w:w="665" w:type="pct"/>
            <w:tcBorders>
              <w:top w:val="nil"/>
              <w:left w:val="nil"/>
              <w:bottom w:val="single" w:sz="4" w:space="0" w:color="auto"/>
              <w:right w:val="single" w:sz="4" w:space="0" w:color="auto"/>
            </w:tcBorders>
            <w:shd w:val="clear" w:color="auto" w:fill="auto"/>
            <w:noWrap/>
            <w:vAlign w:val="bottom"/>
          </w:tcPr>
          <w:p w14:paraId="772F0811"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 </w:t>
            </w:r>
          </w:p>
        </w:tc>
        <w:tc>
          <w:tcPr>
            <w:tcW w:w="907" w:type="pct"/>
            <w:tcBorders>
              <w:top w:val="nil"/>
              <w:left w:val="nil"/>
              <w:bottom w:val="single" w:sz="4" w:space="0" w:color="auto"/>
              <w:right w:val="single" w:sz="4" w:space="0" w:color="auto"/>
            </w:tcBorders>
            <w:shd w:val="clear" w:color="auto" w:fill="auto"/>
            <w:noWrap/>
            <w:vAlign w:val="bottom"/>
          </w:tcPr>
          <w:p w14:paraId="6255597A"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p>
        </w:tc>
      </w:tr>
      <w:tr w:rsidR="00DD0408" w:rsidRPr="003B66DB" w14:paraId="4DA2D7B5"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noWrap/>
            <w:vAlign w:val="bottom"/>
            <w:hideMark/>
          </w:tcPr>
          <w:p w14:paraId="36790B49"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Real GDP growth (%)</w:t>
            </w:r>
          </w:p>
        </w:tc>
        <w:tc>
          <w:tcPr>
            <w:tcW w:w="563" w:type="pct"/>
            <w:tcBorders>
              <w:top w:val="nil"/>
              <w:left w:val="nil"/>
              <w:bottom w:val="single" w:sz="4" w:space="0" w:color="auto"/>
              <w:right w:val="single" w:sz="4" w:space="0" w:color="auto"/>
            </w:tcBorders>
            <w:shd w:val="clear" w:color="auto" w:fill="auto"/>
            <w:noWrap/>
            <w:vAlign w:val="bottom"/>
          </w:tcPr>
          <w:p w14:paraId="5CB2D0DA"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10.8</w:t>
            </w:r>
          </w:p>
        </w:tc>
        <w:tc>
          <w:tcPr>
            <w:tcW w:w="596" w:type="pct"/>
            <w:tcBorders>
              <w:top w:val="nil"/>
              <w:left w:val="nil"/>
              <w:bottom w:val="single" w:sz="4" w:space="0" w:color="auto"/>
              <w:right w:val="single" w:sz="4" w:space="0" w:color="auto"/>
            </w:tcBorders>
            <w:shd w:val="clear" w:color="auto" w:fill="auto"/>
            <w:noWrap/>
            <w:vAlign w:val="bottom"/>
          </w:tcPr>
          <w:p w14:paraId="53031329"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8.5</w:t>
            </w:r>
          </w:p>
        </w:tc>
        <w:tc>
          <w:tcPr>
            <w:tcW w:w="665" w:type="pct"/>
            <w:tcBorders>
              <w:top w:val="nil"/>
              <w:left w:val="nil"/>
              <w:bottom w:val="single" w:sz="4" w:space="0" w:color="auto"/>
              <w:right w:val="single" w:sz="4" w:space="0" w:color="auto"/>
            </w:tcBorders>
            <w:shd w:val="clear" w:color="auto" w:fill="auto"/>
            <w:noWrap/>
            <w:vAlign w:val="bottom"/>
          </w:tcPr>
          <w:p w14:paraId="3802EF2D"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6.9</w:t>
            </w:r>
          </w:p>
        </w:tc>
        <w:tc>
          <w:tcPr>
            <w:tcW w:w="907" w:type="pct"/>
            <w:tcBorders>
              <w:top w:val="nil"/>
              <w:left w:val="nil"/>
              <w:bottom w:val="single" w:sz="4" w:space="0" w:color="auto"/>
              <w:right w:val="single" w:sz="4" w:space="0" w:color="auto"/>
            </w:tcBorders>
            <w:shd w:val="clear" w:color="auto" w:fill="auto"/>
            <w:noWrap/>
            <w:vAlign w:val="bottom"/>
          </w:tcPr>
          <w:p w14:paraId="639E5EAC"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2.6</w:t>
            </w:r>
          </w:p>
        </w:tc>
      </w:tr>
      <w:tr w:rsidR="00DD0408" w:rsidRPr="003B66DB" w14:paraId="2B5BB448"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noWrap/>
            <w:vAlign w:val="bottom"/>
          </w:tcPr>
          <w:p w14:paraId="7B3A11D1"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Per Capita GDP Growth (%)</w:t>
            </w:r>
          </w:p>
        </w:tc>
        <w:tc>
          <w:tcPr>
            <w:tcW w:w="563" w:type="pct"/>
            <w:tcBorders>
              <w:top w:val="nil"/>
              <w:left w:val="nil"/>
              <w:bottom w:val="single" w:sz="4" w:space="0" w:color="auto"/>
              <w:right w:val="single" w:sz="4" w:space="0" w:color="auto"/>
            </w:tcBorders>
            <w:shd w:val="clear" w:color="auto" w:fill="auto"/>
            <w:noWrap/>
            <w:vAlign w:val="bottom"/>
            <w:hideMark/>
          </w:tcPr>
          <w:p w14:paraId="7DCA81AC"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3.3</w:t>
            </w:r>
          </w:p>
        </w:tc>
        <w:tc>
          <w:tcPr>
            <w:tcW w:w="596" w:type="pct"/>
            <w:tcBorders>
              <w:top w:val="nil"/>
              <w:left w:val="nil"/>
              <w:bottom w:val="single" w:sz="4" w:space="0" w:color="auto"/>
              <w:right w:val="single" w:sz="4" w:space="0" w:color="auto"/>
            </w:tcBorders>
            <w:shd w:val="clear" w:color="auto" w:fill="auto"/>
            <w:noWrap/>
            <w:vAlign w:val="bottom"/>
          </w:tcPr>
          <w:p w14:paraId="5CDDA256"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4.8</w:t>
            </w:r>
          </w:p>
        </w:tc>
        <w:tc>
          <w:tcPr>
            <w:tcW w:w="665" w:type="pct"/>
            <w:tcBorders>
              <w:top w:val="nil"/>
              <w:left w:val="nil"/>
              <w:bottom w:val="single" w:sz="4" w:space="0" w:color="auto"/>
              <w:right w:val="single" w:sz="4" w:space="0" w:color="auto"/>
            </w:tcBorders>
            <w:shd w:val="clear" w:color="auto" w:fill="auto"/>
            <w:noWrap/>
            <w:vAlign w:val="bottom"/>
          </w:tcPr>
          <w:p w14:paraId="3DA9AB03"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6</w:t>
            </w:r>
          </w:p>
        </w:tc>
        <w:tc>
          <w:tcPr>
            <w:tcW w:w="907" w:type="pct"/>
            <w:tcBorders>
              <w:top w:val="nil"/>
              <w:left w:val="nil"/>
              <w:bottom w:val="single" w:sz="4" w:space="0" w:color="auto"/>
              <w:right w:val="single" w:sz="4" w:space="0" w:color="auto"/>
            </w:tcBorders>
            <w:shd w:val="clear" w:color="auto" w:fill="auto"/>
            <w:noWrap/>
            <w:vAlign w:val="bottom"/>
          </w:tcPr>
          <w:p w14:paraId="31126FE7"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6.4</w:t>
            </w:r>
          </w:p>
        </w:tc>
      </w:tr>
      <w:tr w:rsidR="00DD0408" w:rsidRPr="003B66DB" w14:paraId="209300F3"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vAlign w:val="center"/>
            <w:hideMark/>
          </w:tcPr>
          <w:p w14:paraId="781FECF1" w14:textId="77777777" w:rsidR="00DD0408" w:rsidRPr="003B66DB" w:rsidRDefault="00DD0408" w:rsidP="002D1CD4">
            <w:pPr>
              <w:spacing w:after="0" w:line="240" w:lineRule="auto"/>
              <w:rPr>
                <w:rFonts w:ascii="Times New Roman" w:eastAsia="Times New Roman" w:hAnsi="Times New Roman" w:cs="Times New Roman"/>
                <w:b/>
                <w:bCs/>
                <w:color w:val="000000"/>
                <w:sz w:val="24"/>
                <w:szCs w:val="24"/>
              </w:rPr>
            </w:pPr>
            <w:r w:rsidRPr="003B66DB">
              <w:rPr>
                <w:rFonts w:ascii="Times New Roman" w:eastAsia="Times New Roman" w:hAnsi="Times New Roman" w:cs="Times New Roman"/>
                <w:b/>
                <w:bCs/>
                <w:color w:val="000000"/>
                <w:sz w:val="24"/>
                <w:szCs w:val="24"/>
              </w:rPr>
              <w:t>Economic Transition</w:t>
            </w:r>
          </w:p>
        </w:tc>
        <w:tc>
          <w:tcPr>
            <w:tcW w:w="563" w:type="pct"/>
            <w:tcBorders>
              <w:top w:val="nil"/>
              <w:left w:val="nil"/>
              <w:bottom w:val="single" w:sz="4" w:space="0" w:color="auto"/>
              <w:right w:val="single" w:sz="4" w:space="0" w:color="auto"/>
            </w:tcBorders>
            <w:shd w:val="clear" w:color="auto" w:fill="auto"/>
            <w:noWrap/>
            <w:vAlign w:val="bottom"/>
            <w:hideMark/>
          </w:tcPr>
          <w:p w14:paraId="7BD1E1FE" w14:textId="77777777" w:rsidR="00DD0408" w:rsidRPr="003B66DB" w:rsidRDefault="00DD0408" w:rsidP="002D1CD4">
            <w:pPr>
              <w:spacing w:after="0" w:line="240" w:lineRule="auto"/>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 1971</w:t>
            </w:r>
          </w:p>
        </w:tc>
        <w:tc>
          <w:tcPr>
            <w:tcW w:w="596" w:type="pct"/>
            <w:tcBorders>
              <w:top w:val="nil"/>
              <w:left w:val="nil"/>
              <w:bottom w:val="single" w:sz="4" w:space="0" w:color="auto"/>
              <w:right w:val="single" w:sz="4" w:space="0" w:color="auto"/>
            </w:tcBorders>
            <w:shd w:val="clear" w:color="auto" w:fill="auto"/>
            <w:noWrap/>
            <w:vAlign w:val="bottom"/>
          </w:tcPr>
          <w:p w14:paraId="3DD7C4A2" w14:textId="77777777" w:rsidR="00DD0408" w:rsidRPr="003B66DB" w:rsidRDefault="00DD0408" w:rsidP="002D1CD4">
            <w:pPr>
              <w:spacing w:after="0" w:line="240" w:lineRule="auto"/>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1980 </w:t>
            </w:r>
          </w:p>
        </w:tc>
        <w:tc>
          <w:tcPr>
            <w:tcW w:w="665" w:type="pct"/>
            <w:tcBorders>
              <w:top w:val="nil"/>
              <w:left w:val="nil"/>
              <w:bottom w:val="single" w:sz="4" w:space="0" w:color="auto"/>
              <w:right w:val="single" w:sz="4" w:space="0" w:color="auto"/>
            </w:tcBorders>
            <w:shd w:val="clear" w:color="auto" w:fill="auto"/>
            <w:noWrap/>
            <w:vAlign w:val="bottom"/>
          </w:tcPr>
          <w:p w14:paraId="199F6255" w14:textId="77777777" w:rsidR="00DD0408" w:rsidRPr="003B66DB" w:rsidRDefault="00DD0408" w:rsidP="002D1CD4">
            <w:pPr>
              <w:spacing w:after="0" w:line="240" w:lineRule="auto"/>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1990 </w:t>
            </w:r>
          </w:p>
        </w:tc>
        <w:tc>
          <w:tcPr>
            <w:tcW w:w="907" w:type="pct"/>
            <w:tcBorders>
              <w:top w:val="nil"/>
              <w:left w:val="nil"/>
              <w:bottom w:val="single" w:sz="4" w:space="0" w:color="auto"/>
              <w:right w:val="single" w:sz="4" w:space="0" w:color="auto"/>
            </w:tcBorders>
            <w:shd w:val="clear" w:color="auto" w:fill="auto"/>
            <w:noWrap/>
          </w:tcPr>
          <w:p w14:paraId="128C0470" w14:textId="77777777" w:rsidR="00DD0408" w:rsidRPr="003B66DB" w:rsidRDefault="00DD0408" w:rsidP="002D1CD4">
            <w:pPr>
              <w:spacing w:after="0" w:line="240" w:lineRule="auto"/>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2000</w:t>
            </w:r>
          </w:p>
        </w:tc>
      </w:tr>
      <w:tr w:rsidR="00DD0408" w:rsidRPr="003B66DB" w14:paraId="2D48BEF2"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noWrap/>
            <w:vAlign w:val="bottom"/>
            <w:hideMark/>
          </w:tcPr>
          <w:p w14:paraId="42982FF6"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Agriculture share of GDP (%)</w:t>
            </w:r>
          </w:p>
        </w:tc>
        <w:tc>
          <w:tcPr>
            <w:tcW w:w="563" w:type="pct"/>
            <w:tcBorders>
              <w:top w:val="nil"/>
              <w:left w:val="nil"/>
              <w:bottom w:val="single" w:sz="4" w:space="0" w:color="auto"/>
              <w:right w:val="single" w:sz="4" w:space="0" w:color="auto"/>
            </w:tcBorders>
            <w:shd w:val="clear" w:color="auto" w:fill="auto"/>
            <w:noWrap/>
            <w:vAlign w:val="bottom"/>
          </w:tcPr>
          <w:p w14:paraId="6374C75B"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15.3</w:t>
            </w:r>
          </w:p>
        </w:tc>
        <w:tc>
          <w:tcPr>
            <w:tcW w:w="596" w:type="pct"/>
            <w:tcBorders>
              <w:top w:val="nil"/>
              <w:left w:val="nil"/>
              <w:bottom w:val="single" w:sz="4" w:space="0" w:color="auto"/>
              <w:right w:val="single" w:sz="4" w:space="0" w:color="auto"/>
            </w:tcBorders>
            <w:shd w:val="clear" w:color="auto" w:fill="auto"/>
            <w:noWrap/>
            <w:vAlign w:val="bottom"/>
          </w:tcPr>
          <w:p w14:paraId="1210E9D8"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7.5</w:t>
            </w:r>
          </w:p>
        </w:tc>
        <w:tc>
          <w:tcPr>
            <w:tcW w:w="665" w:type="pct"/>
            <w:tcBorders>
              <w:top w:val="nil"/>
              <w:left w:val="nil"/>
              <w:bottom w:val="single" w:sz="4" w:space="0" w:color="auto"/>
              <w:right w:val="single" w:sz="4" w:space="0" w:color="auto"/>
            </w:tcBorders>
            <w:shd w:val="clear" w:color="auto" w:fill="auto"/>
            <w:noWrap/>
            <w:vAlign w:val="bottom"/>
          </w:tcPr>
          <w:p w14:paraId="2DE7B9A5"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4</w:t>
            </w:r>
          </w:p>
        </w:tc>
        <w:tc>
          <w:tcPr>
            <w:tcW w:w="907" w:type="pct"/>
            <w:tcBorders>
              <w:top w:val="nil"/>
              <w:left w:val="nil"/>
              <w:bottom w:val="single" w:sz="4" w:space="0" w:color="auto"/>
              <w:right w:val="single" w:sz="4" w:space="0" w:color="auto"/>
            </w:tcBorders>
            <w:shd w:val="clear" w:color="auto" w:fill="auto"/>
            <w:noWrap/>
            <w:vAlign w:val="bottom"/>
          </w:tcPr>
          <w:p w14:paraId="2DC9AEEE"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2.1</w:t>
            </w:r>
          </w:p>
        </w:tc>
      </w:tr>
      <w:tr w:rsidR="00DD0408" w:rsidRPr="003B66DB" w14:paraId="245360FB"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noWrap/>
            <w:vAlign w:val="bottom"/>
            <w:hideMark/>
          </w:tcPr>
          <w:p w14:paraId="5AD225A0"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Industry Share of GDP (%)</w:t>
            </w:r>
          </w:p>
        </w:tc>
        <w:tc>
          <w:tcPr>
            <w:tcW w:w="563" w:type="pct"/>
            <w:tcBorders>
              <w:top w:val="nil"/>
              <w:left w:val="nil"/>
              <w:bottom w:val="single" w:sz="4" w:space="0" w:color="auto"/>
              <w:right w:val="single" w:sz="4" w:space="0" w:color="auto"/>
            </w:tcBorders>
            <w:shd w:val="clear" w:color="auto" w:fill="auto"/>
            <w:noWrap/>
            <w:vAlign w:val="bottom"/>
          </w:tcPr>
          <w:p w14:paraId="4AFA518D"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p>
        </w:tc>
        <w:tc>
          <w:tcPr>
            <w:tcW w:w="596" w:type="pct"/>
            <w:tcBorders>
              <w:top w:val="nil"/>
              <w:left w:val="nil"/>
              <w:bottom w:val="single" w:sz="4" w:space="0" w:color="auto"/>
              <w:right w:val="single" w:sz="4" w:space="0" w:color="auto"/>
            </w:tcBorders>
            <w:shd w:val="clear" w:color="auto" w:fill="auto"/>
            <w:noWrap/>
            <w:vAlign w:val="bottom"/>
          </w:tcPr>
          <w:p w14:paraId="001773AE"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p>
        </w:tc>
        <w:tc>
          <w:tcPr>
            <w:tcW w:w="665" w:type="pct"/>
            <w:tcBorders>
              <w:top w:val="nil"/>
              <w:left w:val="nil"/>
              <w:bottom w:val="single" w:sz="4" w:space="0" w:color="auto"/>
              <w:right w:val="single" w:sz="4" w:space="0" w:color="auto"/>
            </w:tcBorders>
            <w:shd w:val="clear" w:color="auto" w:fill="auto"/>
            <w:noWrap/>
            <w:vAlign w:val="bottom"/>
          </w:tcPr>
          <w:p w14:paraId="1EBD8B71"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38</w:t>
            </w:r>
          </w:p>
        </w:tc>
        <w:tc>
          <w:tcPr>
            <w:tcW w:w="907" w:type="pct"/>
            <w:tcBorders>
              <w:top w:val="nil"/>
              <w:left w:val="nil"/>
              <w:bottom w:val="single" w:sz="4" w:space="0" w:color="auto"/>
              <w:right w:val="single" w:sz="4" w:space="0" w:color="auto"/>
            </w:tcBorders>
            <w:shd w:val="clear" w:color="auto" w:fill="auto"/>
            <w:noWrap/>
            <w:vAlign w:val="bottom"/>
          </w:tcPr>
          <w:p w14:paraId="689B2E7D"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32.4</w:t>
            </w:r>
          </w:p>
        </w:tc>
      </w:tr>
      <w:tr w:rsidR="00DD0408" w:rsidRPr="003B66DB" w14:paraId="6ADB0E49"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noWrap/>
            <w:vAlign w:val="bottom"/>
            <w:hideMark/>
          </w:tcPr>
          <w:p w14:paraId="2DBC426B"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Service Share of GDP (%)</w:t>
            </w:r>
          </w:p>
        </w:tc>
        <w:tc>
          <w:tcPr>
            <w:tcW w:w="563" w:type="pct"/>
            <w:tcBorders>
              <w:top w:val="nil"/>
              <w:left w:val="nil"/>
              <w:bottom w:val="single" w:sz="4" w:space="0" w:color="auto"/>
              <w:right w:val="single" w:sz="4" w:space="0" w:color="auto"/>
            </w:tcBorders>
            <w:shd w:val="clear" w:color="auto" w:fill="auto"/>
            <w:noWrap/>
            <w:vAlign w:val="bottom"/>
          </w:tcPr>
          <w:p w14:paraId="2A4CD66B"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p>
        </w:tc>
        <w:tc>
          <w:tcPr>
            <w:tcW w:w="596" w:type="pct"/>
            <w:tcBorders>
              <w:top w:val="nil"/>
              <w:left w:val="nil"/>
              <w:bottom w:val="single" w:sz="4" w:space="0" w:color="auto"/>
              <w:right w:val="single" w:sz="4" w:space="0" w:color="auto"/>
            </w:tcBorders>
            <w:shd w:val="clear" w:color="auto" w:fill="auto"/>
            <w:noWrap/>
            <w:vAlign w:val="bottom"/>
          </w:tcPr>
          <w:p w14:paraId="60CA8EA7"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p>
        </w:tc>
        <w:tc>
          <w:tcPr>
            <w:tcW w:w="665" w:type="pct"/>
            <w:tcBorders>
              <w:top w:val="nil"/>
              <w:left w:val="nil"/>
              <w:bottom w:val="single" w:sz="4" w:space="0" w:color="auto"/>
              <w:right w:val="single" w:sz="4" w:space="0" w:color="auto"/>
            </w:tcBorders>
            <w:shd w:val="clear" w:color="auto" w:fill="auto"/>
            <w:noWrap/>
            <w:vAlign w:val="bottom"/>
          </w:tcPr>
          <w:p w14:paraId="55CF76F5"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58</w:t>
            </w:r>
          </w:p>
        </w:tc>
        <w:tc>
          <w:tcPr>
            <w:tcW w:w="907" w:type="pct"/>
            <w:tcBorders>
              <w:top w:val="nil"/>
              <w:left w:val="nil"/>
              <w:bottom w:val="single" w:sz="4" w:space="0" w:color="auto"/>
              <w:right w:val="single" w:sz="4" w:space="0" w:color="auto"/>
            </w:tcBorders>
            <w:shd w:val="clear" w:color="auto" w:fill="auto"/>
            <w:noWrap/>
            <w:vAlign w:val="bottom"/>
          </w:tcPr>
          <w:p w14:paraId="13136A20"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65.5</w:t>
            </w:r>
          </w:p>
        </w:tc>
      </w:tr>
      <w:tr w:rsidR="00DD0408" w:rsidRPr="003B66DB" w14:paraId="056F5DEA"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vAlign w:val="bottom"/>
            <w:hideMark/>
          </w:tcPr>
          <w:p w14:paraId="70BFFD5A"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Investment rate (%)</w:t>
            </w:r>
          </w:p>
        </w:tc>
        <w:tc>
          <w:tcPr>
            <w:tcW w:w="563" w:type="pct"/>
            <w:tcBorders>
              <w:top w:val="nil"/>
              <w:left w:val="nil"/>
              <w:bottom w:val="single" w:sz="4" w:space="0" w:color="auto"/>
              <w:right w:val="single" w:sz="4" w:space="0" w:color="auto"/>
            </w:tcBorders>
            <w:shd w:val="clear" w:color="auto" w:fill="auto"/>
            <w:noWrap/>
            <w:vAlign w:val="bottom"/>
          </w:tcPr>
          <w:p w14:paraId="10676933"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p>
        </w:tc>
        <w:tc>
          <w:tcPr>
            <w:tcW w:w="596" w:type="pct"/>
            <w:tcBorders>
              <w:top w:val="nil"/>
              <w:left w:val="nil"/>
              <w:bottom w:val="single" w:sz="4" w:space="0" w:color="auto"/>
              <w:right w:val="single" w:sz="4" w:space="0" w:color="auto"/>
            </w:tcBorders>
            <w:shd w:val="clear" w:color="auto" w:fill="auto"/>
            <w:noWrap/>
            <w:vAlign w:val="bottom"/>
          </w:tcPr>
          <w:p w14:paraId="6A3B749C"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28.4</w:t>
            </w:r>
          </w:p>
        </w:tc>
        <w:tc>
          <w:tcPr>
            <w:tcW w:w="665" w:type="pct"/>
            <w:tcBorders>
              <w:top w:val="nil"/>
              <w:left w:val="nil"/>
              <w:bottom w:val="single" w:sz="4" w:space="0" w:color="auto"/>
              <w:right w:val="single" w:sz="4" w:space="0" w:color="auto"/>
            </w:tcBorders>
            <w:shd w:val="clear" w:color="auto" w:fill="auto"/>
            <w:noWrap/>
            <w:vAlign w:val="bottom"/>
          </w:tcPr>
          <w:p w14:paraId="05F56F86"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24.8</w:t>
            </w:r>
          </w:p>
        </w:tc>
        <w:tc>
          <w:tcPr>
            <w:tcW w:w="907" w:type="pct"/>
            <w:tcBorders>
              <w:top w:val="nil"/>
              <w:left w:val="nil"/>
              <w:bottom w:val="single" w:sz="4" w:space="0" w:color="auto"/>
              <w:right w:val="single" w:sz="4" w:space="0" w:color="auto"/>
            </w:tcBorders>
            <w:shd w:val="clear" w:color="auto" w:fill="auto"/>
            <w:noWrap/>
            <w:vAlign w:val="bottom"/>
          </w:tcPr>
          <w:p w14:paraId="33C41BE8"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26</w:t>
            </w:r>
          </w:p>
        </w:tc>
      </w:tr>
      <w:tr w:rsidR="00DD0408" w:rsidRPr="003B66DB" w14:paraId="764AEACE"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vAlign w:val="bottom"/>
            <w:hideMark/>
          </w:tcPr>
          <w:p w14:paraId="1C728A30"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ICOR</w:t>
            </w:r>
          </w:p>
        </w:tc>
        <w:tc>
          <w:tcPr>
            <w:tcW w:w="563" w:type="pct"/>
            <w:tcBorders>
              <w:top w:val="nil"/>
              <w:left w:val="nil"/>
              <w:bottom w:val="single" w:sz="4" w:space="0" w:color="auto"/>
              <w:right w:val="single" w:sz="4" w:space="0" w:color="auto"/>
            </w:tcBorders>
            <w:shd w:val="clear" w:color="auto" w:fill="auto"/>
            <w:noWrap/>
            <w:vAlign w:val="bottom"/>
          </w:tcPr>
          <w:p w14:paraId="712C2568"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p>
        </w:tc>
        <w:tc>
          <w:tcPr>
            <w:tcW w:w="596" w:type="pct"/>
            <w:tcBorders>
              <w:top w:val="nil"/>
              <w:left w:val="nil"/>
              <w:bottom w:val="single" w:sz="4" w:space="0" w:color="auto"/>
              <w:right w:val="single" w:sz="4" w:space="0" w:color="auto"/>
            </w:tcBorders>
            <w:shd w:val="clear" w:color="auto" w:fill="auto"/>
            <w:noWrap/>
            <w:vAlign w:val="bottom"/>
          </w:tcPr>
          <w:p w14:paraId="45A3FC0B"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p>
        </w:tc>
        <w:tc>
          <w:tcPr>
            <w:tcW w:w="665" w:type="pct"/>
            <w:tcBorders>
              <w:top w:val="nil"/>
              <w:left w:val="nil"/>
              <w:bottom w:val="single" w:sz="4" w:space="0" w:color="auto"/>
              <w:right w:val="single" w:sz="4" w:space="0" w:color="auto"/>
            </w:tcBorders>
            <w:shd w:val="clear" w:color="auto" w:fill="auto"/>
            <w:noWrap/>
            <w:vAlign w:val="bottom"/>
          </w:tcPr>
          <w:p w14:paraId="3F09162D"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p>
        </w:tc>
        <w:tc>
          <w:tcPr>
            <w:tcW w:w="907" w:type="pct"/>
            <w:tcBorders>
              <w:top w:val="nil"/>
              <w:left w:val="nil"/>
              <w:bottom w:val="single" w:sz="4" w:space="0" w:color="auto"/>
              <w:right w:val="single" w:sz="4" w:space="0" w:color="auto"/>
            </w:tcBorders>
            <w:shd w:val="clear" w:color="auto" w:fill="auto"/>
            <w:noWrap/>
            <w:vAlign w:val="bottom"/>
          </w:tcPr>
          <w:p w14:paraId="5AA49091"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p>
        </w:tc>
      </w:tr>
      <w:tr w:rsidR="00DD0408" w:rsidRPr="003B66DB" w14:paraId="6B7354D9"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vAlign w:val="center"/>
            <w:hideMark/>
          </w:tcPr>
          <w:p w14:paraId="331EE2C3"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Saving rate (%)</w:t>
            </w:r>
          </w:p>
        </w:tc>
        <w:tc>
          <w:tcPr>
            <w:tcW w:w="563" w:type="pct"/>
            <w:tcBorders>
              <w:top w:val="nil"/>
              <w:left w:val="nil"/>
              <w:bottom w:val="single" w:sz="4" w:space="0" w:color="auto"/>
              <w:right w:val="single" w:sz="4" w:space="0" w:color="auto"/>
            </w:tcBorders>
            <w:shd w:val="clear" w:color="auto" w:fill="auto"/>
            <w:noWrap/>
            <w:vAlign w:val="bottom"/>
          </w:tcPr>
          <w:p w14:paraId="42EE2B7B"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p>
        </w:tc>
        <w:tc>
          <w:tcPr>
            <w:tcW w:w="596" w:type="pct"/>
            <w:tcBorders>
              <w:top w:val="nil"/>
              <w:left w:val="nil"/>
              <w:bottom w:val="single" w:sz="4" w:space="0" w:color="auto"/>
              <w:right w:val="single" w:sz="4" w:space="0" w:color="auto"/>
            </w:tcBorders>
            <w:shd w:val="clear" w:color="auto" w:fill="auto"/>
            <w:noWrap/>
            <w:vAlign w:val="bottom"/>
          </w:tcPr>
          <w:p w14:paraId="4606E2F4"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p>
        </w:tc>
        <w:tc>
          <w:tcPr>
            <w:tcW w:w="665" w:type="pct"/>
            <w:tcBorders>
              <w:top w:val="nil"/>
              <w:left w:val="nil"/>
              <w:bottom w:val="single" w:sz="4" w:space="0" w:color="auto"/>
              <w:right w:val="single" w:sz="4" w:space="0" w:color="auto"/>
            </w:tcBorders>
            <w:shd w:val="clear" w:color="auto" w:fill="auto"/>
            <w:noWrap/>
            <w:vAlign w:val="bottom"/>
          </w:tcPr>
          <w:p w14:paraId="113D793E"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p>
        </w:tc>
        <w:tc>
          <w:tcPr>
            <w:tcW w:w="907" w:type="pct"/>
            <w:tcBorders>
              <w:top w:val="nil"/>
              <w:left w:val="nil"/>
              <w:bottom w:val="single" w:sz="4" w:space="0" w:color="auto"/>
              <w:right w:val="single" w:sz="4" w:space="0" w:color="auto"/>
            </w:tcBorders>
            <w:shd w:val="clear" w:color="auto" w:fill="auto"/>
            <w:noWrap/>
            <w:vAlign w:val="bottom"/>
          </w:tcPr>
          <w:p w14:paraId="7E6107C0"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32</w:t>
            </w:r>
          </w:p>
        </w:tc>
      </w:tr>
      <w:tr w:rsidR="00DD0408" w:rsidRPr="003B66DB" w14:paraId="29DE5263" w14:textId="77777777" w:rsidTr="00A51CF0">
        <w:trPr>
          <w:trHeight w:val="25"/>
          <w:jc w:val="center"/>
        </w:trPr>
        <w:tc>
          <w:tcPr>
            <w:tcW w:w="2108" w:type="pct"/>
            <w:tcBorders>
              <w:top w:val="single" w:sz="4" w:space="0" w:color="auto"/>
              <w:left w:val="single" w:sz="4" w:space="0" w:color="auto"/>
              <w:bottom w:val="single" w:sz="4" w:space="0" w:color="auto"/>
              <w:right w:val="single" w:sz="4" w:space="0" w:color="auto"/>
            </w:tcBorders>
            <w:shd w:val="clear" w:color="auto" w:fill="auto"/>
            <w:vAlign w:val="bottom"/>
          </w:tcPr>
          <w:p w14:paraId="428AEBAA"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GNI Per Capita</w:t>
            </w:r>
          </w:p>
        </w:tc>
        <w:tc>
          <w:tcPr>
            <w:tcW w:w="563" w:type="pct"/>
            <w:tcBorders>
              <w:top w:val="single" w:sz="4" w:space="0" w:color="auto"/>
              <w:left w:val="nil"/>
              <w:bottom w:val="single" w:sz="4" w:space="0" w:color="auto"/>
              <w:right w:val="single" w:sz="4" w:space="0" w:color="auto"/>
            </w:tcBorders>
            <w:shd w:val="clear" w:color="auto" w:fill="auto"/>
            <w:noWrap/>
            <w:vAlign w:val="bottom"/>
          </w:tcPr>
          <w:p w14:paraId="667FA2B6"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451</w:t>
            </w:r>
          </w:p>
        </w:tc>
        <w:tc>
          <w:tcPr>
            <w:tcW w:w="596" w:type="pct"/>
            <w:tcBorders>
              <w:top w:val="single" w:sz="4" w:space="0" w:color="auto"/>
              <w:left w:val="nil"/>
              <w:bottom w:val="single" w:sz="4" w:space="0" w:color="auto"/>
              <w:right w:val="single" w:sz="4" w:space="0" w:color="auto"/>
            </w:tcBorders>
            <w:shd w:val="clear" w:color="auto" w:fill="auto"/>
            <w:noWrap/>
            <w:vAlign w:val="bottom"/>
          </w:tcPr>
          <w:p w14:paraId="499204AC"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2386</w:t>
            </w:r>
          </w:p>
        </w:tc>
        <w:tc>
          <w:tcPr>
            <w:tcW w:w="665" w:type="pct"/>
            <w:tcBorders>
              <w:top w:val="single" w:sz="4" w:space="0" w:color="auto"/>
              <w:left w:val="nil"/>
              <w:bottom w:val="single" w:sz="4" w:space="0" w:color="auto"/>
              <w:right w:val="single" w:sz="4" w:space="0" w:color="auto"/>
            </w:tcBorders>
            <w:shd w:val="clear" w:color="auto" w:fill="auto"/>
            <w:noWrap/>
            <w:vAlign w:val="bottom"/>
          </w:tcPr>
          <w:p w14:paraId="01CA0B30"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8431</w:t>
            </w:r>
          </w:p>
        </w:tc>
        <w:tc>
          <w:tcPr>
            <w:tcW w:w="907" w:type="pct"/>
            <w:tcBorders>
              <w:top w:val="single" w:sz="4" w:space="0" w:color="auto"/>
              <w:left w:val="nil"/>
              <w:bottom w:val="single" w:sz="4" w:space="0" w:color="auto"/>
              <w:right w:val="single" w:sz="4" w:space="0" w:color="auto"/>
            </w:tcBorders>
            <w:shd w:val="clear" w:color="auto" w:fill="auto"/>
            <w:noWrap/>
            <w:vAlign w:val="bottom"/>
          </w:tcPr>
          <w:p w14:paraId="3F1BD59A"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15142</w:t>
            </w:r>
          </w:p>
        </w:tc>
      </w:tr>
      <w:tr w:rsidR="00DD0408" w:rsidRPr="003B66DB" w14:paraId="3B2820BD" w14:textId="77777777" w:rsidTr="00A51CF0">
        <w:trPr>
          <w:trHeight w:val="25"/>
          <w:jc w:val="center"/>
        </w:trPr>
        <w:tc>
          <w:tcPr>
            <w:tcW w:w="5000" w:type="pct"/>
            <w:gridSpan w:val="5"/>
            <w:tcBorders>
              <w:bottom w:val="single" w:sz="4" w:space="0" w:color="auto"/>
            </w:tcBorders>
            <w:shd w:val="clear" w:color="auto" w:fill="auto"/>
            <w:noWrap/>
            <w:vAlign w:val="bottom"/>
          </w:tcPr>
          <w:p w14:paraId="510B577C" w14:textId="5DC54C2C" w:rsidR="00DD0408" w:rsidRPr="003B66DB" w:rsidRDefault="00970527" w:rsidP="002D1CD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Table-A3:</w:t>
            </w:r>
            <w:r w:rsidR="00DD0408" w:rsidRPr="003B66DB">
              <w:rPr>
                <w:rFonts w:ascii="Times New Roman" w:eastAsia="Times New Roman" w:hAnsi="Times New Roman" w:cs="Times New Roman"/>
                <w:b/>
                <w:bCs/>
                <w:color w:val="000000"/>
                <w:sz w:val="24"/>
                <w:szCs w:val="24"/>
              </w:rPr>
              <w:t xml:space="preserve">  Malaysia: Key Growth Drivers During Transition From Lower Middle Income(LMYC) to Upper Middle Income(UMYC) and Beyond</w:t>
            </w:r>
          </w:p>
        </w:tc>
      </w:tr>
      <w:tr w:rsidR="00DD0408" w:rsidRPr="003B66DB" w14:paraId="256C5E86" w14:textId="77777777" w:rsidTr="00A51CF0">
        <w:trPr>
          <w:trHeight w:val="25"/>
          <w:jc w:val="center"/>
        </w:trPr>
        <w:tc>
          <w:tcPr>
            <w:tcW w:w="21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CD3B2"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Economic Indicator</w:t>
            </w:r>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14:paraId="08D20FC3" w14:textId="77777777" w:rsidR="00DD0408" w:rsidRPr="003B66DB" w:rsidRDefault="00DD0408" w:rsidP="002D1CD4">
            <w:pPr>
              <w:spacing w:after="0" w:line="240" w:lineRule="auto"/>
              <w:jc w:val="center"/>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1970s</w:t>
            </w:r>
          </w:p>
        </w:tc>
        <w:tc>
          <w:tcPr>
            <w:tcW w:w="596" w:type="pct"/>
            <w:tcBorders>
              <w:top w:val="single" w:sz="4" w:space="0" w:color="auto"/>
              <w:left w:val="nil"/>
              <w:bottom w:val="single" w:sz="4" w:space="0" w:color="auto"/>
              <w:right w:val="single" w:sz="4" w:space="0" w:color="auto"/>
            </w:tcBorders>
            <w:shd w:val="clear" w:color="auto" w:fill="auto"/>
            <w:noWrap/>
            <w:vAlign w:val="bottom"/>
          </w:tcPr>
          <w:p w14:paraId="7DB352E0" w14:textId="77777777" w:rsidR="00DD0408" w:rsidRPr="003B66DB" w:rsidRDefault="00DD0408" w:rsidP="002D1CD4">
            <w:pPr>
              <w:spacing w:after="0" w:line="240" w:lineRule="auto"/>
              <w:jc w:val="center"/>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1980s</w:t>
            </w:r>
          </w:p>
        </w:tc>
        <w:tc>
          <w:tcPr>
            <w:tcW w:w="665" w:type="pct"/>
            <w:tcBorders>
              <w:top w:val="single" w:sz="4" w:space="0" w:color="auto"/>
              <w:left w:val="nil"/>
              <w:bottom w:val="single" w:sz="4" w:space="0" w:color="auto"/>
              <w:right w:val="single" w:sz="4" w:space="0" w:color="auto"/>
            </w:tcBorders>
            <w:shd w:val="clear" w:color="auto" w:fill="auto"/>
            <w:noWrap/>
            <w:vAlign w:val="bottom"/>
          </w:tcPr>
          <w:p w14:paraId="637F4D90" w14:textId="77777777" w:rsidR="00DD0408" w:rsidRPr="003B66DB" w:rsidRDefault="00DD0408" w:rsidP="002D1CD4">
            <w:pPr>
              <w:spacing w:after="0" w:line="240" w:lineRule="auto"/>
              <w:jc w:val="center"/>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1990s</w:t>
            </w:r>
          </w:p>
        </w:tc>
        <w:tc>
          <w:tcPr>
            <w:tcW w:w="1068" w:type="pct"/>
            <w:tcBorders>
              <w:top w:val="single" w:sz="4" w:space="0" w:color="auto"/>
              <w:left w:val="nil"/>
              <w:bottom w:val="single" w:sz="4" w:space="0" w:color="auto"/>
              <w:right w:val="single" w:sz="4" w:space="0" w:color="auto"/>
            </w:tcBorders>
            <w:shd w:val="clear" w:color="auto" w:fill="auto"/>
            <w:noWrap/>
          </w:tcPr>
          <w:p w14:paraId="25CF86A0" w14:textId="77777777" w:rsidR="00DD0408" w:rsidRPr="003B66DB" w:rsidRDefault="00DD0408" w:rsidP="002D1CD4">
            <w:pPr>
              <w:spacing w:after="0" w:line="240" w:lineRule="auto"/>
              <w:jc w:val="center"/>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2000s</w:t>
            </w:r>
          </w:p>
        </w:tc>
      </w:tr>
      <w:tr w:rsidR="00DD0408" w:rsidRPr="003B66DB" w14:paraId="6D06201F"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noWrap/>
            <w:vAlign w:val="bottom"/>
            <w:hideMark/>
          </w:tcPr>
          <w:p w14:paraId="49730F93" w14:textId="77777777" w:rsidR="00DD0408" w:rsidRPr="003B66DB" w:rsidRDefault="00DD0408" w:rsidP="002D1CD4">
            <w:pPr>
              <w:spacing w:after="0" w:line="240" w:lineRule="auto"/>
              <w:rPr>
                <w:rFonts w:ascii="Times New Roman" w:eastAsia="Times New Roman" w:hAnsi="Times New Roman" w:cs="Times New Roman"/>
                <w:b/>
                <w:bCs/>
                <w:color w:val="000000"/>
                <w:sz w:val="24"/>
                <w:szCs w:val="24"/>
              </w:rPr>
            </w:pPr>
            <w:r w:rsidRPr="003B66DB">
              <w:rPr>
                <w:rFonts w:ascii="Times New Roman" w:eastAsia="Times New Roman" w:hAnsi="Times New Roman" w:cs="Times New Roman"/>
                <w:b/>
                <w:bCs/>
                <w:color w:val="000000"/>
                <w:sz w:val="24"/>
                <w:szCs w:val="24"/>
              </w:rPr>
              <w:t>Real Sector Block</w:t>
            </w:r>
          </w:p>
        </w:tc>
        <w:tc>
          <w:tcPr>
            <w:tcW w:w="563" w:type="pct"/>
            <w:tcBorders>
              <w:top w:val="nil"/>
              <w:left w:val="nil"/>
              <w:bottom w:val="single" w:sz="4" w:space="0" w:color="auto"/>
              <w:right w:val="single" w:sz="4" w:space="0" w:color="auto"/>
            </w:tcBorders>
            <w:shd w:val="clear" w:color="auto" w:fill="auto"/>
            <w:noWrap/>
            <w:vAlign w:val="bottom"/>
            <w:hideMark/>
          </w:tcPr>
          <w:p w14:paraId="5E294C86"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 </w:t>
            </w:r>
          </w:p>
        </w:tc>
        <w:tc>
          <w:tcPr>
            <w:tcW w:w="596" w:type="pct"/>
            <w:tcBorders>
              <w:top w:val="nil"/>
              <w:left w:val="nil"/>
              <w:bottom w:val="single" w:sz="4" w:space="0" w:color="auto"/>
              <w:right w:val="single" w:sz="4" w:space="0" w:color="auto"/>
            </w:tcBorders>
            <w:shd w:val="clear" w:color="auto" w:fill="auto"/>
            <w:noWrap/>
            <w:vAlign w:val="bottom"/>
          </w:tcPr>
          <w:p w14:paraId="71698D83"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 </w:t>
            </w:r>
          </w:p>
        </w:tc>
        <w:tc>
          <w:tcPr>
            <w:tcW w:w="665" w:type="pct"/>
            <w:tcBorders>
              <w:top w:val="nil"/>
              <w:left w:val="nil"/>
              <w:bottom w:val="single" w:sz="4" w:space="0" w:color="auto"/>
              <w:right w:val="single" w:sz="4" w:space="0" w:color="auto"/>
            </w:tcBorders>
            <w:shd w:val="clear" w:color="auto" w:fill="auto"/>
            <w:noWrap/>
            <w:vAlign w:val="bottom"/>
          </w:tcPr>
          <w:p w14:paraId="7966DCD0"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 </w:t>
            </w:r>
          </w:p>
        </w:tc>
        <w:tc>
          <w:tcPr>
            <w:tcW w:w="1068" w:type="pct"/>
            <w:tcBorders>
              <w:top w:val="nil"/>
              <w:left w:val="nil"/>
              <w:bottom w:val="single" w:sz="4" w:space="0" w:color="auto"/>
              <w:right w:val="single" w:sz="4" w:space="0" w:color="auto"/>
            </w:tcBorders>
            <w:shd w:val="clear" w:color="auto" w:fill="auto"/>
            <w:noWrap/>
          </w:tcPr>
          <w:p w14:paraId="7A320C13"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p>
        </w:tc>
      </w:tr>
      <w:tr w:rsidR="00DD0408" w:rsidRPr="003B66DB" w14:paraId="27F016E9"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noWrap/>
            <w:vAlign w:val="bottom"/>
            <w:hideMark/>
          </w:tcPr>
          <w:p w14:paraId="1F0B42C5"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Real GDP growth (%)</w:t>
            </w:r>
          </w:p>
        </w:tc>
        <w:tc>
          <w:tcPr>
            <w:tcW w:w="563" w:type="pct"/>
            <w:tcBorders>
              <w:top w:val="nil"/>
              <w:left w:val="nil"/>
              <w:bottom w:val="single" w:sz="4" w:space="0" w:color="auto"/>
              <w:right w:val="single" w:sz="4" w:space="0" w:color="auto"/>
            </w:tcBorders>
            <w:shd w:val="clear" w:color="auto" w:fill="auto"/>
            <w:noWrap/>
            <w:vAlign w:val="bottom"/>
            <w:hideMark/>
          </w:tcPr>
          <w:p w14:paraId="0E0D3CA3"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7.9</w:t>
            </w:r>
          </w:p>
        </w:tc>
        <w:tc>
          <w:tcPr>
            <w:tcW w:w="596" w:type="pct"/>
            <w:tcBorders>
              <w:top w:val="nil"/>
              <w:left w:val="nil"/>
              <w:bottom w:val="single" w:sz="4" w:space="0" w:color="auto"/>
              <w:right w:val="single" w:sz="4" w:space="0" w:color="auto"/>
            </w:tcBorders>
            <w:shd w:val="clear" w:color="auto" w:fill="auto"/>
            <w:noWrap/>
            <w:vAlign w:val="bottom"/>
          </w:tcPr>
          <w:p w14:paraId="2CDBEE1E"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5.9</w:t>
            </w:r>
          </w:p>
        </w:tc>
        <w:tc>
          <w:tcPr>
            <w:tcW w:w="665" w:type="pct"/>
            <w:tcBorders>
              <w:top w:val="nil"/>
              <w:left w:val="nil"/>
              <w:bottom w:val="single" w:sz="4" w:space="0" w:color="auto"/>
              <w:right w:val="single" w:sz="4" w:space="0" w:color="auto"/>
            </w:tcBorders>
            <w:shd w:val="clear" w:color="auto" w:fill="auto"/>
            <w:noWrap/>
            <w:vAlign w:val="bottom"/>
          </w:tcPr>
          <w:p w14:paraId="0C4AB185"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7.2</w:t>
            </w:r>
          </w:p>
        </w:tc>
        <w:tc>
          <w:tcPr>
            <w:tcW w:w="1068" w:type="pct"/>
            <w:tcBorders>
              <w:top w:val="nil"/>
              <w:left w:val="nil"/>
              <w:bottom w:val="single" w:sz="4" w:space="0" w:color="auto"/>
              <w:right w:val="single" w:sz="4" w:space="0" w:color="auto"/>
            </w:tcBorders>
            <w:shd w:val="clear" w:color="auto" w:fill="auto"/>
            <w:noWrap/>
            <w:vAlign w:val="bottom"/>
          </w:tcPr>
          <w:p w14:paraId="2888ECC5"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4.8</w:t>
            </w:r>
          </w:p>
        </w:tc>
      </w:tr>
      <w:tr w:rsidR="00DD0408" w:rsidRPr="003B66DB" w14:paraId="6CB52C22"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noWrap/>
            <w:vAlign w:val="bottom"/>
            <w:hideMark/>
          </w:tcPr>
          <w:p w14:paraId="40ABBE37"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Per Capita GDP Growth (%)</w:t>
            </w:r>
          </w:p>
        </w:tc>
        <w:tc>
          <w:tcPr>
            <w:tcW w:w="563" w:type="pct"/>
            <w:tcBorders>
              <w:top w:val="nil"/>
              <w:left w:val="nil"/>
              <w:bottom w:val="single" w:sz="4" w:space="0" w:color="auto"/>
              <w:right w:val="single" w:sz="4" w:space="0" w:color="auto"/>
            </w:tcBorders>
            <w:shd w:val="clear" w:color="auto" w:fill="auto"/>
            <w:noWrap/>
            <w:vAlign w:val="bottom"/>
            <w:hideMark/>
          </w:tcPr>
          <w:p w14:paraId="17AD0818"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 3.3</w:t>
            </w:r>
          </w:p>
        </w:tc>
        <w:tc>
          <w:tcPr>
            <w:tcW w:w="596" w:type="pct"/>
            <w:tcBorders>
              <w:top w:val="nil"/>
              <w:left w:val="nil"/>
              <w:bottom w:val="single" w:sz="4" w:space="0" w:color="auto"/>
              <w:right w:val="single" w:sz="4" w:space="0" w:color="auto"/>
            </w:tcBorders>
            <w:shd w:val="clear" w:color="auto" w:fill="auto"/>
            <w:noWrap/>
            <w:vAlign w:val="bottom"/>
          </w:tcPr>
          <w:p w14:paraId="641C3877"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 4.8</w:t>
            </w:r>
          </w:p>
        </w:tc>
        <w:tc>
          <w:tcPr>
            <w:tcW w:w="665" w:type="pct"/>
            <w:tcBorders>
              <w:top w:val="nil"/>
              <w:left w:val="nil"/>
              <w:bottom w:val="single" w:sz="4" w:space="0" w:color="auto"/>
              <w:right w:val="single" w:sz="4" w:space="0" w:color="auto"/>
            </w:tcBorders>
            <w:shd w:val="clear" w:color="auto" w:fill="auto"/>
            <w:noWrap/>
            <w:vAlign w:val="bottom"/>
          </w:tcPr>
          <w:p w14:paraId="29AF0C77"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 6.0</w:t>
            </w:r>
          </w:p>
        </w:tc>
        <w:tc>
          <w:tcPr>
            <w:tcW w:w="1068" w:type="pct"/>
            <w:tcBorders>
              <w:top w:val="nil"/>
              <w:left w:val="nil"/>
              <w:bottom w:val="single" w:sz="4" w:space="0" w:color="auto"/>
              <w:right w:val="single" w:sz="4" w:space="0" w:color="auto"/>
            </w:tcBorders>
            <w:shd w:val="clear" w:color="auto" w:fill="auto"/>
            <w:noWrap/>
          </w:tcPr>
          <w:p w14:paraId="3B7E05E6"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6.4</w:t>
            </w:r>
          </w:p>
        </w:tc>
      </w:tr>
      <w:tr w:rsidR="00DD0408" w:rsidRPr="003B66DB" w14:paraId="53C45864"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vAlign w:val="center"/>
            <w:hideMark/>
          </w:tcPr>
          <w:p w14:paraId="7D6AFD8C" w14:textId="77777777" w:rsidR="00DD0408" w:rsidRPr="003B66DB" w:rsidRDefault="00DD0408" w:rsidP="002D1CD4">
            <w:pPr>
              <w:spacing w:after="0" w:line="240" w:lineRule="auto"/>
              <w:rPr>
                <w:rFonts w:ascii="Times New Roman" w:eastAsia="Times New Roman" w:hAnsi="Times New Roman" w:cs="Times New Roman"/>
                <w:b/>
                <w:bCs/>
                <w:color w:val="000000"/>
                <w:sz w:val="24"/>
                <w:szCs w:val="24"/>
              </w:rPr>
            </w:pPr>
            <w:r w:rsidRPr="003B66DB">
              <w:rPr>
                <w:rFonts w:ascii="Times New Roman" w:eastAsia="Times New Roman" w:hAnsi="Times New Roman" w:cs="Times New Roman"/>
                <w:b/>
                <w:bCs/>
                <w:color w:val="000000"/>
                <w:sz w:val="24"/>
                <w:szCs w:val="24"/>
              </w:rPr>
              <w:t>Economic Transition</w:t>
            </w:r>
          </w:p>
        </w:tc>
        <w:tc>
          <w:tcPr>
            <w:tcW w:w="563" w:type="pct"/>
            <w:tcBorders>
              <w:top w:val="nil"/>
              <w:left w:val="nil"/>
              <w:bottom w:val="single" w:sz="4" w:space="0" w:color="auto"/>
              <w:right w:val="single" w:sz="4" w:space="0" w:color="auto"/>
            </w:tcBorders>
            <w:shd w:val="clear" w:color="auto" w:fill="auto"/>
            <w:noWrap/>
            <w:vAlign w:val="bottom"/>
            <w:hideMark/>
          </w:tcPr>
          <w:p w14:paraId="0C8DE4F7" w14:textId="77777777" w:rsidR="00DD0408" w:rsidRPr="003B66DB" w:rsidRDefault="00DD0408" w:rsidP="002D1CD4">
            <w:pPr>
              <w:spacing w:after="0" w:line="240" w:lineRule="auto"/>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 1971</w:t>
            </w:r>
          </w:p>
        </w:tc>
        <w:tc>
          <w:tcPr>
            <w:tcW w:w="596" w:type="pct"/>
            <w:tcBorders>
              <w:top w:val="nil"/>
              <w:left w:val="nil"/>
              <w:bottom w:val="single" w:sz="4" w:space="0" w:color="auto"/>
              <w:right w:val="single" w:sz="4" w:space="0" w:color="auto"/>
            </w:tcBorders>
            <w:shd w:val="clear" w:color="auto" w:fill="auto"/>
            <w:noWrap/>
            <w:vAlign w:val="bottom"/>
          </w:tcPr>
          <w:p w14:paraId="3A958A02" w14:textId="77777777" w:rsidR="00DD0408" w:rsidRPr="003B66DB" w:rsidRDefault="00DD0408" w:rsidP="002D1CD4">
            <w:pPr>
              <w:spacing w:after="0" w:line="240" w:lineRule="auto"/>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1980 </w:t>
            </w:r>
          </w:p>
        </w:tc>
        <w:tc>
          <w:tcPr>
            <w:tcW w:w="665" w:type="pct"/>
            <w:tcBorders>
              <w:top w:val="nil"/>
              <w:left w:val="nil"/>
              <w:bottom w:val="single" w:sz="4" w:space="0" w:color="auto"/>
              <w:right w:val="single" w:sz="4" w:space="0" w:color="auto"/>
            </w:tcBorders>
            <w:shd w:val="clear" w:color="auto" w:fill="auto"/>
            <w:noWrap/>
            <w:vAlign w:val="bottom"/>
          </w:tcPr>
          <w:p w14:paraId="15DC43FF" w14:textId="77777777" w:rsidR="00DD0408" w:rsidRPr="003B66DB" w:rsidRDefault="00DD0408" w:rsidP="002D1CD4">
            <w:pPr>
              <w:spacing w:after="0" w:line="240" w:lineRule="auto"/>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1990 </w:t>
            </w:r>
          </w:p>
        </w:tc>
        <w:tc>
          <w:tcPr>
            <w:tcW w:w="1068" w:type="pct"/>
            <w:tcBorders>
              <w:top w:val="nil"/>
              <w:left w:val="nil"/>
              <w:bottom w:val="single" w:sz="4" w:space="0" w:color="auto"/>
              <w:right w:val="single" w:sz="4" w:space="0" w:color="auto"/>
            </w:tcBorders>
            <w:shd w:val="clear" w:color="auto" w:fill="auto"/>
            <w:noWrap/>
          </w:tcPr>
          <w:p w14:paraId="3E295C3D" w14:textId="77777777" w:rsidR="00DD0408" w:rsidRPr="003B66DB" w:rsidRDefault="00DD0408" w:rsidP="002D1CD4">
            <w:pPr>
              <w:spacing w:after="0" w:line="240" w:lineRule="auto"/>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2000</w:t>
            </w:r>
          </w:p>
        </w:tc>
      </w:tr>
      <w:tr w:rsidR="00DD0408" w:rsidRPr="003B66DB" w14:paraId="745B67D6"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noWrap/>
            <w:vAlign w:val="bottom"/>
            <w:hideMark/>
          </w:tcPr>
          <w:p w14:paraId="2E7FD211"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Agriculture share of GDP (%)</w:t>
            </w:r>
          </w:p>
        </w:tc>
        <w:tc>
          <w:tcPr>
            <w:tcW w:w="563" w:type="pct"/>
            <w:tcBorders>
              <w:top w:val="nil"/>
              <w:left w:val="nil"/>
              <w:bottom w:val="single" w:sz="4" w:space="0" w:color="auto"/>
              <w:right w:val="single" w:sz="4" w:space="0" w:color="auto"/>
            </w:tcBorders>
            <w:shd w:val="clear" w:color="auto" w:fill="auto"/>
            <w:noWrap/>
            <w:vAlign w:val="bottom"/>
          </w:tcPr>
          <w:p w14:paraId="78AA9291"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28.4</w:t>
            </w:r>
          </w:p>
        </w:tc>
        <w:tc>
          <w:tcPr>
            <w:tcW w:w="596" w:type="pct"/>
            <w:tcBorders>
              <w:top w:val="nil"/>
              <w:left w:val="nil"/>
              <w:bottom w:val="single" w:sz="4" w:space="0" w:color="auto"/>
              <w:right w:val="single" w:sz="4" w:space="0" w:color="auto"/>
            </w:tcBorders>
            <w:shd w:val="clear" w:color="auto" w:fill="auto"/>
            <w:noWrap/>
            <w:vAlign w:val="bottom"/>
          </w:tcPr>
          <w:p w14:paraId="42C5ADF3"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23.0</w:t>
            </w:r>
          </w:p>
        </w:tc>
        <w:tc>
          <w:tcPr>
            <w:tcW w:w="665" w:type="pct"/>
            <w:tcBorders>
              <w:top w:val="nil"/>
              <w:left w:val="nil"/>
              <w:bottom w:val="single" w:sz="4" w:space="0" w:color="auto"/>
              <w:right w:val="single" w:sz="4" w:space="0" w:color="auto"/>
            </w:tcBorders>
            <w:shd w:val="clear" w:color="auto" w:fill="auto"/>
            <w:noWrap/>
            <w:vAlign w:val="bottom"/>
          </w:tcPr>
          <w:p w14:paraId="34AF250F"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15.2</w:t>
            </w:r>
          </w:p>
        </w:tc>
        <w:tc>
          <w:tcPr>
            <w:tcW w:w="1068" w:type="pct"/>
            <w:tcBorders>
              <w:top w:val="nil"/>
              <w:left w:val="nil"/>
              <w:bottom w:val="single" w:sz="4" w:space="0" w:color="auto"/>
              <w:right w:val="single" w:sz="4" w:space="0" w:color="auto"/>
            </w:tcBorders>
            <w:shd w:val="clear" w:color="auto" w:fill="auto"/>
            <w:noWrap/>
          </w:tcPr>
          <w:p w14:paraId="3E2D8BDD"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8.6</w:t>
            </w:r>
          </w:p>
        </w:tc>
      </w:tr>
      <w:tr w:rsidR="00DD0408" w:rsidRPr="003B66DB" w14:paraId="393089E1"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noWrap/>
            <w:vAlign w:val="bottom"/>
            <w:hideMark/>
          </w:tcPr>
          <w:p w14:paraId="71AB72AD"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Industry Share of GDP (%)</w:t>
            </w:r>
          </w:p>
        </w:tc>
        <w:tc>
          <w:tcPr>
            <w:tcW w:w="563" w:type="pct"/>
            <w:tcBorders>
              <w:top w:val="nil"/>
              <w:left w:val="nil"/>
              <w:bottom w:val="single" w:sz="4" w:space="0" w:color="auto"/>
              <w:right w:val="single" w:sz="4" w:space="0" w:color="auto"/>
            </w:tcBorders>
            <w:shd w:val="clear" w:color="auto" w:fill="auto"/>
            <w:noWrap/>
            <w:vAlign w:val="bottom"/>
          </w:tcPr>
          <w:p w14:paraId="595B5374"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30.5</w:t>
            </w:r>
          </w:p>
        </w:tc>
        <w:tc>
          <w:tcPr>
            <w:tcW w:w="596" w:type="pct"/>
            <w:tcBorders>
              <w:top w:val="nil"/>
              <w:left w:val="nil"/>
              <w:bottom w:val="single" w:sz="4" w:space="0" w:color="auto"/>
              <w:right w:val="single" w:sz="4" w:space="0" w:color="auto"/>
            </w:tcBorders>
            <w:shd w:val="clear" w:color="auto" w:fill="auto"/>
            <w:noWrap/>
            <w:vAlign w:val="bottom"/>
          </w:tcPr>
          <w:p w14:paraId="1F9D65AE"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41.8</w:t>
            </w:r>
          </w:p>
        </w:tc>
        <w:tc>
          <w:tcPr>
            <w:tcW w:w="665" w:type="pct"/>
            <w:tcBorders>
              <w:top w:val="nil"/>
              <w:left w:val="nil"/>
              <w:bottom w:val="single" w:sz="4" w:space="0" w:color="auto"/>
              <w:right w:val="single" w:sz="4" w:space="0" w:color="auto"/>
            </w:tcBorders>
            <w:shd w:val="clear" w:color="auto" w:fill="auto"/>
            <w:noWrap/>
            <w:vAlign w:val="bottom"/>
          </w:tcPr>
          <w:p w14:paraId="74528432"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42.2</w:t>
            </w:r>
          </w:p>
        </w:tc>
        <w:tc>
          <w:tcPr>
            <w:tcW w:w="1068" w:type="pct"/>
            <w:tcBorders>
              <w:top w:val="nil"/>
              <w:left w:val="nil"/>
              <w:bottom w:val="single" w:sz="4" w:space="0" w:color="auto"/>
              <w:right w:val="single" w:sz="4" w:space="0" w:color="auto"/>
            </w:tcBorders>
            <w:shd w:val="clear" w:color="auto" w:fill="auto"/>
            <w:noWrap/>
          </w:tcPr>
          <w:p w14:paraId="1CA67704"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48.3</w:t>
            </w:r>
          </w:p>
        </w:tc>
      </w:tr>
      <w:tr w:rsidR="00DD0408" w:rsidRPr="003B66DB" w14:paraId="76C33280"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noWrap/>
            <w:vAlign w:val="bottom"/>
            <w:hideMark/>
          </w:tcPr>
          <w:p w14:paraId="162643C6"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Service Share of GDP (%)</w:t>
            </w:r>
          </w:p>
        </w:tc>
        <w:tc>
          <w:tcPr>
            <w:tcW w:w="563" w:type="pct"/>
            <w:tcBorders>
              <w:top w:val="nil"/>
              <w:left w:val="nil"/>
              <w:bottom w:val="single" w:sz="4" w:space="0" w:color="auto"/>
              <w:right w:val="single" w:sz="4" w:space="0" w:color="auto"/>
            </w:tcBorders>
            <w:shd w:val="clear" w:color="auto" w:fill="auto"/>
            <w:noWrap/>
            <w:vAlign w:val="bottom"/>
          </w:tcPr>
          <w:p w14:paraId="5502BDE6"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41.1</w:t>
            </w:r>
          </w:p>
        </w:tc>
        <w:tc>
          <w:tcPr>
            <w:tcW w:w="596" w:type="pct"/>
            <w:tcBorders>
              <w:top w:val="nil"/>
              <w:left w:val="nil"/>
              <w:bottom w:val="single" w:sz="4" w:space="0" w:color="auto"/>
              <w:right w:val="single" w:sz="4" w:space="0" w:color="auto"/>
            </w:tcBorders>
            <w:shd w:val="clear" w:color="auto" w:fill="auto"/>
            <w:noWrap/>
            <w:vAlign w:val="bottom"/>
          </w:tcPr>
          <w:p w14:paraId="653BF885"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35.2</w:t>
            </w:r>
          </w:p>
        </w:tc>
        <w:tc>
          <w:tcPr>
            <w:tcW w:w="665" w:type="pct"/>
            <w:tcBorders>
              <w:top w:val="nil"/>
              <w:left w:val="nil"/>
              <w:bottom w:val="single" w:sz="4" w:space="0" w:color="auto"/>
              <w:right w:val="single" w:sz="4" w:space="0" w:color="auto"/>
            </w:tcBorders>
            <w:shd w:val="clear" w:color="auto" w:fill="auto"/>
            <w:noWrap/>
            <w:vAlign w:val="bottom"/>
          </w:tcPr>
          <w:p w14:paraId="48B9E999"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42.6</w:t>
            </w:r>
          </w:p>
        </w:tc>
        <w:tc>
          <w:tcPr>
            <w:tcW w:w="1068" w:type="pct"/>
            <w:tcBorders>
              <w:top w:val="nil"/>
              <w:left w:val="nil"/>
              <w:bottom w:val="single" w:sz="4" w:space="0" w:color="auto"/>
              <w:right w:val="single" w:sz="4" w:space="0" w:color="auto"/>
            </w:tcBorders>
            <w:shd w:val="clear" w:color="auto" w:fill="auto"/>
            <w:noWrap/>
          </w:tcPr>
          <w:p w14:paraId="1F435FE9"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43.1</w:t>
            </w:r>
          </w:p>
        </w:tc>
      </w:tr>
      <w:tr w:rsidR="00DD0408" w:rsidRPr="003B66DB" w14:paraId="50F546D8"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vAlign w:val="bottom"/>
            <w:hideMark/>
          </w:tcPr>
          <w:p w14:paraId="397555EE"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Investment rate (%)</w:t>
            </w:r>
          </w:p>
        </w:tc>
        <w:tc>
          <w:tcPr>
            <w:tcW w:w="563" w:type="pct"/>
            <w:tcBorders>
              <w:top w:val="nil"/>
              <w:left w:val="nil"/>
              <w:bottom w:val="single" w:sz="4" w:space="0" w:color="auto"/>
              <w:right w:val="single" w:sz="4" w:space="0" w:color="auto"/>
            </w:tcBorders>
            <w:shd w:val="clear" w:color="auto" w:fill="auto"/>
            <w:noWrap/>
            <w:vAlign w:val="bottom"/>
          </w:tcPr>
          <w:p w14:paraId="656E67FF"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21.5</w:t>
            </w:r>
          </w:p>
        </w:tc>
        <w:tc>
          <w:tcPr>
            <w:tcW w:w="596" w:type="pct"/>
            <w:tcBorders>
              <w:top w:val="nil"/>
              <w:left w:val="nil"/>
              <w:bottom w:val="single" w:sz="4" w:space="0" w:color="auto"/>
              <w:right w:val="single" w:sz="4" w:space="0" w:color="auto"/>
            </w:tcBorders>
            <w:shd w:val="clear" w:color="auto" w:fill="auto"/>
            <w:noWrap/>
            <w:vAlign w:val="bottom"/>
          </w:tcPr>
          <w:p w14:paraId="579887FD"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27.9</w:t>
            </w:r>
          </w:p>
        </w:tc>
        <w:tc>
          <w:tcPr>
            <w:tcW w:w="665" w:type="pct"/>
            <w:tcBorders>
              <w:top w:val="nil"/>
              <w:left w:val="nil"/>
              <w:bottom w:val="single" w:sz="4" w:space="0" w:color="auto"/>
              <w:right w:val="single" w:sz="4" w:space="0" w:color="auto"/>
            </w:tcBorders>
            <w:shd w:val="clear" w:color="auto" w:fill="auto"/>
            <w:noWrap/>
            <w:vAlign w:val="bottom"/>
          </w:tcPr>
          <w:p w14:paraId="11A5D366"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32.6</w:t>
            </w:r>
          </w:p>
        </w:tc>
        <w:tc>
          <w:tcPr>
            <w:tcW w:w="1068" w:type="pct"/>
            <w:tcBorders>
              <w:top w:val="nil"/>
              <w:left w:val="nil"/>
              <w:bottom w:val="single" w:sz="4" w:space="0" w:color="auto"/>
              <w:right w:val="single" w:sz="4" w:space="0" w:color="auto"/>
            </w:tcBorders>
            <w:shd w:val="clear" w:color="auto" w:fill="auto"/>
            <w:noWrap/>
          </w:tcPr>
          <w:p w14:paraId="21ABA568"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26.8</w:t>
            </w:r>
          </w:p>
        </w:tc>
      </w:tr>
      <w:tr w:rsidR="00DD0408" w:rsidRPr="003B66DB" w14:paraId="784FC2D7"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vAlign w:val="bottom"/>
            <w:hideMark/>
          </w:tcPr>
          <w:p w14:paraId="6CABB1EB"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ICOR</w:t>
            </w:r>
          </w:p>
        </w:tc>
        <w:tc>
          <w:tcPr>
            <w:tcW w:w="563" w:type="pct"/>
            <w:tcBorders>
              <w:top w:val="nil"/>
              <w:left w:val="nil"/>
              <w:bottom w:val="single" w:sz="4" w:space="0" w:color="auto"/>
              <w:right w:val="single" w:sz="4" w:space="0" w:color="auto"/>
            </w:tcBorders>
            <w:shd w:val="clear" w:color="auto" w:fill="auto"/>
            <w:noWrap/>
            <w:vAlign w:val="bottom"/>
          </w:tcPr>
          <w:p w14:paraId="11D58254"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p>
        </w:tc>
        <w:tc>
          <w:tcPr>
            <w:tcW w:w="596" w:type="pct"/>
            <w:tcBorders>
              <w:top w:val="nil"/>
              <w:left w:val="nil"/>
              <w:bottom w:val="single" w:sz="4" w:space="0" w:color="auto"/>
              <w:right w:val="single" w:sz="4" w:space="0" w:color="auto"/>
            </w:tcBorders>
            <w:shd w:val="clear" w:color="auto" w:fill="auto"/>
            <w:noWrap/>
            <w:vAlign w:val="bottom"/>
          </w:tcPr>
          <w:p w14:paraId="46F59107"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p>
        </w:tc>
        <w:tc>
          <w:tcPr>
            <w:tcW w:w="665" w:type="pct"/>
            <w:tcBorders>
              <w:top w:val="nil"/>
              <w:left w:val="nil"/>
              <w:bottom w:val="single" w:sz="4" w:space="0" w:color="auto"/>
              <w:right w:val="single" w:sz="4" w:space="0" w:color="auto"/>
            </w:tcBorders>
            <w:shd w:val="clear" w:color="auto" w:fill="auto"/>
            <w:noWrap/>
            <w:vAlign w:val="bottom"/>
          </w:tcPr>
          <w:p w14:paraId="55C9A271"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p>
        </w:tc>
        <w:tc>
          <w:tcPr>
            <w:tcW w:w="1068" w:type="pct"/>
            <w:tcBorders>
              <w:top w:val="nil"/>
              <w:left w:val="nil"/>
              <w:bottom w:val="single" w:sz="4" w:space="0" w:color="auto"/>
              <w:right w:val="single" w:sz="4" w:space="0" w:color="auto"/>
            </w:tcBorders>
            <w:shd w:val="clear" w:color="auto" w:fill="auto"/>
            <w:noWrap/>
          </w:tcPr>
          <w:p w14:paraId="3369AE48"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3.5</w:t>
            </w:r>
          </w:p>
        </w:tc>
      </w:tr>
      <w:tr w:rsidR="00DD0408" w:rsidRPr="003B66DB" w14:paraId="38CE69CA"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vAlign w:val="center"/>
            <w:hideMark/>
          </w:tcPr>
          <w:p w14:paraId="26F2A546"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Saving rate (%)</w:t>
            </w:r>
          </w:p>
        </w:tc>
        <w:tc>
          <w:tcPr>
            <w:tcW w:w="563" w:type="pct"/>
            <w:tcBorders>
              <w:top w:val="nil"/>
              <w:left w:val="nil"/>
              <w:bottom w:val="single" w:sz="4" w:space="0" w:color="auto"/>
              <w:right w:val="single" w:sz="4" w:space="0" w:color="auto"/>
            </w:tcBorders>
            <w:shd w:val="clear" w:color="auto" w:fill="auto"/>
            <w:noWrap/>
            <w:vAlign w:val="bottom"/>
          </w:tcPr>
          <w:p w14:paraId="45BB28F3"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p>
        </w:tc>
        <w:tc>
          <w:tcPr>
            <w:tcW w:w="596" w:type="pct"/>
            <w:tcBorders>
              <w:top w:val="nil"/>
              <w:left w:val="nil"/>
              <w:bottom w:val="single" w:sz="4" w:space="0" w:color="auto"/>
              <w:right w:val="single" w:sz="4" w:space="0" w:color="auto"/>
            </w:tcBorders>
            <w:shd w:val="clear" w:color="auto" w:fill="auto"/>
            <w:noWrap/>
            <w:vAlign w:val="bottom"/>
          </w:tcPr>
          <w:p w14:paraId="381EC6CC"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26.8</w:t>
            </w:r>
          </w:p>
        </w:tc>
        <w:tc>
          <w:tcPr>
            <w:tcW w:w="665" w:type="pct"/>
            <w:tcBorders>
              <w:top w:val="nil"/>
              <w:left w:val="nil"/>
              <w:bottom w:val="single" w:sz="4" w:space="0" w:color="auto"/>
              <w:right w:val="single" w:sz="4" w:space="0" w:color="auto"/>
            </w:tcBorders>
            <w:shd w:val="clear" w:color="auto" w:fill="auto"/>
            <w:noWrap/>
            <w:vAlign w:val="bottom"/>
          </w:tcPr>
          <w:p w14:paraId="0FBD55C1"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30.4</w:t>
            </w:r>
          </w:p>
        </w:tc>
        <w:tc>
          <w:tcPr>
            <w:tcW w:w="1068" w:type="pct"/>
            <w:tcBorders>
              <w:top w:val="nil"/>
              <w:left w:val="nil"/>
              <w:bottom w:val="single" w:sz="4" w:space="0" w:color="auto"/>
              <w:right w:val="single" w:sz="4" w:space="0" w:color="auto"/>
            </w:tcBorders>
            <w:shd w:val="clear" w:color="auto" w:fill="auto"/>
            <w:noWrap/>
          </w:tcPr>
          <w:p w14:paraId="6D8F9830"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35.9</w:t>
            </w:r>
          </w:p>
        </w:tc>
      </w:tr>
      <w:tr w:rsidR="00DD0408" w:rsidRPr="003B66DB" w14:paraId="3E9A1C38" w14:textId="77777777" w:rsidTr="00A51CF0">
        <w:trPr>
          <w:trHeight w:val="25"/>
          <w:jc w:val="center"/>
        </w:trPr>
        <w:tc>
          <w:tcPr>
            <w:tcW w:w="2108" w:type="pct"/>
            <w:tcBorders>
              <w:top w:val="single" w:sz="4" w:space="0" w:color="auto"/>
              <w:left w:val="single" w:sz="4" w:space="0" w:color="auto"/>
              <w:bottom w:val="single" w:sz="4" w:space="0" w:color="auto"/>
              <w:right w:val="single" w:sz="4" w:space="0" w:color="auto"/>
            </w:tcBorders>
            <w:shd w:val="clear" w:color="auto" w:fill="auto"/>
            <w:vAlign w:val="bottom"/>
          </w:tcPr>
          <w:p w14:paraId="61BD4A11"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GNI Per Capita</w:t>
            </w:r>
          </w:p>
        </w:tc>
        <w:tc>
          <w:tcPr>
            <w:tcW w:w="563" w:type="pct"/>
            <w:tcBorders>
              <w:top w:val="single" w:sz="4" w:space="0" w:color="auto"/>
              <w:left w:val="nil"/>
              <w:bottom w:val="single" w:sz="4" w:space="0" w:color="auto"/>
              <w:right w:val="single" w:sz="4" w:space="0" w:color="auto"/>
            </w:tcBorders>
            <w:shd w:val="clear" w:color="auto" w:fill="auto"/>
            <w:noWrap/>
            <w:vAlign w:val="bottom"/>
          </w:tcPr>
          <w:p w14:paraId="35CF464B"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2006</w:t>
            </w:r>
          </w:p>
        </w:tc>
        <w:tc>
          <w:tcPr>
            <w:tcW w:w="596" w:type="pct"/>
            <w:tcBorders>
              <w:top w:val="single" w:sz="4" w:space="0" w:color="auto"/>
              <w:left w:val="nil"/>
              <w:bottom w:val="single" w:sz="4" w:space="0" w:color="auto"/>
              <w:right w:val="single" w:sz="4" w:space="0" w:color="auto"/>
            </w:tcBorders>
            <w:shd w:val="clear" w:color="auto" w:fill="auto"/>
            <w:noWrap/>
            <w:vAlign w:val="bottom"/>
          </w:tcPr>
          <w:p w14:paraId="6BC87619"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3199</w:t>
            </w:r>
          </w:p>
        </w:tc>
        <w:tc>
          <w:tcPr>
            <w:tcW w:w="665" w:type="pct"/>
            <w:tcBorders>
              <w:top w:val="single" w:sz="4" w:space="0" w:color="auto"/>
              <w:left w:val="nil"/>
              <w:bottom w:val="single" w:sz="4" w:space="0" w:color="auto"/>
              <w:right w:val="single" w:sz="4" w:space="0" w:color="auto"/>
            </w:tcBorders>
            <w:shd w:val="clear" w:color="auto" w:fill="auto"/>
            <w:noWrap/>
            <w:vAlign w:val="bottom"/>
          </w:tcPr>
          <w:p w14:paraId="04678888"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4359</w:t>
            </w:r>
          </w:p>
        </w:tc>
        <w:tc>
          <w:tcPr>
            <w:tcW w:w="1068" w:type="pct"/>
            <w:tcBorders>
              <w:top w:val="single" w:sz="4" w:space="0" w:color="auto"/>
              <w:left w:val="nil"/>
              <w:bottom w:val="single" w:sz="4" w:space="0" w:color="auto"/>
              <w:right w:val="single" w:sz="4" w:space="0" w:color="auto"/>
            </w:tcBorders>
            <w:shd w:val="clear" w:color="auto" w:fill="auto"/>
            <w:noWrap/>
          </w:tcPr>
          <w:p w14:paraId="12ED8F2B"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6470</w:t>
            </w:r>
          </w:p>
        </w:tc>
      </w:tr>
      <w:tr w:rsidR="00DD0408" w:rsidRPr="003B66DB" w14:paraId="6963AD7D" w14:textId="77777777" w:rsidTr="00A51CF0">
        <w:trPr>
          <w:trHeight w:val="25"/>
          <w:jc w:val="center"/>
        </w:trPr>
        <w:tc>
          <w:tcPr>
            <w:tcW w:w="4758" w:type="pct"/>
            <w:gridSpan w:val="5"/>
            <w:tcBorders>
              <w:bottom w:val="single" w:sz="4" w:space="0" w:color="auto"/>
            </w:tcBorders>
            <w:shd w:val="clear" w:color="auto" w:fill="auto"/>
            <w:noWrap/>
            <w:vAlign w:val="bottom"/>
          </w:tcPr>
          <w:p w14:paraId="393961A4" w14:textId="50CDABE9" w:rsidR="00DD0408" w:rsidRPr="003B66DB" w:rsidRDefault="00970527" w:rsidP="002D1CD4">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bCs/>
                <w:color w:val="000000"/>
                <w:sz w:val="24"/>
                <w:szCs w:val="24"/>
              </w:rPr>
              <w:lastRenderedPageBreak/>
              <w:t>Table-A4:</w:t>
            </w:r>
            <w:r w:rsidR="00DD0408" w:rsidRPr="003B66DB">
              <w:rPr>
                <w:rFonts w:ascii="Times New Roman" w:eastAsia="Times New Roman" w:hAnsi="Times New Roman" w:cs="Times New Roman"/>
                <w:b/>
                <w:bCs/>
                <w:color w:val="000000"/>
                <w:sz w:val="24"/>
                <w:szCs w:val="24"/>
              </w:rPr>
              <w:t xml:space="preserve">  Thailand: Key Growth Drivers During Transition From Lower Middle Income(LMYC) to Upper Middle Income(UMYC) and Beyond</w:t>
            </w:r>
          </w:p>
        </w:tc>
      </w:tr>
      <w:tr w:rsidR="00DD0408" w:rsidRPr="003B66DB" w14:paraId="74EF6306" w14:textId="77777777" w:rsidTr="00A51CF0">
        <w:trPr>
          <w:trHeight w:val="25"/>
          <w:jc w:val="center"/>
        </w:trPr>
        <w:tc>
          <w:tcPr>
            <w:tcW w:w="21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3773E"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Economic Indicator</w:t>
            </w:r>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14:paraId="10024F68" w14:textId="77777777" w:rsidR="00DD0408" w:rsidRPr="003B66DB" w:rsidRDefault="00DD0408" w:rsidP="002D1CD4">
            <w:pPr>
              <w:spacing w:after="0" w:line="240" w:lineRule="auto"/>
              <w:jc w:val="center"/>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1970s</w:t>
            </w:r>
          </w:p>
        </w:tc>
        <w:tc>
          <w:tcPr>
            <w:tcW w:w="596" w:type="pct"/>
            <w:tcBorders>
              <w:top w:val="single" w:sz="4" w:space="0" w:color="auto"/>
              <w:left w:val="nil"/>
              <w:bottom w:val="single" w:sz="4" w:space="0" w:color="auto"/>
              <w:right w:val="single" w:sz="4" w:space="0" w:color="auto"/>
            </w:tcBorders>
            <w:shd w:val="clear" w:color="auto" w:fill="auto"/>
            <w:noWrap/>
            <w:vAlign w:val="bottom"/>
          </w:tcPr>
          <w:p w14:paraId="43AD0001" w14:textId="77777777" w:rsidR="00DD0408" w:rsidRPr="003B66DB" w:rsidRDefault="00DD0408" w:rsidP="002D1CD4">
            <w:pPr>
              <w:spacing w:after="0" w:line="240" w:lineRule="auto"/>
              <w:jc w:val="center"/>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1980s</w:t>
            </w:r>
          </w:p>
        </w:tc>
        <w:tc>
          <w:tcPr>
            <w:tcW w:w="665" w:type="pct"/>
            <w:tcBorders>
              <w:top w:val="single" w:sz="4" w:space="0" w:color="auto"/>
              <w:left w:val="nil"/>
              <w:bottom w:val="single" w:sz="4" w:space="0" w:color="auto"/>
              <w:right w:val="single" w:sz="4" w:space="0" w:color="auto"/>
            </w:tcBorders>
            <w:shd w:val="clear" w:color="auto" w:fill="auto"/>
            <w:noWrap/>
            <w:vAlign w:val="bottom"/>
          </w:tcPr>
          <w:p w14:paraId="5EE5FB2E" w14:textId="77777777" w:rsidR="00DD0408" w:rsidRPr="003B66DB" w:rsidRDefault="00DD0408" w:rsidP="002D1CD4">
            <w:pPr>
              <w:spacing w:after="0" w:line="240" w:lineRule="auto"/>
              <w:jc w:val="center"/>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1990s</w:t>
            </w:r>
          </w:p>
        </w:tc>
        <w:tc>
          <w:tcPr>
            <w:tcW w:w="826" w:type="pct"/>
            <w:tcBorders>
              <w:top w:val="single" w:sz="4" w:space="0" w:color="auto"/>
              <w:left w:val="nil"/>
              <w:bottom w:val="single" w:sz="4" w:space="0" w:color="auto"/>
              <w:right w:val="single" w:sz="4" w:space="0" w:color="auto"/>
            </w:tcBorders>
            <w:shd w:val="clear" w:color="auto" w:fill="auto"/>
            <w:noWrap/>
          </w:tcPr>
          <w:p w14:paraId="37E2053A" w14:textId="77777777" w:rsidR="00DD0408" w:rsidRPr="003B66DB" w:rsidRDefault="00DD0408" w:rsidP="002D1CD4">
            <w:pPr>
              <w:spacing w:after="0" w:line="240" w:lineRule="auto"/>
              <w:jc w:val="center"/>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2000s</w:t>
            </w:r>
          </w:p>
        </w:tc>
      </w:tr>
      <w:tr w:rsidR="00DD0408" w:rsidRPr="003B66DB" w14:paraId="3141780B"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noWrap/>
            <w:vAlign w:val="bottom"/>
            <w:hideMark/>
          </w:tcPr>
          <w:p w14:paraId="1EB6DF08" w14:textId="77777777" w:rsidR="00DD0408" w:rsidRPr="003B66DB" w:rsidRDefault="00DD0408" w:rsidP="002D1CD4">
            <w:pPr>
              <w:spacing w:after="0" w:line="240" w:lineRule="auto"/>
              <w:rPr>
                <w:rFonts w:ascii="Times New Roman" w:eastAsia="Times New Roman" w:hAnsi="Times New Roman" w:cs="Times New Roman"/>
                <w:b/>
                <w:bCs/>
                <w:color w:val="000000"/>
                <w:sz w:val="24"/>
                <w:szCs w:val="24"/>
              </w:rPr>
            </w:pPr>
            <w:r w:rsidRPr="003B66DB">
              <w:rPr>
                <w:rFonts w:ascii="Times New Roman" w:eastAsia="Times New Roman" w:hAnsi="Times New Roman" w:cs="Times New Roman"/>
                <w:b/>
                <w:bCs/>
                <w:color w:val="000000"/>
                <w:sz w:val="24"/>
                <w:szCs w:val="24"/>
              </w:rPr>
              <w:t>Real Sector Block</w:t>
            </w:r>
          </w:p>
        </w:tc>
        <w:tc>
          <w:tcPr>
            <w:tcW w:w="563" w:type="pct"/>
            <w:tcBorders>
              <w:top w:val="nil"/>
              <w:left w:val="nil"/>
              <w:bottom w:val="single" w:sz="4" w:space="0" w:color="auto"/>
              <w:right w:val="single" w:sz="4" w:space="0" w:color="auto"/>
            </w:tcBorders>
            <w:shd w:val="clear" w:color="auto" w:fill="auto"/>
            <w:noWrap/>
            <w:vAlign w:val="bottom"/>
            <w:hideMark/>
          </w:tcPr>
          <w:p w14:paraId="68970780"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 </w:t>
            </w:r>
          </w:p>
        </w:tc>
        <w:tc>
          <w:tcPr>
            <w:tcW w:w="596" w:type="pct"/>
            <w:tcBorders>
              <w:top w:val="nil"/>
              <w:left w:val="nil"/>
              <w:bottom w:val="single" w:sz="4" w:space="0" w:color="auto"/>
              <w:right w:val="single" w:sz="4" w:space="0" w:color="auto"/>
            </w:tcBorders>
            <w:shd w:val="clear" w:color="auto" w:fill="auto"/>
            <w:noWrap/>
            <w:vAlign w:val="bottom"/>
          </w:tcPr>
          <w:p w14:paraId="0507B24A"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 </w:t>
            </w:r>
          </w:p>
        </w:tc>
        <w:tc>
          <w:tcPr>
            <w:tcW w:w="665" w:type="pct"/>
            <w:tcBorders>
              <w:top w:val="nil"/>
              <w:left w:val="nil"/>
              <w:bottom w:val="single" w:sz="4" w:space="0" w:color="auto"/>
              <w:right w:val="single" w:sz="4" w:space="0" w:color="auto"/>
            </w:tcBorders>
            <w:shd w:val="clear" w:color="auto" w:fill="auto"/>
            <w:noWrap/>
            <w:vAlign w:val="bottom"/>
          </w:tcPr>
          <w:p w14:paraId="134F6CDE"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 </w:t>
            </w:r>
          </w:p>
        </w:tc>
        <w:tc>
          <w:tcPr>
            <w:tcW w:w="826" w:type="pct"/>
            <w:tcBorders>
              <w:top w:val="nil"/>
              <w:left w:val="nil"/>
              <w:bottom w:val="single" w:sz="4" w:space="0" w:color="auto"/>
              <w:right w:val="single" w:sz="4" w:space="0" w:color="auto"/>
            </w:tcBorders>
            <w:shd w:val="clear" w:color="auto" w:fill="auto"/>
            <w:noWrap/>
          </w:tcPr>
          <w:p w14:paraId="69104C06"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p>
        </w:tc>
      </w:tr>
      <w:tr w:rsidR="00DD0408" w:rsidRPr="003B66DB" w14:paraId="30E2CE81"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noWrap/>
            <w:vAlign w:val="bottom"/>
            <w:hideMark/>
          </w:tcPr>
          <w:p w14:paraId="37A70D1F"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Real GDP growth (%)</w:t>
            </w:r>
          </w:p>
        </w:tc>
        <w:tc>
          <w:tcPr>
            <w:tcW w:w="563" w:type="pct"/>
            <w:tcBorders>
              <w:top w:val="nil"/>
              <w:left w:val="nil"/>
              <w:bottom w:val="single" w:sz="4" w:space="0" w:color="auto"/>
              <w:right w:val="single" w:sz="4" w:space="0" w:color="auto"/>
            </w:tcBorders>
            <w:shd w:val="clear" w:color="auto" w:fill="auto"/>
            <w:noWrap/>
            <w:vAlign w:val="bottom"/>
          </w:tcPr>
          <w:p w14:paraId="1EAF30E9"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7.1</w:t>
            </w:r>
          </w:p>
        </w:tc>
        <w:tc>
          <w:tcPr>
            <w:tcW w:w="596" w:type="pct"/>
            <w:tcBorders>
              <w:top w:val="nil"/>
              <w:left w:val="nil"/>
              <w:bottom w:val="single" w:sz="4" w:space="0" w:color="auto"/>
              <w:right w:val="single" w:sz="4" w:space="0" w:color="auto"/>
            </w:tcBorders>
            <w:shd w:val="clear" w:color="auto" w:fill="auto"/>
            <w:noWrap/>
            <w:vAlign w:val="bottom"/>
          </w:tcPr>
          <w:p w14:paraId="41F41B88"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7.3</w:t>
            </w:r>
          </w:p>
        </w:tc>
        <w:tc>
          <w:tcPr>
            <w:tcW w:w="665" w:type="pct"/>
            <w:tcBorders>
              <w:top w:val="nil"/>
              <w:left w:val="nil"/>
              <w:bottom w:val="single" w:sz="4" w:space="0" w:color="auto"/>
              <w:right w:val="single" w:sz="4" w:space="0" w:color="auto"/>
            </w:tcBorders>
            <w:shd w:val="clear" w:color="auto" w:fill="auto"/>
            <w:noWrap/>
            <w:vAlign w:val="bottom"/>
          </w:tcPr>
          <w:p w14:paraId="4CD115C9"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5.2</w:t>
            </w:r>
          </w:p>
        </w:tc>
        <w:tc>
          <w:tcPr>
            <w:tcW w:w="826" w:type="pct"/>
            <w:tcBorders>
              <w:top w:val="nil"/>
              <w:left w:val="nil"/>
              <w:bottom w:val="single" w:sz="4" w:space="0" w:color="auto"/>
              <w:right w:val="single" w:sz="4" w:space="0" w:color="auto"/>
            </w:tcBorders>
            <w:shd w:val="clear" w:color="auto" w:fill="auto"/>
            <w:noWrap/>
          </w:tcPr>
          <w:p w14:paraId="0C3D90A5"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4.3</w:t>
            </w:r>
          </w:p>
        </w:tc>
      </w:tr>
      <w:tr w:rsidR="00DD0408" w:rsidRPr="003B66DB" w14:paraId="76F0B1E9"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noWrap/>
            <w:vAlign w:val="bottom"/>
            <w:hideMark/>
          </w:tcPr>
          <w:p w14:paraId="0818E60F"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Per Capita GDP Growth (%)</w:t>
            </w:r>
          </w:p>
        </w:tc>
        <w:tc>
          <w:tcPr>
            <w:tcW w:w="563" w:type="pct"/>
            <w:tcBorders>
              <w:top w:val="nil"/>
              <w:left w:val="nil"/>
              <w:bottom w:val="single" w:sz="4" w:space="0" w:color="auto"/>
              <w:right w:val="single" w:sz="4" w:space="0" w:color="auto"/>
            </w:tcBorders>
            <w:shd w:val="clear" w:color="auto" w:fill="auto"/>
            <w:noWrap/>
            <w:vAlign w:val="bottom"/>
            <w:hideMark/>
          </w:tcPr>
          <w:p w14:paraId="3E3E93F5"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 1.9</w:t>
            </w:r>
          </w:p>
        </w:tc>
        <w:tc>
          <w:tcPr>
            <w:tcW w:w="596" w:type="pct"/>
            <w:tcBorders>
              <w:top w:val="nil"/>
              <w:left w:val="nil"/>
              <w:bottom w:val="single" w:sz="4" w:space="0" w:color="auto"/>
              <w:right w:val="single" w:sz="4" w:space="0" w:color="auto"/>
            </w:tcBorders>
            <w:shd w:val="clear" w:color="auto" w:fill="auto"/>
            <w:noWrap/>
            <w:vAlign w:val="bottom"/>
          </w:tcPr>
          <w:p w14:paraId="01BEF4ED"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3.0 </w:t>
            </w:r>
          </w:p>
        </w:tc>
        <w:tc>
          <w:tcPr>
            <w:tcW w:w="665" w:type="pct"/>
            <w:tcBorders>
              <w:top w:val="nil"/>
              <w:left w:val="nil"/>
              <w:bottom w:val="single" w:sz="4" w:space="0" w:color="auto"/>
              <w:right w:val="single" w:sz="4" w:space="0" w:color="auto"/>
            </w:tcBorders>
            <w:shd w:val="clear" w:color="auto" w:fill="auto"/>
            <w:noWrap/>
            <w:vAlign w:val="bottom"/>
          </w:tcPr>
          <w:p w14:paraId="15C6D030"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9.6 </w:t>
            </w:r>
          </w:p>
        </w:tc>
        <w:tc>
          <w:tcPr>
            <w:tcW w:w="826" w:type="pct"/>
            <w:tcBorders>
              <w:top w:val="nil"/>
              <w:left w:val="nil"/>
              <w:bottom w:val="single" w:sz="4" w:space="0" w:color="auto"/>
              <w:right w:val="single" w:sz="4" w:space="0" w:color="auto"/>
            </w:tcBorders>
            <w:shd w:val="clear" w:color="auto" w:fill="auto"/>
            <w:noWrap/>
          </w:tcPr>
          <w:p w14:paraId="072D7BBD"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3.4</w:t>
            </w:r>
          </w:p>
        </w:tc>
      </w:tr>
      <w:tr w:rsidR="00DD0408" w:rsidRPr="003B66DB" w14:paraId="35D4B964"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vAlign w:val="center"/>
            <w:hideMark/>
          </w:tcPr>
          <w:p w14:paraId="0AE636F4" w14:textId="77777777" w:rsidR="00DD0408" w:rsidRPr="003B66DB" w:rsidRDefault="00DD0408" w:rsidP="002D1CD4">
            <w:pPr>
              <w:spacing w:after="0" w:line="240" w:lineRule="auto"/>
              <w:rPr>
                <w:rFonts w:ascii="Times New Roman" w:eastAsia="Times New Roman" w:hAnsi="Times New Roman" w:cs="Times New Roman"/>
                <w:b/>
                <w:bCs/>
                <w:color w:val="000000"/>
                <w:sz w:val="24"/>
                <w:szCs w:val="24"/>
              </w:rPr>
            </w:pPr>
            <w:r w:rsidRPr="003B66DB">
              <w:rPr>
                <w:rFonts w:ascii="Times New Roman" w:eastAsia="Times New Roman" w:hAnsi="Times New Roman" w:cs="Times New Roman"/>
                <w:b/>
                <w:bCs/>
                <w:color w:val="000000"/>
                <w:sz w:val="24"/>
                <w:szCs w:val="24"/>
              </w:rPr>
              <w:t>Economic Transition</w:t>
            </w:r>
          </w:p>
        </w:tc>
        <w:tc>
          <w:tcPr>
            <w:tcW w:w="563" w:type="pct"/>
            <w:tcBorders>
              <w:top w:val="nil"/>
              <w:left w:val="nil"/>
              <w:bottom w:val="single" w:sz="4" w:space="0" w:color="auto"/>
              <w:right w:val="single" w:sz="4" w:space="0" w:color="auto"/>
            </w:tcBorders>
            <w:shd w:val="clear" w:color="auto" w:fill="auto"/>
            <w:noWrap/>
            <w:vAlign w:val="bottom"/>
            <w:hideMark/>
          </w:tcPr>
          <w:p w14:paraId="3CD6D322" w14:textId="77777777" w:rsidR="00DD0408" w:rsidRPr="003B66DB" w:rsidRDefault="00DD0408" w:rsidP="002D1CD4">
            <w:pPr>
              <w:spacing w:after="0" w:line="240" w:lineRule="auto"/>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 1971</w:t>
            </w:r>
          </w:p>
        </w:tc>
        <w:tc>
          <w:tcPr>
            <w:tcW w:w="596" w:type="pct"/>
            <w:tcBorders>
              <w:top w:val="nil"/>
              <w:left w:val="nil"/>
              <w:bottom w:val="single" w:sz="4" w:space="0" w:color="auto"/>
              <w:right w:val="single" w:sz="4" w:space="0" w:color="auto"/>
            </w:tcBorders>
            <w:shd w:val="clear" w:color="auto" w:fill="auto"/>
            <w:noWrap/>
            <w:vAlign w:val="bottom"/>
          </w:tcPr>
          <w:p w14:paraId="186E8470" w14:textId="77777777" w:rsidR="00DD0408" w:rsidRPr="003B66DB" w:rsidRDefault="00DD0408" w:rsidP="002D1CD4">
            <w:pPr>
              <w:spacing w:after="0" w:line="240" w:lineRule="auto"/>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1980 </w:t>
            </w:r>
          </w:p>
        </w:tc>
        <w:tc>
          <w:tcPr>
            <w:tcW w:w="665" w:type="pct"/>
            <w:tcBorders>
              <w:top w:val="nil"/>
              <w:left w:val="nil"/>
              <w:bottom w:val="single" w:sz="4" w:space="0" w:color="auto"/>
              <w:right w:val="single" w:sz="4" w:space="0" w:color="auto"/>
            </w:tcBorders>
            <w:shd w:val="clear" w:color="auto" w:fill="auto"/>
            <w:noWrap/>
            <w:vAlign w:val="bottom"/>
          </w:tcPr>
          <w:p w14:paraId="62DB824B" w14:textId="77777777" w:rsidR="00DD0408" w:rsidRPr="003B66DB" w:rsidRDefault="00DD0408" w:rsidP="002D1CD4">
            <w:pPr>
              <w:spacing w:after="0" w:line="240" w:lineRule="auto"/>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1990 </w:t>
            </w:r>
          </w:p>
        </w:tc>
        <w:tc>
          <w:tcPr>
            <w:tcW w:w="826" w:type="pct"/>
            <w:tcBorders>
              <w:top w:val="nil"/>
              <w:left w:val="nil"/>
              <w:bottom w:val="single" w:sz="4" w:space="0" w:color="auto"/>
              <w:right w:val="single" w:sz="4" w:space="0" w:color="auto"/>
            </w:tcBorders>
            <w:shd w:val="clear" w:color="auto" w:fill="auto"/>
            <w:noWrap/>
          </w:tcPr>
          <w:p w14:paraId="1A226DA3" w14:textId="77777777" w:rsidR="00DD0408" w:rsidRPr="003B66DB" w:rsidRDefault="00DD0408" w:rsidP="002D1CD4">
            <w:pPr>
              <w:spacing w:after="0" w:line="240" w:lineRule="auto"/>
              <w:rPr>
                <w:rFonts w:ascii="Times New Roman" w:eastAsia="Times New Roman" w:hAnsi="Times New Roman" w:cs="Times New Roman"/>
                <w:b/>
                <w:color w:val="000000"/>
                <w:sz w:val="24"/>
                <w:szCs w:val="24"/>
              </w:rPr>
            </w:pPr>
            <w:r w:rsidRPr="003B66DB">
              <w:rPr>
                <w:rFonts w:ascii="Times New Roman" w:eastAsia="Times New Roman" w:hAnsi="Times New Roman" w:cs="Times New Roman"/>
                <w:b/>
                <w:color w:val="000000"/>
                <w:sz w:val="24"/>
                <w:szCs w:val="24"/>
              </w:rPr>
              <w:t>2000</w:t>
            </w:r>
          </w:p>
        </w:tc>
      </w:tr>
      <w:tr w:rsidR="00DD0408" w:rsidRPr="003B66DB" w14:paraId="5D1AF9E9"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noWrap/>
            <w:vAlign w:val="bottom"/>
            <w:hideMark/>
          </w:tcPr>
          <w:p w14:paraId="3CD90D7E"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Agriculture share of GDP (%)</w:t>
            </w:r>
          </w:p>
        </w:tc>
        <w:tc>
          <w:tcPr>
            <w:tcW w:w="563" w:type="pct"/>
            <w:tcBorders>
              <w:top w:val="nil"/>
              <w:left w:val="nil"/>
              <w:bottom w:val="single" w:sz="4" w:space="0" w:color="auto"/>
              <w:right w:val="single" w:sz="4" w:space="0" w:color="auto"/>
            </w:tcBorders>
            <w:shd w:val="clear" w:color="auto" w:fill="auto"/>
            <w:noWrap/>
            <w:vAlign w:val="bottom"/>
          </w:tcPr>
          <w:p w14:paraId="6DE75E48"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23.9</w:t>
            </w:r>
          </w:p>
        </w:tc>
        <w:tc>
          <w:tcPr>
            <w:tcW w:w="596" w:type="pct"/>
            <w:tcBorders>
              <w:top w:val="nil"/>
              <w:left w:val="nil"/>
              <w:bottom w:val="single" w:sz="4" w:space="0" w:color="auto"/>
              <w:right w:val="single" w:sz="4" w:space="0" w:color="auto"/>
            </w:tcBorders>
            <w:shd w:val="clear" w:color="auto" w:fill="auto"/>
            <w:noWrap/>
            <w:vAlign w:val="bottom"/>
          </w:tcPr>
          <w:p w14:paraId="6018E33F"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23.2</w:t>
            </w:r>
          </w:p>
        </w:tc>
        <w:tc>
          <w:tcPr>
            <w:tcW w:w="665" w:type="pct"/>
            <w:tcBorders>
              <w:top w:val="nil"/>
              <w:left w:val="nil"/>
              <w:bottom w:val="single" w:sz="4" w:space="0" w:color="auto"/>
              <w:right w:val="single" w:sz="4" w:space="0" w:color="auto"/>
            </w:tcBorders>
            <w:shd w:val="clear" w:color="auto" w:fill="auto"/>
            <w:noWrap/>
            <w:vAlign w:val="bottom"/>
          </w:tcPr>
          <w:p w14:paraId="35D2C1BA"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12.5</w:t>
            </w:r>
          </w:p>
        </w:tc>
        <w:tc>
          <w:tcPr>
            <w:tcW w:w="826" w:type="pct"/>
            <w:tcBorders>
              <w:top w:val="nil"/>
              <w:left w:val="nil"/>
              <w:bottom w:val="single" w:sz="4" w:space="0" w:color="auto"/>
              <w:right w:val="single" w:sz="4" w:space="0" w:color="auto"/>
            </w:tcBorders>
            <w:shd w:val="clear" w:color="auto" w:fill="auto"/>
            <w:noWrap/>
          </w:tcPr>
          <w:p w14:paraId="715ECE3D"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8.5</w:t>
            </w:r>
          </w:p>
        </w:tc>
      </w:tr>
      <w:tr w:rsidR="00DD0408" w:rsidRPr="003B66DB" w14:paraId="431BCD4F"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noWrap/>
            <w:vAlign w:val="bottom"/>
            <w:hideMark/>
          </w:tcPr>
          <w:p w14:paraId="6EF2544E"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Industry Share of GDP (%)</w:t>
            </w:r>
          </w:p>
        </w:tc>
        <w:tc>
          <w:tcPr>
            <w:tcW w:w="563" w:type="pct"/>
            <w:tcBorders>
              <w:top w:val="nil"/>
              <w:left w:val="nil"/>
              <w:bottom w:val="single" w:sz="4" w:space="0" w:color="auto"/>
              <w:right w:val="single" w:sz="4" w:space="0" w:color="auto"/>
            </w:tcBorders>
            <w:shd w:val="clear" w:color="auto" w:fill="auto"/>
            <w:noWrap/>
            <w:vAlign w:val="bottom"/>
          </w:tcPr>
          <w:p w14:paraId="61992D6B"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27.1</w:t>
            </w:r>
          </w:p>
        </w:tc>
        <w:tc>
          <w:tcPr>
            <w:tcW w:w="596" w:type="pct"/>
            <w:tcBorders>
              <w:top w:val="nil"/>
              <w:left w:val="nil"/>
              <w:bottom w:val="single" w:sz="4" w:space="0" w:color="auto"/>
              <w:right w:val="single" w:sz="4" w:space="0" w:color="auto"/>
            </w:tcBorders>
            <w:shd w:val="clear" w:color="auto" w:fill="auto"/>
            <w:noWrap/>
            <w:vAlign w:val="bottom"/>
          </w:tcPr>
          <w:p w14:paraId="4C705017"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28.7</w:t>
            </w:r>
          </w:p>
        </w:tc>
        <w:tc>
          <w:tcPr>
            <w:tcW w:w="665" w:type="pct"/>
            <w:tcBorders>
              <w:top w:val="nil"/>
              <w:left w:val="nil"/>
              <w:bottom w:val="single" w:sz="4" w:space="0" w:color="auto"/>
              <w:right w:val="single" w:sz="4" w:space="0" w:color="auto"/>
            </w:tcBorders>
            <w:shd w:val="clear" w:color="auto" w:fill="auto"/>
            <w:noWrap/>
            <w:vAlign w:val="bottom"/>
          </w:tcPr>
          <w:p w14:paraId="0BBD639E"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37.2</w:t>
            </w:r>
          </w:p>
        </w:tc>
        <w:tc>
          <w:tcPr>
            <w:tcW w:w="826" w:type="pct"/>
            <w:tcBorders>
              <w:top w:val="nil"/>
              <w:left w:val="nil"/>
              <w:bottom w:val="single" w:sz="4" w:space="0" w:color="auto"/>
              <w:right w:val="single" w:sz="4" w:space="0" w:color="auto"/>
            </w:tcBorders>
            <w:shd w:val="clear" w:color="auto" w:fill="auto"/>
            <w:noWrap/>
          </w:tcPr>
          <w:p w14:paraId="7BA34F08"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36.8</w:t>
            </w:r>
          </w:p>
        </w:tc>
      </w:tr>
      <w:tr w:rsidR="00DD0408" w:rsidRPr="003B66DB" w14:paraId="1D3ACDDC"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noWrap/>
            <w:vAlign w:val="bottom"/>
            <w:hideMark/>
          </w:tcPr>
          <w:p w14:paraId="1CA01CA7"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Service Share of GDP (%)</w:t>
            </w:r>
          </w:p>
        </w:tc>
        <w:tc>
          <w:tcPr>
            <w:tcW w:w="563" w:type="pct"/>
            <w:tcBorders>
              <w:top w:val="nil"/>
              <w:left w:val="nil"/>
              <w:bottom w:val="single" w:sz="4" w:space="0" w:color="auto"/>
              <w:right w:val="single" w:sz="4" w:space="0" w:color="auto"/>
            </w:tcBorders>
            <w:shd w:val="clear" w:color="auto" w:fill="auto"/>
            <w:noWrap/>
            <w:vAlign w:val="bottom"/>
          </w:tcPr>
          <w:p w14:paraId="4577FB0C"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49</w:t>
            </w:r>
          </w:p>
        </w:tc>
        <w:tc>
          <w:tcPr>
            <w:tcW w:w="596" w:type="pct"/>
            <w:tcBorders>
              <w:top w:val="nil"/>
              <w:left w:val="nil"/>
              <w:bottom w:val="single" w:sz="4" w:space="0" w:color="auto"/>
              <w:right w:val="single" w:sz="4" w:space="0" w:color="auto"/>
            </w:tcBorders>
            <w:shd w:val="clear" w:color="auto" w:fill="auto"/>
            <w:noWrap/>
            <w:vAlign w:val="bottom"/>
          </w:tcPr>
          <w:p w14:paraId="26E6E708"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48.1</w:t>
            </w:r>
          </w:p>
        </w:tc>
        <w:tc>
          <w:tcPr>
            <w:tcW w:w="665" w:type="pct"/>
            <w:tcBorders>
              <w:top w:val="nil"/>
              <w:left w:val="nil"/>
              <w:bottom w:val="single" w:sz="4" w:space="0" w:color="auto"/>
              <w:right w:val="single" w:sz="4" w:space="0" w:color="auto"/>
            </w:tcBorders>
            <w:shd w:val="clear" w:color="auto" w:fill="auto"/>
            <w:noWrap/>
            <w:vAlign w:val="bottom"/>
          </w:tcPr>
          <w:p w14:paraId="0339F86C"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50.3</w:t>
            </w:r>
          </w:p>
        </w:tc>
        <w:tc>
          <w:tcPr>
            <w:tcW w:w="826" w:type="pct"/>
            <w:tcBorders>
              <w:top w:val="nil"/>
              <w:left w:val="nil"/>
              <w:bottom w:val="single" w:sz="4" w:space="0" w:color="auto"/>
              <w:right w:val="single" w:sz="4" w:space="0" w:color="auto"/>
            </w:tcBorders>
            <w:shd w:val="clear" w:color="auto" w:fill="auto"/>
            <w:noWrap/>
          </w:tcPr>
          <w:p w14:paraId="61FC0AE5"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54.7</w:t>
            </w:r>
          </w:p>
        </w:tc>
      </w:tr>
      <w:tr w:rsidR="00DD0408" w:rsidRPr="003B66DB" w14:paraId="52225C35"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vAlign w:val="bottom"/>
            <w:hideMark/>
          </w:tcPr>
          <w:p w14:paraId="73F83328"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Investment rate (%)</w:t>
            </w:r>
          </w:p>
        </w:tc>
        <w:tc>
          <w:tcPr>
            <w:tcW w:w="563" w:type="pct"/>
            <w:tcBorders>
              <w:top w:val="nil"/>
              <w:left w:val="nil"/>
              <w:bottom w:val="single" w:sz="4" w:space="0" w:color="auto"/>
              <w:right w:val="single" w:sz="4" w:space="0" w:color="auto"/>
            </w:tcBorders>
            <w:shd w:val="clear" w:color="auto" w:fill="auto"/>
            <w:noWrap/>
            <w:vAlign w:val="bottom"/>
          </w:tcPr>
          <w:p w14:paraId="13CF7541"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24.2</w:t>
            </w:r>
          </w:p>
        </w:tc>
        <w:tc>
          <w:tcPr>
            <w:tcW w:w="596" w:type="pct"/>
            <w:tcBorders>
              <w:top w:val="nil"/>
              <w:left w:val="nil"/>
              <w:bottom w:val="single" w:sz="4" w:space="0" w:color="auto"/>
              <w:right w:val="single" w:sz="4" w:space="0" w:color="auto"/>
            </w:tcBorders>
            <w:shd w:val="clear" w:color="auto" w:fill="auto"/>
            <w:noWrap/>
            <w:vAlign w:val="bottom"/>
          </w:tcPr>
          <w:p w14:paraId="18D1EB80"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29.1</w:t>
            </w:r>
          </w:p>
        </w:tc>
        <w:tc>
          <w:tcPr>
            <w:tcW w:w="665" w:type="pct"/>
            <w:tcBorders>
              <w:top w:val="nil"/>
              <w:left w:val="nil"/>
              <w:bottom w:val="single" w:sz="4" w:space="0" w:color="auto"/>
              <w:right w:val="single" w:sz="4" w:space="0" w:color="auto"/>
            </w:tcBorders>
            <w:shd w:val="clear" w:color="auto" w:fill="auto"/>
            <w:noWrap/>
            <w:vAlign w:val="bottom"/>
          </w:tcPr>
          <w:p w14:paraId="48443968"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41.4</w:t>
            </w:r>
          </w:p>
        </w:tc>
        <w:tc>
          <w:tcPr>
            <w:tcW w:w="826" w:type="pct"/>
            <w:tcBorders>
              <w:top w:val="nil"/>
              <w:left w:val="nil"/>
              <w:bottom w:val="single" w:sz="4" w:space="0" w:color="auto"/>
              <w:right w:val="single" w:sz="4" w:space="0" w:color="auto"/>
            </w:tcBorders>
            <w:shd w:val="clear" w:color="auto" w:fill="auto"/>
            <w:noWrap/>
          </w:tcPr>
          <w:p w14:paraId="7C5B358D"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22.3</w:t>
            </w:r>
          </w:p>
        </w:tc>
      </w:tr>
      <w:tr w:rsidR="00DD0408" w:rsidRPr="003B66DB" w14:paraId="380DE812"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vAlign w:val="bottom"/>
            <w:hideMark/>
          </w:tcPr>
          <w:p w14:paraId="0B382C02"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ICOR</w:t>
            </w:r>
          </w:p>
        </w:tc>
        <w:tc>
          <w:tcPr>
            <w:tcW w:w="563" w:type="pct"/>
            <w:tcBorders>
              <w:top w:val="nil"/>
              <w:left w:val="nil"/>
              <w:bottom w:val="single" w:sz="4" w:space="0" w:color="auto"/>
              <w:right w:val="single" w:sz="4" w:space="0" w:color="auto"/>
            </w:tcBorders>
            <w:shd w:val="clear" w:color="auto" w:fill="auto"/>
            <w:noWrap/>
            <w:vAlign w:val="bottom"/>
          </w:tcPr>
          <w:p w14:paraId="04FCF889"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p>
        </w:tc>
        <w:tc>
          <w:tcPr>
            <w:tcW w:w="596" w:type="pct"/>
            <w:tcBorders>
              <w:top w:val="nil"/>
              <w:left w:val="nil"/>
              <w:bottom w:val="single" w:sz="4" w:space="0" w:color="auto"/>
              <w:right w:val="single" w:sz="4" w:space="0" w:color="auto"/>
            </w:tcBorders>
            <w:shd w:val="clear" w:color="auto" w:fill="auto"/>
            <w:noWrap/>
            <w:vAlign w:val="bottom"/>
          </w:tcPr>
          <w:p w14:paraId="77D74EE5"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p>
        </w:tc>
        <w:tc>
          <w:tcPr>
            <w:tcW w:w="665" w:type="pct"/>
            <w:tcBorders>
              <w:top w:val="nil"/>
              <w:left w:val="nil"/>
              <w:bottom w:val="single" w:sz="4" w:space="0" w:color="auto"/>
              <w:right w:val="single" w:sz="4" w:space="0" w:color="auto"/>
            </w:tcBorders>
            <w:shd w:val="clear" w:color="auto" w:fill="auto"/>
            <w:noWrap/>
            <w:vAlign w:val="bottom"/>
          </w:tcPr>
          <w:p w14:paraId="19FAB110"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p>
        </w:tc>
        <w:tc>
          <w:tcPr>
            <w:tcW w:w="826" w:type="pct"/>
            <w:tcBorders>
              <w:top w:val="nil"/>
              <w:left w:val="nil"/>
              <w:bottom w:val="single" w:sz="4" w:space="0" w:color="auto"/>
              <w:right w:val="single" w:sz="4" w:space="0" w:color="auto"/>
            </w:tcBorders>
            <w:shd w:val="clear" w:color="auto" w:fill="auto"/>
            <w:noWrap/>
          </w:tcPr>
          <w:p w14:paraId="41676EAE"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5.9</w:t>
            </w:r>
          </w:p>
        </w:tc>
      </w:tr>
      <w:tr w:rsidR="00DD0408" w:rsidRPr="003B66DB" w14:paraId="75D80EDC" w14:textId="77777777" w:rsidTr="00A51CF0">
        <w:trPr>
          <w:trHeight w:val="25"/>
          <w:jc w:val="center"/>
        </w:trPr>
        <w:tc>
          <w:tcPr>
            <w:tcW w:w="2108" w:type="pct"/>
            <w:tcBorders>
              <w:top w:val="nil"/>
              <w:left w:val="single" w:sz="4" w:space="0" w:color="auto"/>
              <w:bottom w:val="single" w:sz="4" w:space="0" w:color="auto"/>
              <w:right w:val="single" w:sz="4" w:space="0" w:color="auto"/>
            </w:tcBorders>
            <w:shd w:val="clear" w:color="auto" w:fill="auto"/>
            <w:vAlign w:val="center"/>
            <w:hideMark/>
          </w:tcPr>
          <w:p w14:paraId="088CD2BC"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Saving rate (%)</w:t>
            </w:r>
          </w:p>
        </w:tc>
        <w:tc>
          <w:tcPr>
            <w:tcW w:w="563" w:type="pct"/>
            <w:tcBorders>
              <w:top w:val="nil"/>
              <w:left w:val="nil"/>
              <w:bottom w:val="single" w:sz="4" w:space="0" w:color="auto"/>
              <w:right w:val="single" w:sz="4" w:space="0" w:color="auto"/>
            </w:tcBorders>
            <w:shd w:val="clear" w:color="auto" w:fill="auto"/>
            <w:noWrap/>
            <w:vAlign w:val="bottom"/>
          </w:tcPr>
          <w:p w14:paraId="1D7D21C2"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p>
        </w:tc>
        <w:tc>
          <w:tcPr>
            <w:tcW w:w="596" w:type="pct"/>
            <w:tcBorders>
              <w:top w:val="nil"/>
              <w:left w:val="nil"/>
              <w:bottom w:val="single" w:sz="4" w:space="0" w:color="auto"/>
              <w:right w:val="single" w:sz="4" w:space="0" w:color="auto"/>
            </w:tcBorders>
            <w:shd w:val="clear" w:color="auto" w:fill="auto"/>
            <w:noWrap/>
            <w:vAlign w:val="bottom"/>
          </w:tcPr>
          <w:p w14:paraId="6484D070"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22.7</w:t>
            </w:r>
          </w:p>
        </w:tc>
        <w:tc>
          <w:tcPr>
            <w:tcW w:w="665" w:type="pct"/>
            <w:tcBorders>
              <w:top w:val="nil"/>
              <w:left w:val="nil"/>
              <w:bottom w:val="single" w:sz="4" w:space="0" w:color="auto"/>
              <w:right w:val="single" w:sz="4" w:space="0" w:color="auto"/>
            </w:tcBorders>
            <w:shd w:val="clear" w:color="auto" w:fill="auto"/>
            <w:noWrap/>
            <w:vAlign w:val="bottom"/>
          </w:tcPr>
          <w:p w14:paraId="563D4508"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32.8</w:t>
            </w:r>
          </w:p>
        </w:tc>
        <w:tc>
          <w:tcPr>
            <w:tcW w:w="826" w:type="pct"/>
            <w:tcBorders>
              <w:top w:val="nil"/>
              <w:left w:val="nil"/>
              <w:bottom w:val="single" w:sz="4" w:space="0" w:color="auto"/>
              <w:right w:val="single" w:sz="4" w:space="0" w:color="auto"/>
            </w:tcBorders>
            <w:shd w:val="clear" w:color="auto" w:fill="auto"/>
            <w:noWrap/>
          </w:tcPr>
          <w:p w14:paraId="078E36C6" w14:textId="77777777" w:rsidR="00DD0408" w:rsidRPr="003B66DB" w:rsidRDefault="00DD0408" w:rsidP="002D1CD4">
            <w:pPr>
              <w:spacing w:after="0" w:line="240" w:lineRule="auto"/>
              <w:jc w:val="right"/>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29.2</w:t>
            </w:r>
          </w:p>
        </w:tc>
      </w:tr>
      <w:tr w:rsidR="00DD0408" w:rsidRPr="003B66DB" w14:paraId="42A752F6" w14:textId="77777777" w:rsidTr="00A51CF0">
        <w:trPr>
          <w:trHeight w:val="25"/>
          <w:jc w:val="center"/>
        </w:trPr>
        <w:tc>
          <w:tcPr>
            <w:tcW w:w="2108" w:type="pct"/>
            <w:tcBorders>
              <w:top w:val="single" w:sz="4" w:space="0" w:color="auto"/>
              <w:left w:val="single" w:sz="4" w:space="0" w:color="auto"/>
              <w:bottom w:val="single" w:sz="4" w:space="0" w:color="auto"/>
              <w:right w:val="single" w:sz="4" w:space="0" w:color="auto"/>
            </w:tcBorders>
            <w:shd w:val="clear" w:color="auto" w:fill="auto"/>
            <w:vAlign w:val="bottom"/>
          </w:tcPr>
          <w:p w14:paraId="7CBF1251"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GNI Per Capita</w:t>
            </w:r>
          </w:p>
        </w:tc>
        <w:tc>
          <w:tcPr>
            <w:tcW w:w="563" w:type="pct"/>
            <w:tcBorders>
              <w:top w:val="single" w:sz="4" w:space="0" w:color="auto"/>
              <w:left w:val="nil"/>
              <w:bottom w:val="single" w:sz="4" w:space="0" w:color="auto"/>
              <w:right w:val="single" w:sz="4" w:space="0" w:color="auto"/>
            </w:tcBorders>
            <w:shd w:val="clear" w:color="auto" w:fill="auto"/>
            <w:noWrap/>
            <w:vAlign w:val="bottom"/>
          </w:tcPr>
          <w:p w14:paraId="492EAC21"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946</w:t>
            </w:r>
          </w:p>
        </w:tc>
        <w:tc>
          <w:tcPr>
            <w:tcW w:w="596" w:type="pct"/>
            <w:tcBorders>
              <w:top w:val="single" w:sz="4" w:space="0" w:color="auto"/>
              <w:left w:val="nil"/>
              <w:bottom w:val="single" w:sz="4" w:space="0" w:color="auto"/>
              <w:right w:val="single" w:sz="4" w:space="0" w:color="auto"/>
            </w:tcBorders>
            <w:shd w:val="clear" w:color="auto" w:fill="auto"/>
            <w:noWrap/>
            <w:vAlign w:val="bottom"/>
          </w:tcPr>
          <w:p w14:paraId="1E8E4DD3"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1392</w:t>
            </w:r>
          </w:p>
        </w:tc>
        <w:tc>
          <w:tcPr>
            <w:tcW w:w="665" w:type="pct"/>
            <w:tcBorders>
              <w:top w:val="single" w:sz="4" w:space="0" w:color="auto"/>
              <w:left w:val="nil"/>
              <w:bottom w:val="single" w:sz="4" w:space="0" w:color="auto"/>
              <w:right w:val="single" w:sz="4" w:space="0" w:color="auto"/>
            </w:tcBorders>
            <w:shd w:val="clear" w:color="auto" w:fill="auto"/>
            <w:noWrap/>
            <w:vAlign w:val="bottom"/>
          </w:tcPr>
          <w:p w14:paraId="544C5757"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2472</w:t>
            </w:r>
          </w:p>
        </w:tc>
        <w:tc>
          <w:tcPr>
            <w:tcW w:w="826" w:type="pct"/>
            <w:tcBorders>
              <w:top w:val="single" w:sz="4" w:space="0" w:color="auto"/>
              <w:left w:val="nil"/>
              <w:bottom w:val="single" w:sz="4" w:space="0" w:color="auto"/>
              <w:right w:val="single" w:sz="4" w:space="0" w:color="auto"/>
            </w:tcBorders>
            <w:shd w:val="clear" w:color="auto" w:fill="auto"/>
            <w:noWrap/>
          </w:tcPr>
          <w:p w14:paraId="0FBF8D95" w14:textId="77777777" w:rsidR="00DD0408" w:rsidRPr="003B66DB" w:rsidRDefault="00DD0408" w:rsidP="002D1CD4">
            <w:pPr>
              <w:spacing w:after="0" w:line="240" w:lineRule="auto"/>
              <w:rPr>
                <w:rFonts w:ascii="Times New Roman" w:eastAsia="Times New Roman" w:hAnsi="Times New Roman" w:cs="Times New Roman"/>
                <w:color w:val="000000"/>
                <w:sz w:val="24"/>
                <w:szCs w:val="24"/>
              </w:rPr>
            </w:pPr>
            <w:r w:rsidRPr="003B66DB">
              <w:rPr>
                <w:rFonts w:ascii="Times New Roman" w:eastAsia="Times New Roman" w:hAnsi="Times New Roman" w:cs="Times New Roman"/>
                <w:color w:val="000000"/>
                <w:sz w:val="24"/>
                <w:szCs w:val="24"/>
              </w:rPr>
              <w:t>3390</w:t>
            </w:r>
          </w:p>
        </w:tc>
      </w:tr>
    </w:tbl>
    <w:p w14:paraId="28268C4C" w14:textId="77777777" w:rsidR="00DD0408" w:rsidRPr="0076076F" w:rsidRDefault="00DD0408" w:rsidP="002D1CD4">
      <w:pPr>
        <w:ind w:left="2160"/>
        <w:rPr>
          <w:b/>
          <w:i/>
        </w:rPr>
      </w:pPr>
      <w:r w:rsidRPr="0076076F">
        <w:rPr>
          <w:b/>
          <w:i/>
        </w:rPr>
        <w:t>Source: World Bank’s World Development Indicators</w:t>
      </w:r>
    </w:p>
    <w:p w14:paraId="775D1C6D" w14:textId="77777777" w:rsidR="000802BF" w:rsidRDefault="000802BF">
      <w:pPr>
        <w:rPr>
          <w:rFonts w:ascii="Times New Roman" w:hAnsi="Times New Roman" w:cs="Times New Roman"/>
          <w:iCs/>
          <w:sz w:val="24"/>
          <w:szCs w:val="24"/>
        </w:rPr>
      </w:pPr>
    </w:p>
    <w:p w14:paraId="7B319232" w14:textId="77777777" w:rsidR="00212FEB" w:rsidRDefault="00212FEB">
      <w:pPr>
        <w:rPr>
          <w:rFonts w:ascii="Times New Roman" w:hAnsi="Times New Roman" w:cs="Times New Roman"/>
          <w:iCs/>
          <w:sz w:val="24"/>
          <w:szCs w:val="24"/>
        </w:rPr>
      </w:pPr>
    </w:p>
    <w:sectPr w:rsidR="00212FEB" w:rsidSect="002B78E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8E26C" w14:textId="77777777" w:rsidR="00950FE0" w:rsidRDefault="00950FE0" w:rsidP="004B21CE">
      <w:pPr>
        <w:spacing w:after="0" w:line="240" w:lineRule="auto"/>
      </w:pPr>
      <w:r>
        <w:separator/>
      </w:r>
    </w:p>
  </w:endnote>
  <w:endnote w:type="continuationSeparator" w:id="0">
    <w:p w14:paraId="1A36B5AE" w14:textId="77777777" w:rsidR="00950FE0" w:rsidRDefault="00950FE0" w:rsidP="004B2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1597084"/>
      <w:docPartObj>
        <w:docPartGallery w:val="Page Numbers (Bottom of Page)"/>
        <w:docPartUnique/>
      </w:docPartObj>
    </w:sdtPr>
    <w:sdtEndPr>
      <w:rPr>
        <w:noProof/>
      </w:rPr>
    </w:sdtEndPr>
    <w:sdtContent>
      <w:p w14:paraId="16A67B8F" w14:textId="2B7396A4" w:rsidR="00BF4C93" w:rsidRDefault="00BF4C93">
        <w:pPr>
          <w:pStyle w:val="Footer"/>
          <w:jc w:val="center"/>
        </w:pPr>
        <w:r>
          <w:fldChar w:fldCharType="begin"/>
        </w:r>
        <w:r>
          <w:instrText xml:space="preserve"> PAGE   \* MERGEFORMAT </w:instrText>
        </w:r>
        <w:r>
          <w:fldChar w:fldCharType="separate"/>
        </w:r>
        <w:r>
          <w:rPr>
            <w:noProof/>
          </w:rPr>
          <w:t xml:space="preserve"> </w:t>
        </w:r>
        <w:r>
          <w:rPr>
            <w:noProof/>
          </w:rPr>
          <w:fldChar w:fldCharType="end"/>
        </w:r>
      </w:p>
    </w:sdtContent>
  </w:sdt>
  <w:p w14:paraId="7EE45085" w14:textId="77777777" w:rsidR="00BF4C93" w:rsidRDefault="00BF4C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7944232"/>
      <w:docPartObj>
        <w:docPartGallery w:val="Page Numbers (Bottom of Page)"/>
        <w:docPartUnique/>
      </w:docPartObj>
    </w:sdtPr>
    <w:sdtEndPr>
      <w:rPr>
        <w:noProof/>
      </w:rPr>
    </w:sdtEndPr>
    <w:sdtContent>
      <w:p w14:paraId="0370E2FD" w14:textId="712C7D39" w:rsidR="00BF4C93" w:rsidRDefault="00BF4C93">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14:paraId="46C70B26" w14:textId="77777777" w:rsidR="00BF4C93" w:rsidRDefault="00BF4C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791979"/>
      <w:docPartObj>
        <w:docPartGallery w:val="Page Numbers (Bottom of Page)"/>
        <w:docPartUnique/>
      </w:docPartObj>
    </w:sdtPr>
    <w:sdtContent>
      <w:p w14:paraId="6DDB249F" w14:textId="2AF841C1" w:rsidR="00BF4C93" w:rsidRDefault="00BF4C93">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0B18E3B2" w14:textId="77777777" w:rsidR="00BF4C93" w:rsidRDefault="00BF4C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06B752" w14:textId="77777777" w:rsidR="00950FE0" w:rsidRDefault="00950FE0" w:rsidP="004B21CE">
      <w:pPr>
        <w:spacing w:after="0" w:line="240" w:lineRule="auto"/>
      </w:pPr>
      <w:r>
        <w:separator/>
      </w:r>
    </w:p>
  </w:footnote>
  <w:footnote w:type="continuationSeparator" w:id="0">
    <w:p w14:paraId="0329D48B" w14:textId="77777777" w:rsidR="00950FE0" w:rsidRDefault="00950FE0" w:rsidP="004B21CE">
      <w:pPr>
        <w:spacing w:after="0" w:line="240" w:lineRule="auto"/>
      </w:pPr>
      <w:r>
        <w:continuationSeparator/>
      </w:r>
    </w:p>
  </w:footnote>
  <w:footnote w:id="1">
    <w:p w14:paraId="6806B3A5" w14:textId="77777777" w:rsidR="00BF4C93" w:rsidRPr="0098127D" w:rsidRDefault="00BF4C93">
      <w:pPr>
        <w:pStyle w:val="FootnoteText"/>
        <w:rPr>
          <w:lang w:val="en-US"/>
        </w:rPr>
      </w:pPr>
      <w:r>
        <w:rPr>
          <w:rStyle w:val="FootnoteReference"/>
        </w:rPr>
        <w:footnoteRef/>
      </w:r>
      <w:r>
        <w:t xml:space="preserve">    </w:t>
      </w:r>
      <w:r>
        <w:rPr>
          <w:color w:val="333333"/>
          <w:lang w:val="en"/>
        </w:rPr>
        <w:t xml:space="preserve">Nonarit Bisonyabut of Thailand Development Research Institute, as quoted in The Nation, October 11, 2014. </w:t>
      </w:r>
    </w:p>
  </w:footnote>
  <w:footnote w:id="2">
    <w:p w14:paraId="1FED345F" w14:textId="2D459470" w:rsidR="00BF4C93" w:rsidRPr="00742F24" w:rsidRDefault="00BF4C93">
      <w:pPr>
        <w:pStyle w:val="FootnoteText"/>
        <w:rPr>
          <w:lang w:val="en-US"/>
        </w:rPr>
      </w:pPr>
      <w:r>
        <w:rPr>
          <w:rStyle w:val="FootnoteReference"/>
        </w:rPr>
        <w:footnoteRef/>
      </w:r>
      <w:r>
        <w:t xml:space="preserve"> </w:t>
      </w:r>
      <w:r>
        <w:rPr>
          <w:lang w:val="en-US"/>
        </w:rPr>
        <w:t xml:space="preserve">   Top 15 exports as percentage of total exports. </w:t>
      </w:r>
    </w:p>
  </w:footnote>
  <w:footnote w:id="3">
    <w:p w14:paraId="6426BCB9" w14:textId="77777777" w:rsidR="00BF4C93" w:rsidRDefault="00BF4C93" w:rsidP="009200A2">
      <w:pPr>
        <w:pStyle w:val="FootnoteText"/>
        <w:jc w:val="both"/>
      </w:pPr>
      <w:r>
        <w:rPr>
          <w:rStyle w:val="FootnoteReference"/>
        </w:rPr>
        <w:footnoteRef/>
      </w:r>
      <w:r>
        <w:t xml:space="preserve"> Recently, ships built for Germany and Denmark received strong certification of technical merit from the European buyers. </w:t>
      </w:r>
    </w:p>
  </w:footnote>
  <w:footnote w:id="4">
    <w:p w14:paraId="3D22E1BE" w14:textId="77777777" w:rsidR="00BF4C93" w:rsidRPr="005A7A96" w:rsidRDefault="00BF4C93" w:rsidP="009200A2">
      <w:pPr>
        <w:pStyle w:val="FootnoteText"/>
        <w:jc w:val="both"/>
      </w:pPr>
      <w:r w:rsidRPr="005A7A96">
        <w:rPr>
          <w:rStyle w:val="FootnoteReference"/>
        </w:rPr>
        <w:footnoteRef/>
      </w:r>
      <w:r w:rsidRPr="005A7A96">
        <w:t xml:space="preserve">Imported inputs such as fabric and accessories were made available on credit linked to export orders, and eventually settled from export proceeds. </w:t>
      </w:r>
    </w:p>
  </w:footnote>
  <w:footnote w:id="5">
    <w:p w14:paraId="7E3B1C5F" w14:textId="77777777" w:rsidR="00BF4C93" w:rsidRPr="005A7A96" w:rsidRDefault="00BF4C93" w:rsidP="009200A2">
      <w:pPr>
        <w:pStyle w:val="FootnoteText"/>
        <w:jc w:val="both"/>
      </w:pPr>
      <w:r w:rsidRPr="005A7A96">
        <w:rPr>
          <w:rStyle w:val="FootnoteReference"/>
        </w:rPr>
        <w:footnoteRef/>
      </w:r>
      <w:r w:rsidRPr="005A7A96">
        <w:t xml:space="preserve">    Lately, NBR has been selectively – very hesitatingly -- providing SBW facility to non-RMG exporters. </w:t>
      </w:r>
      <w:r>
        <w:t xml:space="preserve">Still, vast numbers of small non-RMG exporters are essentially deprived of world-priced inputs. </w:t>
      </w:r>
    </w:p>
  </w:footnote>
  <w:footnote w:id="6">
    <w:p w14:paraId="3CBC6D5C" w14:textId="77777777" w:rsidR="00BF4C93" w:rsidRDefault="00BF4C93" w:rsidP="00D77992">
      <w:pPr>
        <w:pStyle w:val="FootnoteText"/>
        <w:jc w:val="both"/>
      </w:pPr>
      <w:r>
        <w:rPr>
          <w:rStyle w:val="FootnoteReference"/>
        </w:rPr>
        <w:footnoteRef/>
      </w:r>
      <w:r>
        <w:t xml:space="preserve">    Nominal protection rates have to be distinguished from tariff/tax incidence as some trade taxes, such as VAT on imports (which are trade neutral) or Supplementary Duties (SD) do not have a one-to-one impact on protection. </w:t>
      </w:r>
    </w:p>
  </w:footnote>
  <w:footnote w:id="7">
    <w:p w14:paraId="23BC3E36" w14:textId="77777777" w:rsidR="00BF4C93" w:rsidRDefault="00BF4C93" w:rsidP="00D77992">
      <w:pPr>
        <w:pStyle w:val="FootnoteText"/>
        <w:jc w:val="both"/>
      </w:pPr>
      <w:r>
        <w:rPr>
          <w:rStyle w:val="FootnoteReference"/>
        </w:rPr>
        <w:footnoteRef/>
      </w:r>
      <w:r>
        <w:t xml:space="preserve">    Trade taxes other than custom duties that are akin to tariffs.</w:t>
      </w:r>
    </w:p>
  </w:footnote>
  <w:footnote w:id="8">
    <w:p w14:paraId="07AB64A7" w14:textId="77777777" w:rsidR="00BF4C93" w:rsidRDefault="00BF4C93" w:rsidP="00D77992">
      <w:pPr>
        <w:pStyle w:val="FootnoteText"/>
        <w:jc w:val="both"/>
      </w:pPr>
      <w:r>
        <w:rPr>
          <w:rStyle w:val="FootnoteReference"/>
        </w:rPr>
        <w:footnoteRef/>
      </w:r>
      <w:r>
        <w:t xml:space="preserve">    Due to lack of comparable cross-country information on trade taxes other than CD.</w:t>
      </w:r>
    </w:p>
  </w:footnote>
  <w:footnote w:id="9">
    <w:p w14:paraId="554115A3" w14:textId="77777777" w:rsidR="00BF4C93" w:rsidRPr="00FF1138" w:rsidRDefault="00BF4C93" w:rsidP="00D77992">
      <w:pPr>
        <w:pStyle w:val="FootnoteText"/>
        <w:jc w:val="both"/>
        <w:rPr>
          <w:rFonts w:cstheme="minorHAnsi"/>
        </w:rPr>
      </w:pPr>
      <w:r>
        <w:rPr>
          <w:rStyle w:val="FootnoteReference"/>
        </w:rPr>
        <w:footnoteRef/>
      </w:r>
      <w:r w:rsidRPr="00FF1138">
        <w:rPr>
          <w:rFonts w:cstheme="minorHAnsi"/>
        </w:rPr>
        <w:t>ERP measures the relative change in value added at domestic prices (protective effect on output net of protective effect on inputs) over value added measured in world prices.</w:t>
      </w:r>
    </w:p>
  </w:footnote>
  <w:footnote w:id="10">
    <w:p w14:paraId="4D8DCD37" w14:textId="43580935" w:rsidR="00BF4C93" w:rsidRPr="00877A9D" w:rsidRDefault="00BF4C93" w:rsidP="00A51CF0">
      <w:pPr>
        <w:pStyle w:val="FootnoteText"/>
        <w:jc w:val="both"/>
        <w:rPr>
          <w:lang w:val="en-US"/>
        </w:rPr>
      </w:pPr>
      <w:r>
        <w:rPr>
          <w:rStyle w:val="FootnoteReference"/>
        </w:rPr>
        <w:footnoteRef/>
      </w:r>
      <w:r>
        <w:t xml:space="preserve"> </w:t>
      </w:r>
      <w:r>
        <w:rPr>
          <w:lang w:val="en-US"/>
        </w:rPr>
        <w:t xml:space="preserve">   As Utilization Declarations (UDs) for RMG exports were issued by the two associations, BGMEA and BKMEA, exporting firms has to be members in order to get the UDs and foreign investors faced entry barriers to these exclusive local clubs. Lately, Export Promotion Bureau (EPB) has decided to issue UDs to foreign firms, if they are unable to obtain them from the associations. </w:t>
      </w:r>
    </w:p>
  </w:footnote>
  <w:footnote w:id="11">
    <w:p w14:paraId="01BB8F79" w14:textId="109A92D8" w:rsidR="00BF4C93" w:rsidRPr="003E2BED" w:rsidRDefault="00BF4C93" w:rsidP="003E2BED">
      <w:pPr>
        <w:pStyle w:val="FootnoteText"/>
        <w:jc w:val="both"/>
        <w:rPr>
          <w:lang w:val="en-US"/>
        </w:rPr>
      </w:pPr>
      <w:r w:rsidRPr="003E2BED">
        <w:rPr>
          <w:rStyle w:val="FootnoteReference"/>
        </w:rPr>
        <w:footnoteRef/>
      </w:r>
      <w:r w:rsidRPr="003E2BED">
        <w:t xml:space="preserve"> </w:t>
      </w:r>
      <w:r w:rsidRPr="003E2BED">
        <w:rPr>
          <w:lang w:val="en-US"/>
        </w:rPr>
        <w:t xml:space="preserve">   </w:t>
      </w:r>
      <w:r w:rsidRPr="003E2BED">
        <w:rPr>
          <w:rFonts w:eastAsiaTheme="minorEastAsia"/>
          <w:color w:val="545454"/>
        </w:rPr>
        <w:t>The expression "</w:t>
      </w:r>
      <w:r w:rsidRPr="003E2BED">
        <w:rPr>
          <w:rFonts w:eastAsiaTheme="minorEastAsia"/>
          <w:b/>
          <w:bCs/>
          <w:color w:val="545454"/>
        </w:rPr>
        <w:t>creative destruction</w:t>
      </w:r>
      <w:r w:rsidRPr="003E2BED">
        <w:rPr>
          <w:rFonts w:eastAsiaTheme="minorEastAsia"/>
          <w:color w:val="545454"/>
        </w:rPr>
        <w:t xml:space="preserve">" was popularized by and is most associated with Joseph </w:t>
      </w:r>
      <w:r w:rsidRPr="003E2BED">
        <w:rPr>
          <w:rFonts w:eastAsiaTheme="minorEastAsia"/>
          <w:b/>
          <w:bCs/>
          <w:color w:val="545454"/>
        </w:rPr>
        <w:t>Schumpeter</w:t>
      </w:r>
      <w:r w:rsidRPr="003E2BED">
        <w:rPr>
          <w:rFonts w:eastAsiaTheme="minorEastAsia"/>
          <w:color w:val="545454"/>
        </w:rPr>
        <w:t>, particularly in his book Capitalism, Socialism and Democracy, first published in 1942</w:t>
      </w:r>
      <w:r w:rsidRPr="003E2BED">
        <w:rPr>
          <w:rFonts w:eastAsiaTheme="minorEastAsia"/>
          <w:color w:val="545454"/>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D2683"/>
    <w:multiLevelType w:val="hybridMultilevel"/>
    <w:tmpl w:val="722C7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1E63FC"/>
    <w:multiLevelType w:val="hybridMultilevel"/>
    <w:tmpl w:val="786081FA"/>
    <w:lvl w:ilvl="0" w:tplc="B35A14D0">
      <w:start w:val="1"/>
      <w:numFmt w:val="upperLetter"/>
      <w:pStyle w:val="Heading1"/>
      <w:lvlText w:val="%1."/>
      <w:lvlJc w:val="left"/>
      <w:pPr>
        <w:ind w:left="360" w:hanging="360"/>
      </w:pPr>
      <w:rPr>
        <w:rFonts w:hint="default"/>
        <w:b/>
        <w:sz w:val="3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8F76D41"/>
    <w:multiLevelType w:val="hybridMultilevel"/>
    <w:tmpl w:val="429A9604"/>
    <w:lvl w:ilvl="0" w:tplc="481E34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79413C"/>
    <w:multiLevelType w:val="hybridMultilevel"/>
    <w:tmpl w:val="B0ECC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0075D9"/>
    <w:multiLevelType w:val="hybridMultilevel"/>
    <w:tmpl w:val="00A0389E"/>
    <w:lvl w:ilvl="0" w:tplc="78248B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9F74D4"/>
    <w:multiLevelType w:val="hybridMultilevel"/>
    <w:tmpl w:val="69566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574210"/>
    <w:multiLevelType w:val="hybridMultilevel"/>
    <w:tmpl w:val="38D6D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E93EF5"/>
    <w:multiLevelType w:val="hybridMultilevel"/>
    <w:tmpl w:val="6D7C9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930E45"/>
    <w:multiLevelType w:val="hybridMultilevel"/>
    <w:tmpl w:val="A7981824"/>
    <w:lvl w:ilvl="0" w:tplc="1F0427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7F3798"/>
    <w:multiLevelType w:val="hybridMultilevel"/>
    <w:tmpl w:val="AFCC9410"/>
    <w:lvl w:ilvl="0" w:tplc="93D2462C">
      <w:start w:val="1"/>
      <w:numFmt w:val="decimal"/>
      <w:lvlText w:val="%1."/>
      <w:lvlJc w:val="left"/>
      <w:pPr>
        <w:ind w:left="110" w:hanging="850"/>
      </w:pPr>
      <w:rPr>
        <w:rFonts w:ascii="Times New Roman" w:eastAsia="Times New Roman" w:hAnsi="Times New Roman" w:cs="Times New Roman" w:hint="default"/>
        <w:w w:val="100"/>
        <w:sz w:val="22"/>
        <w:szCs w:val="22"/>
      </w:rPr>
    </w:lvl>
    <w:lvl w:ilvl="1" w:tplc="54E65CFE">
      <w:numFmt w:val="bullet"/>
      <w:lvlText w:val=""/>
      <w:lvlJc w:val="left"/>
      <w:pPr>
        <w:ind w:left="960" w:hanging="408"/>
      </w:pPr>
      <w:rPr>
        <w:rFonts w:ascii="Symbol" w:eastAsia="Symbol" w:hAnsi="Symbol" w:cs="Symbol" w:hint="default"/>
        <w:w w:val="100"/>
        <w:sz w:val="22"/>
        <w:szCs w:val="22"/>
      </w:rPr>
    </w:lvl>
    <w:lvl w:ilvl="2" w:tplc="04090001">
      <w:start w:val="1"/>
      <w:numFmt w:val="bullet"/>
      <w:lvlText w:val=""/>
      <w:lvlJc w:val="left"/>
      <w:pPr>
        <w:ind w:left="960" w:hanging="408"/>
      </w:pPr>
      <w:rPr>
        <w:rFonts w:ascii="Symbol" w:hAnsi="Symbol" w:hint="default"/>
      </w:rPr>
    </w:lvl>
    <w:lvl w:ilvl="3" w:tplc="EE62AE54">
      <w:numFmt w:val="bullet"/>
      <w:lvlText w:val="•"/>
      <w:lvlJc w:val="left"/>
      <w:pPr>
        <w:ind w:left="2050" w:hanging="408"/>
      </w:pPr>
      <w:rPr>
        <w:rFonts w:hint="default"/>
      </w:rPr>
    </w:lvl>
    <w:lvl w:ilvl="4" w:tplc="69902C7E">
      <w:numFmt w:val="bullet"/>
      <w:lvlText w:val="•"/>
      <w:lvlJc w:val="left"/>
      <w:pPr>
        <w:ind w:left="3141" w:hanging="408"/>
      </w:pPr>
      <w:rPr>
        <w:rFonts w:hint="default"/>
      </w:rPr>
    </w:lvl>
    <w:lvl w:ilvl="5" w:tplc="2AC88EC4">
      <w:numFmt w:val="bullet"/>
      <w:lvlText w:val="•"/>
      <w:lvlJc w:val="left"/>
      <w:pPr>
        <w:ind w:left="4232" w:hanging="408"/>
      </w:pPr>
      <w:rPr>
        <w:rFonts w:hint="default"/>
      </w:rPr>
    </w:lvl>
    <w:lvl w:ilvl="6" w:tplc="56FECDCA">
      <w:numFmt w:val="bullet"/>
      <w:lvlText w:val="•"/>
      <w:lvlJc w:val="left"/>
      <w:pPr>
        <w:ind w:left="5323" w:hanging="408"/>
      </w:pPr>
      <w:rPr>
        <w:rFonts w:hint="default"/>
      </w:rPr>
    </w:lvl>
    <w:lvl w:ilvl="7" w:tplc="503210BC">
      <w:numFmt w:val="bullet"/>
      <w:lvlText w:val="•"/>
      <w:lvlJc w:val="left"/>
      <w:pPr>
        <w:ind w:left="6414" w:hanging="408"/>
      </w:pPr>
      <w:rPr>
        <w:rFonts w:hint="default"/>
      </w:rPr>
    </w:lvl>
    <w:lvl w:ilvl="8" w:tplc="407C3B62">
      <w:numFmt w:val="bullet"/>
      <w:lvlText w:val="•"/>
      <w:lvlJc w:val="left"/>
      <w:pPr>
        <w:ind w:left="7504" w:hanging="408"/>
      </w:pPr>
      <w:rPr>
        <w:rFonts w:hint="default"/>
      </w:rPr>
    </w:lvl>
  </w:abstractNum>
  <w:abstractNum w:abstractNumId="10" w15:restartNumberingAfterBreak="0">
    <w:nsid w:val="60167CD5"/>
    <w:multiLevelType w:val="hybridMultilevel"/>
    <w:tmpl w:val="BC188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30324F6"/>
    <w:multiLevelType w:val="hybridMultilevel"/>
    <w:tmpl w:val="731C8584"/>
    <w:lvl w:ilvl="0" w:tplc="04090001">
      <w:start w:val="1"/>
      <w:numFmt w:val="bullet"/>
      <w:lvlText w:val=""/>
      <w:lvlJc w:val="left"/>
      <w:pPr>
        <w:ind w:left="2970" w:hanging="360"/>
      </w:pPr>
      <w:rPr>
        <w:rFonts w:ascii="Symbol" w:hAnsi="Symbol"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12" w15:restartNumberingAfterBreak="0">
    <w:nsid w:val="65CA52E8"/>
    <w:multiLevelType w:val="hybridMultilevel"/>
    <w:tmpl w:val="981E2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7E3974"/>
    <w:multiLevelType w:val="hybridMultilevel"/>
    <w:tmpl w:val="B4582812"/>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5A2085A"/>
    <w:multiLevelType w:val="hybridMultilevel"/>
    <w:tmpl w:val="F2008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6705D0"/>
    <w:multiLevelType w:val="hybridMultilevel"/>
    <w:tmpl w:val="E7D45518"/>
    <w:lvl w:ilvl="0" w:tplc="481E34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7"/>
  </w:num>
  <w:num w:numId="4">
    <w:abstractNumId w:val="10"/>
  </w:num>
  <w:num w:numId="5">
    <w:abstractNumId w:val="5"/>
  </w:num>
  <w:num w:numId="6">
    <w:abstractNumId w:val="11"/>
  </w:num>
  <w:num w:numId="7">
    <w:abstractNumId w:val="6"/>
  </w:num>
  <w:num w:numId="8">
    <w:abstractNumId w:val="14"/>
  </w:num>
  <w:num w:numId="9">
    <w:abstractNumId w:val="3"/>
  </w:num>
  <w:num w:numId="10">
    <w:abstractNumId w:val="15"/>
  </w:num>
  <w:num w:numId="11">
    <w:abstractNumId w:val="12"/>
  </w:num>
  <w:num w:numId="12">
    <w:abstractNumId w:val="2"/>
  </w:num>
  <w:num w:numId="13">
    <w:abstractNumId w:val="13"/>
  </w:num>
  <w:num w:numId="14">
    <w:abstractNumId w:val="0"/>
  </w:num>
  <w:num w:numId="15">
    <w:abstractNumId w:val="1"/>
  </w:num>
  <w:num w:numId="16">
    <w:abstractNumId w:val="1"/>
  </w:num>
  <w:num w:numId="17">
    <w:abstractNumId w:val="1"/>
  </w:num>
  <w:num w:numId="18">
    <w:abstractNumId w:val="1"/>
  </w:num>
  <w:num w:numId="19">
    <w:abstractNumId w:val="1"/>
  </w:num>
  <w:num w:numId="20">
    <w:abstractNumId w:val="1"/>
  </w:num>
  <w:num w:numId="21">
    <w:abstractNumId w:val="4"/>
  </w:num>
  <w:num w:numId="22">
    <w:abstractNumId w:val="8"/>
  </w:num>
  <w:num w:numId="23">
    <w:abstractNumId w:val="1"/>
  </w:num>
  <w:num w:numId="24">
    <w:abstractNumId w:val="1"/>
  </w:num>
  <w:num w:numId="25">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D3F"/>
    <w:rsid w:val="0000489B"/>
    <w:rsid w:val="00004D5F"/>
    <w:rsid w:val="00005DB2"/>
    <w:rsid w:val="000063E3"/>
    <w:rsid w:val="00012005"/>
    <w:rsid w:val="00016C7A"/>
    <w:rsid w:val="00021CA9"/>
    <w:rsid w:val="000241FF"/>
    <w:rsid w:val="000242F8"/>
    <w:rsid w:val="000251A7"/>
    <w:rsid w:val="0002565D"/>
    <w:rsid w:val="00026AE0"/>
    <w:rsid w:val="00027F85"/>
    <w:rsid w:val="000422A4"/>
    <w:rsid w:val="00042EC7"/>
    <w:rsid w:val="00052929"/>
    <w:rsid w:val="00053235"/>
    <w:rsid w:val="00054B26"/>
    <w:rsid w:val="00055051"/>
    <w:rsid w:val="000559A4"/>
    <w:rsid w:val="00067BAF"/>
    <w:rsid w:val="000710F0"/>
    <w:rsid w:val="000802BF"/>
    <w:rsid w:val="00082D9B"/>
    <w:rsid w:val="00083025"/>
    <w:rsid w:val="00085EEA"/>
    <w:rsid w:val="0009733F"/>
    <w:rsid w:val="00097FB8"/>
    <w:rsid w:val="000A2DE1"/>
    <w:rsid w:val="000A7B56"/>
    <w:rsid w:val="000A7DBB"/>
    <w:rsid w:val="000B7D16"/>
    <w:rsid w:val="000C146E"/>
    <w:rsid w:val="000C155E"/>
    <w:rsid w:val="000C2092"/>
    <w:rsid w:val="000C4DC0"/>
    <w:rsid w:val="000D6598"/>
    <w:rsid w:val="000E62F1"/>
    <w:rsid w:val="000E7F46"/>
    <w:rsid w:val="000F39B7"/>
    <w:rsid w:val="000F65BB"/>
    <w:rsid w:val="0010020F"/>
    <w:rsid w:val="00100D59"/>
    <w:rsid w:val="00105F5C"/>
    <w:rsid w:val="00106D8E"/>
    <w:rsid w:val="00114D0D"/>
    <w:rsid w:val="001204FB"/>
    <w:rsid w:val="001236DF"/>
    <w:rsid w:val="00124A9B"/>
    <w:rsid w:val="00124FE0"/>
    <w:rsid w:val="00125963"/>
    <w:rsid w:val="00126CA1"/>
    <w:rsid w:val="00140E10"/>
    <w:rsid w:val="00141AA1"/>
    <w:rsid w:val="001420C4"/>
    <w:rsid w:val="001465D6"/>
    <w:rsid w:val="001531AE"/>
    <w:rsid w:val="001533B7"/>
    <w:rsid w:val="0015746D"/>
    <w:rsid w:val="00160707"/>
    <w:rsid w:val="0016190E"/>
    <w:rsid w:val="00162258"/>
    <w:rsid w:val="00170ABD"/>
    <w:rsid w:val="0017186D"/>
    <w:rsid w:val="001729B8"/>
    <w:rsid w:val="00172E36"/>
    <w:rsid w:val="00174C68"/>
    <w:rsid w:val="00181EAB"/>
    <w:rsid w:val="001842C4"/>
    <w:rsid w:val="00184DD5"/>
    <w:rsid w:val="001869B9"/>
    <w:rsid w:val="00191E3B"/>
    <w:rsid w:val="001933E7"/>
    <w:rsid w:val="00196357"/>
    <w:rsid w:val="00196B44"/>
    <w:rsid w:val="001A31D3"/>
    <w:rsid w:val="001A5C35"/>
    <w:rsid w:val="001B672D"/>
    <w:rsid w:val="001C2C8C"/>
    <w:rsid w:val="001C2DA9"/>
    <w:rsid w:val="001C52C3"/>
    <w:rsid w:val="001C7243"/>
    <w:rsid w:val="001C7EDC"/>
    <w:rsid w:val="001D0C1B"/>
    <w:rsid w:val="001D3D6A"/>
    <w:rsid w:val="001D4BD6"/>
    <w:rsid w:val="001D61D6"/>
    <w:rsid w:val="001D66FA"/>
    <w:rsid w:val="001E1D59"/>
    <w:rsid w:val="001E30B3"/>
    <w:rsid w:val="001E62DB"/>
    <w:rsid w:val="001E756D"/>
    <w:rsid w:val="001F0582"/>
    <w:rsid w:val="001F49AD"/>
    <w:rsid w:val="001F7011"/>
    <w:rsid w:val="002056F2"/>
    <w:rsid w:val="00210ED7"/>
    <w:rsid w:val="00211EA6"/>
    <w:rsid w:val="00211F03"/>
    <w:rsid w:val="00212FEB"/>
    <w:rsid w:val="00216A40"/>
    <w:rsid w:val="00221582"/>
    <w:rsid w:val="002247EB"/>
    <w:rsid w:val="00227913"/>
    <w:rsid w:val="0023335D"/>
    <w:rsid w:val="00233385"/>
    <w:rsid w:val="00234A12"/>
    <w:rsid w:val="002478C7"/>
    <w:rsid w:val="0025080A"/>
    <w:rsid w:val="00252F32"/>
    <w:rsid w:val="00254A5E"/>
    <w:rsid w:val="00261C72"/>
    <w:rsid w:val="002629E3"/>
    <w:rsid w:val="00274234"/>
    <w:rsid w:val="00284A69"/>
    <w:rsid w:val="002850A6"/>
    <w:rsid w:val="00292A2C"/>
    <w:rsid w:val="002931FA"/>
    <w:rsid w:val="0029504A"/>
    <w:rsid w:val="002A1F99"/>
    <w:rsid w:val="002A3436"/>
    <w:rsid w:val="002A6F86"/>
    <w:rsid w:val="002A7ACE"/>
    <w:rsid w:val="002B77B1"/>
    <w:rsid w:val="002B78EF"/>
    <w:rsid w:val="002B7C95"/>
    <w:rsid w:val="002C13EA"/>
    <w:rsid w:val="002C3E70"/>
    <w:rsid w:val="002C4947"/>
    <w:rsid w:val="002C62E3"/>
    <w:rsid w:val="002D1649"/>
    <w:rsid w:val="002D1CD4"/>
    <w:rsid w:val="002D6797"/>
    <w:rsid w:val="002D67D3"/>
    <w:rsid w:val="002D7662"/>
    <w:rsid w:val="002E608F"/>
    <w:rsid w:val="002E73F2"/>
    <w:rsid w:val="002E7B9D"/>
    <w:rsid w:val="002F0A8A"/>
    <w:rsid w:val="002F1A20"/>
    <w:rsid w:val="002F24F1"/>
    <w:rsid w:val="002F71D0"/>
    <w:rsid w:val="00300FD1"/>
    <w:rsid w:val="00306A77"/>
    <w:rsid w:val="00313DCE"/>
    <w:rsid w:val="00315E06"/>
    <w:rsid w:val="003215B5"/>
    <w:rsid w:val="003302EF"/>
    <w:rsid w:val="0033360E"/>
    <w:rsid w:val="00334699"/>
    <w:rsid w:val="00336689"/>
    <w:rsid w:val="00336A3E"/>
    <w:rsid w:val="003430EE"/>
    <w:rsid w:val="00345AB1"/>
    <w:rsid w:val="00350DF0"/>
    <w:rsid w:val="00354A3B"/>
    <w:rsid w:val="00356C93"/>
    <w:rsid w:val="0036317E"/>
    <w:rsid w:val="00365335"/>
    <w:rsid w:val="003709D9"/>
    <w:rsid w:val="00383662"/>
    <w:rsid w:val="00383E4C"/>
    <w:rsid w:val="00386CD0"/>
    <w:rsid w:val="0039653E"/>
    <w:rsid w:val="00396732"/>
    <w:rsid w:val="003A2D08"/>
    <w:rsid w:val="003A5211"/>
    <w:rsid w:val="003B1C46"/>
    <w:rsid w:val="003B66DB"/>
    <w:rsid w:val="003C2997"/>
    <w:rsid w:val="003C2B46"/>
    <w:rsid w:val="003D16F7"/>
    <w:rsid w:val="003D254B"/>
    <w:rsid w:val="003E098E"/>
    <w:rsid w:val="003E2BED"/>
    <w:rsid w:val="003E4586"/>
    <w:rsid w:val="003E4A12"/>
    <w:rsid w:val="003E595A"/>
    <w:rsid w:val="003E65C7"/>
    <w:rsid w:val="003E72B7"/>
    <w:rsid w:val="003E7A1A"/>
    <w:rsid w:val="003F7D33"/>
    <w:rsid w:val="004131D2"/>
    <w:rsid w:val="00422C9E"/>
    <w:rsid w:val="00422F3A"/>
    <w:rsid w:val="004255D7"/>
    <w:rsid w:val="00425FBA"/>
    <w:rsid w:val="00426364"/>
    <w:rsid w:val="00430545"/>
    <w:rsid w:val="00430D9F"/>
    <w:rsid w:val="00430FB6"/>
    <w:rsid w:val="00434B64"/>
    <w:rsid w:val="00436339"/>
    <w:rsid w:val="00440C98"/>
    <w:rsid w:val="004446CB"/>
    <w:rsid w:val="00445125"/>
    <w:rsid w:val="00446ACD"/>
    <w:rsid w:val="00463B4C"/>
    <w:rsid w:val="00467219"/>
    <w:rsid w:val="00472590"/>
    <w:rsid w:val="00474403"/>
    <w:rsid w:val="00480AAD"/>
    <w:rsid w:val="00484FF8"/>
    <w:rsid w:val="00485F33"/>
    <w:rsid w:val="00486748"/>
    <w:rsid w:val="004868E5"/>
    <w:rsid w:val="00491F12"/>
    <w:rsid w:val="00492CA8"/>
    <w:rsid w:val="00493578"/>
    <w:rsid w:val="00493A6D"/>
    <w:rsid w:val="004A287A"/>
    <w:rsid w:val="004A3838"/>
    <w:rsid w:val="004A3E39"/>
    <w:rsid w:val="004A4B19"/>
    <w:rsid w:val="004A69DB"/>
    <w:rsid w:val="004A78CD"/>
    <w:rsid w:val="004A7CE4"/>
    <w:rsid w:val="004B21CE"/>
    <w:rsid w:val="004B324F"/>
    <w:rsid w:val="004B4C17"/>
    <w:rsid w:val="004B6C71"/>
    <w:rsid w:val="004C4677"/>
    <w:rsid w:val="004D3102"/>
    <w:rsid w:val="004D3BF1"/>
    <w:rsid w:val="004D3E5A"/>
    <w:rsid w:val="004D7812"/>
    <w:rsid w:val="004E3E8A"/>
    <w:rsid w:val="004E5370"/>
    <w:rsid w:val="004F0A4C"/>
    <w:rsid w:val="004F1CF2"/>
    <w:rsid w:val="004F1E17"/>
    <w:rsid w:val="004F3484"/>
    <w:rsid w:val="004F4094"/>
    <w:rsid w:val="004F4BCE"/>
    <w:rsid w:val="004F5716"/>
    <w:rsid w:val="00500718"/>
    <w:rsid w:val="00502CAF"/>
    <w:rsid w:val="00513D1F"/>
    <w:rsid w:val="00516B47"/>
    <w:rsid w:val="005171C3"/>
    <w:rsid w:val="00520833"/>
    <w:rsid w:val="00526140"/>
    <w:rsid w:val="005303EB"/>
    <w:rsid w:val="00530C88"/>
    <w:rsid w:val="00534F6F"/>
    <w:rsid w:val="00535F98"/>
    <w:rsid w:val="0054160B"/>
    <w:rsid w:val="00541621"/>
    <w:rsid w:val="00543D49"/>
    <w:rsid w:val="00544A84"/>
    <w:rsid w:val="005472AF"/>
    <w:rsid w:val="00555AD3"/>
    <w:rsid w:val="00556FB0"/>
    <w:rsid w:val="0055766B"/>
    <w:rsid w:val="00562120"/>
    <w:rsid w:val="0056299B"/>
    <w:rsid w:val="00564EA6"/>
    <w:rsid w:val="00565393"/>
    <w:rsid w:val="00566A34"/>
    <w:rsid w:val="005678ED"/>
    <w:rsid w:val="0057261E"/>
    <w:rsid w:val="00576EF2"/>
    <w:rsid w:val="00577A9A"/>
    <w:rsid w:val="005825C0"/>
    <w:rsid w:val="00583D6C"/>
    <w:rsid w:val="00584BDB"/>
    <w:rsid w:val="00595C4E"/>
    <w:rsid w:val="005A15B5"/>
    <w:rsid w:val="005B000F"/>
    <w:rsid w:val="005C36CA"/>
    <w:rsid w:val="005C5049"/>
    <w:rsid w:val="005C6F0C"/>
    <w:rsid w:val="005D3B77"/>
    <w:rsid w:val="005D3E84"/>
    <w:rsid w:val="005D7115"/>
    <w:rsid w:val="005E5667"/>
    <w:rsid w:val="005E5C30"/>
    <w:rsid w:val="005E5FCE"/>
    <w:rsid w:val="005F2A2B"/>
    <w:rsid w:val="005F3AD2"/>
    <w:rsid w:val="00600391"/>
    <w:rsid w:val="0060524D"/>
    <w:rsid w:val="006062C6"/>
    <w:rsid w:val="0060738E"/>
    <w:rsid w:val="006143D2"/>
    <w:rsid w:val="00617804"/>
    <w:rsid w:val="00617F90"/>
    <w:rsid w:val="00630C35"/>
    <w:rsid w:val="00637513"/>
    <w:rsid w:val="00637AD3"/>
    <w:rsid w:val="00640977"/>
    <w:rsid w:val="00642F65"/>
    <w:rsid w:val="00650F20"/>
    <w:rsid w:val="00666251"/>
    <w:rsid w:val="006674A1"/>
    <w:rsid w:val="006725FC"/>
    <w:rsid w:val="00681F01"/>
    <w:rsid w:val="00683B22"/>
    <w:rsid w:val="006A3FDE"/>
    <w:rsid w:val="006A4F66"/>
    <w:rsid w:val="006A5BC7"/>
    <w:rsid w:val="006C2DD4"/>
    <w:rsid w:val="006C2FD4"/>
    <w:rsid w:val="006C37D4"/>
    <w:rsid w:val="006C4F50"/>
    <w:rsid w:val="006C574C"/>
    <w:rsid w:val="006C6096"/>
    <w:rsid w:val="006C7D9D"/>
    <w:rsid w:val="006D3A85"/>
    <w:rsid w:val="006D63BC"/>
    <w:rsid w:val="006E2164"/>
    <w:rsid w:val="006E3AA7"/>
    <w:rsid w:val="006E4004"/>
    <w:rsid w:val="006E4E3B"/>
    <w:rsid w:val="006F2FE4"/>
    <w:rsid w:val="00700003"/>
    <w:rsid w:val="00700C57"/>
    <w:rsid w:val="00701482"/>
    <w:rsid w:val="0070692B"/>
    <w:rsid w:val="00720150"/>
    <w:rsid w:val="007333AE"/>
    <w:rsid w:val="007363D8"/>
    <w:rsid w:val="00737E1D"/>
    <w:rsid w:val="00742F24"/>
    <w:rsid w:val="00750956"/>
    <w:rsid w:val="00751A08"/>
    <w:rsid w:val="00752DA3"/>
    <w:rsid w:val="00753A74"/>
    <w:rsid w:val="007554DC"/>
    <w:rsid w:val="0075744C"/>
    <w:rsid w:val="0075767B"/>
    <w:rsid w:val="00757F3F"/>
    <w:rsid w:val="00764476"/>
    <w:rsid w:val="0078521C"/>
    <w:rsid w:val="00785BB5"/>
    <w:rsid w:val="00790F1B"/>
    <w:rsid w:val="00792369"/>
    <w:rsid w:val="007951DB"/>
    <w:rsid w:val="007A046F"/>
    <w:rsid w:val="007A2894"/>
    <w:rsid w:val="007A290D"/>
    <w:rsid w:val="007A5289"/>
    <w:rsid w:val="007A56C6"/>
    <w:rsid w:val="007A5D31"/>
    <w:rsid w:val="007B1675"/>
    <w:rsid w:val="007B179F"/>
    <w:rsid w:val="007B33EB"/>
    <w:rsid w:val="007B7988"/>
    <w:rsid w:val="007C13A5"/>
    <w:rsid w:val="007C180B"/>
    <w:rsid w:val="007C4055"/>
    <w:rsid w:val="007D535C"/>
    <w:rsid w:val="007D73CA"/>
    <w:rsid w:val="007E144F"/>
    <w:rsid w:val="007E2A95"/>
    <w:rsid w:val="007E4D57"/>
    <w:rsid w:val="007F6617"/>
    <w:rsid w:val="008001B2"/>
    <w:rsid w:val="00800545"/>
    <w:rsid w:val="00800AB1"/>
    <w:rsid w:val="008017A7"/>
    <w:rsid w:val="008026E4"/>
    <w:rsid w:val="008044CE"/>
    <w:rsid w:val="00804A91"/>
    <w:rsid w:val="00807205"/>
    <w:rsid w:val="00810E3D"/>
    <w:rsid w:val="00820BB4"/>
    <w:rsid w:val="00820C99"/>
    <w:rsid w:val="0082331A"/>
    <w:rsid w:val="00825B79"/>
    <w:rsid w:val="0082663A"/>
    <w:rsid w:val="008274F4"/>
    <w:rsid w:val="008319B5"/>
    <w:rsid w:val="00832A92"/>
    <w:rsid w:val="00835BA0"/>
    <w:rsid w:val="0084024E"/>
    <w:rsid w:val="00840EB2"/>
    <w:rsid w:val="00840ECB"/>
    <w:rsid w:val="008434E1"/>
    <w:rsid w:val="00844A05"/>
    <w:rsid w:val="008463A1"/>
    <w:rsid w:val="00846B54"/>
    <w:rsid w:val="008505F3"/>
    <w:rsid w:val="00851C3F"/>
    <w:rsid w:val="00860362"/>
    <w:rsid w:val="008654DB"/>
    <w:rsid w:val="0087358C"/>
    <w:rsid w:val="008754E9"/>
    <w:rsid w:val="0087720E"/>
    <w:rsid w:val="00877A9D"/>
    <w:rsid w:val="00883E71"/>
    <w:rsid w:val="00886715"/>
    <w:rsid w:val="008874C2"/>
    <w:rsid w:val="00891201"/>
    <w:rsid w:val="008917DF"/>
    <w:rsid w:val="00893616"/>
    <w:rsid w:val="00895045"/>
    <w:rsid w:val="008A4444"/>
    <w:rsid w:val="008A72F7"/>
    <w:rsid w:val="008B1AE2"/>
    <w:rsid w:val="008B3A9A"/>
    <w:rsid w:val="008B4CD9"/>
    <w:rsid w:val="008B7DBC"/>
    <w:rsid w:val="008C06F8"/>
    <w:rsid w:val="008C19CA"/>
    <w:rsid w:val="008C277E"/>
    <w:rsid w:val="008C5487"/>
    <w:rsid w:val="008C75D2"/>
    <w:rsid w:val="008D397E"/>
    <w:rsid w:val="008D40E2"/>
    <w:rsid w:val="008E3546"/>
    <w:rsid w:val="008F486B"/>
    <w:rsid w:val="008F5714"/>
    <w:rsid w:val="009061BB"/>
    <w:rsid w:val="00914DF8"/>
    <w:rsid w:val="009178A5"/>
    <w:rsid w:val="009200A2"/>
    <w:rsid w:val="00927766"/>
    <w:rsid w:val="00931CB6"/>
    <w:rsid w:val="00931F6D"/>
    <w:rsid w:val="00932688"/>
    <w:rsid w:val="00935AB3"/>
    <w:rsid w:val="009364AE"/>
    <w:rsid w:val="00936CE4"/>
    <w:rsid w:val="009414D3"/>
    <w:rsid w:val="00950FE0"/>
    <w:rsid w:val="0095400E"/>
    <w:rsid w:val="00964097"/>
    <w:rsid w:val="00970527"/>
    <w:rsid w:val="009715D2"/>
    <w:rsid w:val="00974E94"/>
    <w:rsid w:val="009758D4"/>
    <w:rsid w:val="009805AD"/>
    <w:rsid w:val="00980CDF"/>
    <w:rsid w:val="0098127D"/>
    <w:rsid w:val="009841C3"/>
    <w:rsid w:val="00992FB0"/>
    <w:rsid w:val="00995A17"/>
    <w:rsid w:val="009A15E4"/>
    <w:rsid w:val="009A189E"/>
    <w:rsid w:val="009A18AE"/>
    <w:rsid w:val="009A1E7F"/>
    <w:rsid w:val="009A4805"/>
    <w:rsid w:val="009A5D91"/>
    <w:rsid w:val="009A7451"/>
    <w:rsid w:val="009B19C4"/>
    <w:rsid w:val="009B2BB4"/>
    <w:rsid w:val="009B38B5"/>
    <w:rsid w:val="009B5C4C"/>
    <w:rsid w:val="009C3FAB"/>
    <w:rsid w:val="009C4FB3"/>
    <w:rsid w:val="009D2927"/>
    <w:rsid w:val="009D4711"/>
    <w:rsid w:val="009E1A8B"/>
    <w:rsid w:val="009E5BFF"/>
    <w:rsid w:val="009E720A"/>
    <w:rsid w:val="009F1FF7"/>
    <w:rsid w:val="009F34AB"/>
    <w:rsid w:val="009F43DC"/>
    <w:rsid w:val="00A00DEC"/>
    <w:rsid w:val="00A03D13"/>
    <w:rsid w:val="00A07134"/>
    <w:rsid w:val="00A13D3C"/>
    <w:rsid w:val="00A16D7B"/>
    <w:rsid w:val="00A23779"/>
    <w:rsid w:val="00A26318"/>
    <w:rsid w:val="00A31416"/>
    <w:rsid w:val="00A42036"/>
    <w:rsid w:val="00A50C0D"/>
    <w:rsid w:val="00A51CF0"/>
    <w:rsid w:val="00A52AA5"/>
    <w:rsid w:val="00A54799"/>
    <w:rsid w:val="00A62201"/>
    <w:rsid w:val="00A6417D"/>
    <w:rsid w:val="00A64705"/>
    <w:rsid w:val="00A73A63"/>
    <w:rsid w:val="00A767C3"/>
    <w:rsid w:val="00A76CF9"/>
    <w:rsid w:val="00A7709C"/>
    <w:rsid w:val="00A77274"/>
    <w:rsid w:val="00A81958"/>
    <w:rsid w:val="00A8296D"/>
    <w:rsid w:val="00A91591"/>
    <w:rsid w:val="00A944D0"/>
    <w:rsid w:val="00A955A5"/>
    <w:rsid w:val="00A95EF2"/>
    <w:rsid w:val="00AA2438"/>
    <w:rsid w:val="00AA2C18"/>
    <w:rsid w:val="00AA34FE"/>
    <w:rsid w:val="00AA4185"/>
    <w:rsid w:val="00AA5AF5"/>
    <w:rsid w:val="00AA66DF"/>
    <w:rsid w:val="00AB1693"/>
    <w:rsid w:val="00AB43A0"/>
    <w:rsid w:val="00AC2AF0"/>
    <w:rsid w:val="00AC7B31"/>
    <w:rsid w:val="00AD2C79"/>
    <w:rsid w:val="00AD3747"/>
    <w:rsid w:val="00AD3D49"/>
    <w:rsid w:val="00AD409E"/>
    <w:rsid w:val="00AD42C8"/>
    <w:rsid w:val="00AD4CE3"/>
    <w:rsid w:val="00AD5B72"/>
    <w:rsid w:val="00AD72E6"/>
    <w:rsid w:val="00AD7461"/>
    <w:rsid w:val="00AE024B"/>
    <w:rsid w:val="00AE0FE0"/>
    <w:rsid w:val="00AE2D35"/>
    <w:rsid w:val="00AE7100"/>
    <w:rsid w:val="00AF0FA0"/>
    <w:rsid w:val="00AF12FF"/>
    <w:rsid w:val="00AF51D4"/>
    <w:rsid w:val="00AF58AF"/>
    <w:rsid w:val="00AF5B92"/>
    <w:rsid w:val="00B00185"/>
    <w:rsid w:val="00B0792E"/>
    <w:rsid w:val="00B11C6C"/>
    <w:rsid w:val="00B13631"/>
    <w:rsid w:val="00B15B37"/>
    <w:rsid w:val="00B30485"/>
    <w:rsid w:val="00B33907"/>
    <w:rsid w:val="00B33BDD"/>
    <w:rsid w:val="00B35F9C"/>
    <w:rsid w:val="00B362A4"/>
    <w:rsid w:val="00B40AE4"/>
    <w:rsid w:val="00B42D83"/>
    <w:rsid w:val="00B45F55"/>
    <w:rsid w:val="00B541ED"/>
    <w:rsid w:val="00B54A48"/>
    <w:rsid w:val="00B5610E"/>
    <w:rsid w:val="00B57502"/>
    <w:rsid w:val="00B636AF"/>
    <w:rsid w:val="00B70C10"/>
    <w:rsid w:val="00B71D49"/>
    <w:rsid w:val="00B74F24"/>
    <w:rsid w:val="00B763B1"/>
    <w:rsid w:val="00B8018A"/>
    <w:rsid w:val="00B807EE"/>
    <w:rsid w:val="00B86102"/>
    <w:rsid w:val="00B8658A"/>
    <w:rsid w:val="00B93979"/>
    <w:rsid w:val="00B9418D"/>
    <w:rsid w:val="00BB058B"/>
    <w:rsid w:val="00BB1D7F"/>
    <w:rsid w:val="00BB436D"/>
    <w:rsid w:val="00BB67E0"/>
    <w:rsid w:val="00BB735E"/>
    <w:rsid w:val="00BC06B7"/>
    <w:rsid w:val="00BC2872"/>
    <w:rsid w:val="00BC31FF"/>
    <w:rsid w:val="00BD0841"/>
    <w:rsid w:val="00BD47A2"/>
    <w:rsid w:val="00BD5D40"/>
    <w:rsid w:val="00BD5F1A"/>
    <w:rsid w:val="00BE5F5D"/>
    <w:rsid w:val="00BF27B7"/>
    <w:rsid w:val="00BF439C"/>
    <w:rsid w:val="00BF4C93"/>
    <w:rsid w:val="00BF78DA"/>
    <w:rsid w:val="00C030A4"/>
    <w:rsid w:val="00C03CDF"/>
    <w:rsid w:val="00C066AD"/>
    <w:rsid w:val="00C103AE"/>
    <w:rsid w:val="00C119D9"/>
    <w:rsid w:val="00C11B1D"/>
    <w:rsid w:val="00C124CE"/>
    <w:rsid w:val="00C13601"/>
    <w:rsid w:val="00C17678"/>
    <w:rsid w:val="00C20877"/>
    <w:rsid w:val="00C23BA4"/>
    <w:rsid w:val="00C24984"/>
    <w:rsid w:val="00C25BE8"/>
    <w:rsid w:val="00C2798A"/>
    <w:rsid w:val="00C31A92"/>
    <w:rsid w:val="00C34C2A"/>
    <w:rsid w:val="00C3703B"/>
    <w:rsid w:val="00C437BA"/>
    <w:rsid w:val="00C43928"/>
    <w:rsid w:val="00C44292"/>
    <w:rsid w:val="00C50C60"/>
    <w:rsid w:val="00C544C8"/>
    <w:rsid w:val="00C632AC"/>
    <w:rsid w:val="00C636B2"/>
    <w:rsid w:val="00C6724B"/>
    <w:rsid w:val="00C71F99"/>
    <w:rsid w:val="00C72FF4"/>
    <w:rsid w:val="00C74539"/>
    <w:rsid w:val="00C74763"/>
    <w:rsid w:val="00C75AD4"/>
    <w:rsid w:val="00C76DC1"/>
    <w:rsid w:val="00C91D3C"/>
    <w:rsid w:val="00C926C8"/>
    <w:rsid w:val="00C93E1F"/>
    <w:rsid w:val="00C96109"/>
    <w:rsid w:val="00C96722"/>
    <w:rsid w:val="00CA0E34"/>
    <w:rsid w:val="00CA6D6C"/>
    <w:rsid w:val="00CB136C"/>
    <w:rsid w:val="00CB67D3"/>
    <w:rsid w:val="00CB7C2F"/>
    <w:rsid w:val="00CC1FA6"/>
    <w:rsid w:val="00CC6605"/>
    <w:rsid w:val="00CD1ED5"/>
    <w:rsid w:val="00CD2E0F"/>
    <w:rsid w:val="00CD2FBB"/>
    <w:rsid w:val="00CE00DA"/>
    <w:rsid w:val="00CF1263"/>
    <w:rsid w:val="00CF46A4"/>
    <w:rsid w:val="00D04B50"/>
    <w:rsid w:val="00D06E4B"/>
    <w:rsid w:val="00D115E5"/>
    <w:rsid w:val="00D144BD"/>
    <w:rsid w:val="00D14CA6"/>
    <w:rsid w:val="00D1701A"/>
    <w:rsid w:val="00D22455"/>
    <w:rsid w:val="00D27EC0"/>
    <w:rsid w:val="00D35B05"/>
    <w:rsid w:val="00D3725A"/>
    <w:rsid w:val="00D37343"/>
    <w:rsid w:val="00D40915"/>
    <w:rsid w:val="00D40C74"/>
    <w:rsid w:val="00D44565"/>
    <w:rsid w:val="00D5065F"/>
    <w:rsid w:val="00D53C6F"/>
    <w:rsid w:val="00D55779"/>
    <w:rsid w:val="00D63AB7"/>
    <w:rsid w:val="00D72C02"/>
    <w:rsid w:val="00D75275"/>
    <w:rsid w:val="00D77992"/>
    <w:rsid w:val="00D81C89"/>
    <w:rsid w:val="00D86E0D"/>
    <w:rsid w:val="00D967B4"/>
    <w:rsid w:val="00D96AC4"/>
    <w:rsid w:val="00D96FBE"/>
    <w:rsid w:val="00DA18CC"/>
    <w:rsid w:val="00DA4877"/>
    <w:rsid w:val="00DA5031"/>
    <w:rsid w:val="00DB399E"/>
    <w:rsid w:val="00DB599E"/>
    <w:rsid w:val="00DB65CA"/>
    <w:rsid w:val="00DB6C67"/>
    <w:rsid w:val="00DC1B95"/>
    <w:rsid w:val="00DC540E"/>
    <w:rsid w:val="00DD0408"/>
    <w:rsid w:val="00DD3FD3"/>
    <w:rsid w:val="00DD4AF6"/>
    <w:rsid w:val="00DE1EF5"/>
    <w:rsid w:val="00DE3C2F"/>
    <w:rsid w:val="00DF4040"/>
    <w:rsid w:val="00DF610E"/>
    <w:rsid w:val="00E004A3"/>
    <w:rsid w:val="00E03E8C"/>
    <w:rsid w:val="00E03E9D"/>
    <w:rsid w:val="00E04892"/>
    <w:rsid w:val="00E05B8C"/>
    <w:rsid w:val="00E13863"/>
    <w:rsid w:val="00E15342"/>
    <w:rsid w:val="00E16C80"/>
    <w:rsid w:val="00E217B2"/>
    <w:rsid w:val="00E2284A"/>
    <w:rsid w:val="00E271FC"/>
    <w:rsid w:val="00E319EC"/>
    <w:rsid w:val="00E31D11"/>
    <w:rsid w:val="00E33337"/>
    <w:rsid w:val="00E3646C"/>
    <w:rsid w:val="00E413B6"/>
    <w:rsid w:val="00E434BB"/>
    <w:rsid w:val="00E4461D"/>
    <w:rsid w:val="00E45C9E"/>
    <w:rsid w:val="00E500B9"/>
    <w:rsid w:val="00E5068B"/>
    <w:rsid w:val="00E51E4E"/>
    <w:rsid w:val="00E615FA"/>
    <w:rsid w:val="00E66C2E"/>
    <w:rsid w:val="00E70334"/>
    <w:rsid w:val="00E7708D"/>
    <w:rsid w:val="00E81F13"/>
    <w:rsid w:val="00E83E80"/>
    <w:rsid w:val="00E84BFE"/>
    <w:rsid w:val="00E85A73"/>
    <w:rsid w:val="00E86371"/>
    <w:rsid w:val="00E91F2D"/>
    <w:rsid w:val="00E96391"/>
    <w:rsid w:val="00EA0C97"/>
    <w:rsid w:val="00EA1EAE"/>
    <w:rsid w:val="00EA6171"/>
    <w:rsid w:val="00EB4DC5"/>
    <w:rsid w:val="00EC19F5"/>
    <w:rsid w:val="00ED4103"/>
    <w:rsid w:val="00ED7B0B"/>
    <w:rsid w:val="00EE0279"/>
    <w:rsid w:val="00EE21FB"/>
    <w:rsid w:val="00EE35C8"/>
    <w:rsid w:val="00EF12F9"/>
    <w:rsid w:val="00EF2A82"/>
    <w:rsid w:val="00EF3065"/>
    <w:rsid w:val="00EF7603"/>
    <w:rsid w:val="00EF7754"/>
    <w:rsid w:val="00F007F7"/>
    <w:rsid w:val="00F11373"/>
    <w:rsid w:val="00F12578"/>
    <w:rsid w:val="00F1428B"/>
    <w:rsid w:val="00F21553"/>
    <w:rsid w:val="00F2186B"/>
    <w:rsid w:val="00F27605"/>
    <w:rsid w:val="00F30C67"/>
    <w:rsid w:val="00F355BB"/>
    <w:rsid w:val="00F36C12"/>
    <w:rsid w:val="00F36FDA"/>
    <w:rsid w:val="00F56CFE"/>
    <w:rsid w:val="00F62D3F"/>
    <w:rsid w:val="00F64212"/>
    <w:rsid w:val="00F66CE2"/>
    <w:rsid w:val="00F71417"/>
    <w:rsid w:val="00F71FED"/>
    <w:rsid w:val="00F75268"/>
    <w:rsid w:val="00F76721"/>
    <w:rsid w:val="00F83759"/>
    <w:rsid w:val="00F87EB9"/>
    <w:rsid w:val="00F92646"/>
    <w:rsid w:val="00F93CC5"/>
    <w:rsid w:val="00F9657B"/>
    <w:rsid w:val="00FA36C7"/>
    <w:rsid w:val="00FA4B7C"/>
    <w:rsid w:val="00FA7C70"/>
    <w:rsid w:val="00FB2210"/>
    <w:rsid w:val="00FB296B"/>
    <w:rsid w:val="00FB4E0B"/>
    <w:rsid w:val="00FB6525"/>
    <w:rsid w:val="00FB6C11"/>
    <w:rsid w:val="00FB7770"/>
    <w:rsid w:val="00FC432E"/>
    <w:rsid w:val="00FC6EBA"/>
    <w:rsid w:val="00FD0772"/>
    <w:rsid w:val="00FD65FD"/>
    <w:rsid w:val="00FF0DBA"/>
    <w:rsid w:val="00FF10E2"/>
    <w:rsid w:val="00FF233D"/>
    <w:rsid w:val="00FF7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55592"/>
  <w15:docId w15:val="{DC78671B-DD8E-4932-9EC5-032A85745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1958"/>
  </w:style>
  <w:style w:type="paragraph" w:styleId="Heading1">
    <w:name w:val="heading 1"/>
    <w:basedOn w:val="ListParagraph"/>
    <w:next w:val="Normal"/>
    <w:link w:val="Heading1Char"/>
    <w:uiPriority w:val="9"/>
    <w:qFormat/>
    <w:rsid w:val="00B54A48"/>
    <w:pPr>
      <w:numPr>
        <w:numId w:val="1"/>
      </w:numPr>
      <w:jc w:val="both"/>
      <w:outlineLvl w:val="0"/>
    </w:pPr>
    <w:rPr>
      <w:rFonts w:ascii="Times New Roman" w:hAnsi="Times New Roman" w:cs="Times New Roman"/>
      <w:b/>
      <w:color w:val="CC3300"/>
      <w:sz w:val="24"/>
      <w:szCs w:val="24"/>
    </w:rPr>
  </w:style>
  <w:style w:type="paragraph" w:styleId="Heading2">
    <w:name w:val="heading 2"/>
    <w:basedOn w:val="NormalWeb"/>
    <w:next w:val="Normal"/>
    <w:link w:val="Heading2Char"/>
    <w:uiPriority w:val="9"/>
    <w:unhideWhenUsed/>
    <w:qFormat/>
    <w:rsid w:val="008654DB"/>
    <w:pPr>
      <w:spacing w:before="0" w:beforeAutospacing="0" w:after="240" w:afterAutospacing="0" w:line="276" w:lineRule="auto"/>
      <w:jc w:val="both"/>
      <w:outlineLvl w:val="1"/>
    </w:pPr>
    <w:rPr>
      <w:b/>
      <w:bCs/>
    </w:rPr>
  </w:style>
  <w:style w:type="paragraph" w:styleId="Heading3">
    <w:name w:val="heading 3"/>
    <w:basedOn w:val="Heading2"/>
    <w:next w:val="Normal"/>
    <w:link w:val="Heading3Char"/>
    <w:uiPriority w:val="9"/>
    <w:unhideWhenUsed/>
    <w:qFormat/>
    <w:rsid w:val="00141AA1"/>
    <w:pPr>
      <w:outlineLvl w:val="2"/>
    </w:pPr>
  </w:style>
  <w:style w:type="paragraph" w:styleId="Heading4">
    <w:name w:val="heading 4"/>
    <w:basedOn w:val="Heading3"/>
    <w:next w:val="Normal"/>
    <w:link w:val="Heading4Char"/>
    <w:uiPriority w:val="9"/>
    <w:unhideWhenUsed/>
    <w:qFormat/>
    <w:rsid w:val="008654DB"/>
    <w:pPr>
      <w:spacing w:after="0"/>
      <w:jc w:val="center"/>
      <w:outlineLvl w:val="3"/>
    </w:pPr>
  </w:style>
  <w:style w:type="paragraph" w:styleId="Heading5">
    <w:name w:val="heading 5"/>
    <w:basedOn w:val="Normal"/>
    <w:next w:val="Normal"/>
    <w:link w:val="Heading5Char"/>
    <w:uiPriority w:val="9"/>
    <w:unhideWhenUsed/>
    <w:qFormat/>
    <w:rsid w:val="00562120"/>
    <w:pPr>
      <w:autoSpaceDE w:val="0"/>
      <w:autoSpaceDN w:val="0"/>
      <w:adjustRightInd w:val="0"/>
      <w:spacing w:after="0"/>
      <w:jc w:val="center"/>
      <w:outlineLvl w:val="4"/>
    </w:pPr>
    <w:rPr>
      <w:rFonts w:ascii="Times New Roman" w:hAnsi="Times New Roman" w:cs="Times New Roman"/>
      <w:b/>
      <w:sz w:val="24"/>
      <w:szCs w:val="24"/>
    </w:rPr>
  </w:style>
  <w:style w:type="paragraph" w:styleId="Heading6">
    <w:name w:val="heading 6"/>
    <w:basedOn w:val="Normal"/>
    <w:next w:val="Normal"/>
    <w:link w:val="Heading6Char"/>
    <w:uiPriority w:val="9"/>
    <w:unhideWhenUsed/>
    <w:qFormat/>
    <w:rsid w:val="00383E4C"/>
    <w:pPr>
      <w:spacing w:after="240"/>
      <w:jc w:val="center"/>
      <w:outlineLvl w:val="5"/>
    </w:pPr>
    <w:rPr>
      <w:rFonts w:ascii="Times New Roman" w:hAnsi="Times New Roman" w:cs="Times New Roman"/>
      <w:b/>
      <w:sz w:val="22"/>
    </w:rPr>
  </w:style>
  <w:style w:type="paragraph" w:styleId="Heading7">
    <w:name w:val="heading 7"/>
    <w:basedOn w:val="Normal"/>
    <w:next w:val="Normal"/>
    <w:link w:val="Heading7Char"/>
    <w:uiPriority w:val="9"/>
    <w:semiHidden/>
    <w:unhideWhenUsed/>
    <w:qFormat/>
    <w:rsid w:val="00A81958"/>
    <w:pPr>
      <w:keepNext/>
      <w:keepLines/>
      <w:spacing w:before="40" w:after="0"/>
      <w:outlineLvl w:val="6"/>
    </w:pPr>
    <w:rPr>
      <w:rFonts w:asciiTheme="majorHAnsi" w:eastAsiaTheme="majorEastAsia" w:hAnsiTheme="majorHAnsi" w:cstheme="majorBidi"/>
      <w:i/>
      <w:iCs/>
      <w:color w:val="073763" w:themeColor="accent1" w:themeShade="80"/>
      <w:sz w:val="21"/>
      <w:szCs w:val="21"/>
    </w:rPr>
  </w:style>
  <w:style w:type="paragraph" w:styleId="Heading8">
    <w:name w:val="heading 8"/>
    <w:basedOn w:val="Normal"/>
    <w:next w:val="Normal"/>
    <w:link w:val="Heading8Char"/>
    <w:uiPriority w:val="9"/>
    <w:semiHidden/>
    <w:unhideWhenUsed/>
    <w:qFormat/>
    <w:rsid w:val="00A81958"/>
    <w:pPr>
      <w:keepNext/>
      <w:keepLines/>
      <w:spacing w:before="40" w:after="0"/>
      <w:outlineLvl w:val="7"/>
    </w:pPr>
    <w:rPr>
      <w:rFonts w:asciiTheme="majorHAnsi" w:eastAsiaTheme="majorEastAsia" w:hAnsiTheme="majorHAnsi" w:cstheme="majorBidi"/>
      <w:b/>
      <w:bCs/>
      <w:color w:val="17406D" w:themeColor="text2"/>
    </w:rPr>
  </w:style>
  <w:style w:type="paragraph" w:styleId="Heading9">
    <w:name w:val="heading 9"/>
    <w:basedOn w:val="Normal"/>
    <w:next w:val="Normal"/>
    <w:link w:val="Heading9Char"/>
    <w:uiPriority w:val="9"/>
    <w:semiHidden/>
    <w:unhideWhenUsed/>
    <w:qFormat/>
    <w:rsid w:val="00A81958"/>
    <w:pPr>
      <w:keepNext/>
      <w:keepLines/>
      <w:spacing w:before="40" w:after="0"/>
      <w:outlineLvl w:val="8"/>
    </w:pPr>
    <w:rPr>
      <w:rFonts w:asciiTheme="majorHAnsi" w:eastAsiaTheme="majorEastAsia" w:hAnsiTheme="majorHAnsi" w:cstheme="majorBidi"/>
      <w:b/>
      <w:bCs/>
      <w:i/>
      <w:iCs/>
      <w:color w:val="17406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ferences"/>
    <w:basedOn w:val="Normal"/>
    <w:uiPriority w:val="34"/>
    <w:qFormat/>
    <w:rsid w:val="00F62D3F"/>
    <w:pPr>
      <w:ind w:left="720"/>
      <w:contextualSpacing/>
    </w:pPr>
  </w:style>
  <w:style w:type="paragraph" w:styleId="Header">
    <w:name w:val="header"/>
    <w:basedOn w:val="Normal"/>
    <w:link w:val="HeaderChar"/>
    <w:uiPriority w:val="99"/>
    <w:unhideWhenUsed/>
    <w:rsid w:val="004B21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1CE"/>
  </w:style>
  <w:style w:type="paragraph" w:styleId="Footer">
    <w:name w:val="footer"/>
    <w:basedOn w:val="Normal"/>
    <w:link w:val="FooterChar"/>
    <w:uiPriority w:val="99"/>
    <w:unhideWhenUsed/>
    <w:rsid w:val="004B21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1CE"/>
  </w:style>
  <w:style w:type="character" w:styleId="Hyperlink">
    <w:name w:val="Hyperlink"/>
    <w:basedOn w:val="DefaultParagraphFont"/>
    <w:uiPriority w:val="99"/>
    <w:unhideWhenUsed/>
    <w:rsid w:val="00A64705"/>
    <w:rPr>
      <w:color w:val="F49100" w:themeColor="hyperlink"/>
      <w:u w:val="single"/>
    </w:rPr>
  </w:style>
  <w:style w:type="character" w:customStyle="1" w:styleId="UnresolvedMention1">
    <w:name w:val="Unresolved Mention1"/>
    <w:basedOn w:val="DefaultParagraphFont"/>
    <w:uiPriority w:val="99"/>
    <w:semiHidden/>
    <w:unhideWhenUsed/>
    <w:rsid w:val="00A64705"/>
    <w:rPr>
      <w:color w:val="808080"/>
      <w:shd w:val="clear" w:color="auto" w:fill="E6E6E6"/>
    </w:rPr>
  </w:style>
  <w:style w:type="paragraph" w:styleId="NormalWeb">
    <w:name w:val="Normal (Web)"/>
    <w:basedOn w:val="Normal"/>
    <w:uiPriority w:val="99"/>
    <w:unhideWhenUsed/>
    <w:rsid w:val="00A76C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54A48"/>
    <w:rPr>
      <w:rFonts w:ascii="Times New Roman" w:hAnsi="Times New Roman" w:cs="Times New Roman"/>
      <w:b/>
      <w:color w:val="CC3300"/>
      <w:sz w:val="24"/>
      <w:szCs w:val="24"/>
    </w:rPr>
  </w:style>
  <w:style w:type="paragraph" w:styleId="FootnoteText">
    <w:name w:val="footnote text"/>
    <w:aliases w:val="DSI Footnote Text,Ja Footnote Text,DSI Footnote Text11,ft Char11,ft1,DSI Footnote Text1,ft Char1,ft,DSI Footnote Reference,DSI Footnote Text111,ft Char111,ft11,DSI Footnote Text112,ft Char112,ft12,DSI Footnote Text2,DSI Footnote Text1111,f"/>
    <w:basedOn w:val="Normal"/>
    <w:link w:val="FootnoteTextChar"/>
    <w:uiPriority w:val="99"/>
    <w:unhideWhenUsed/>
    <w:rsid w:val="002E7B9D"/>
    <w:pPr>
      <w:spacing w:after="0" w:line="240" w:lineRule="auto"/>
    </w:pPr>
    <w:rPr>
      <w:rFonts w:ascii="Times New Roman" w:eastAsia="Calibri" w:hAnsi="Times New Roman" w:cs="Times New Roman"/>
      <w:lang w:val="en-GB"/>
    </w:rPr>
  </w:style>
  <w:style w:type="character" w:customStyle="1" w:styleId="FootnoteTextChar">
    <w:name w:val="Footnote Text Char"/>
    <w:aliases w:val="DSI Footnote Text Char,Ja Footnote Text Char,DSI Footnote Text11 Char,ft Char11 Char,ft1 Char,DSI Footnote Text1 Char,ft Char1 Char,ft Char,DSI Footnote Reference Char,DSI Footnote Text111 Char,ft Char111 Char,ft11 Char,ft12 Char"/>
    <w:basedOn w:val="DefaultParagraphFont"/>
    <w:link w:val="FootnoteText"/>
    <w:uiPriority w:val="99"/>
    <w:rsid w:val="002E7B9D"/>
    <w:rPr>
      <w:rFonts w:ascii="Times New Roman" w:eastAsia="Calibri" w:hAnsi="Times New Roman" w:cs="Times New Roman"/>
      <w:sz w:val="20"/>
      <w:szCs w:val="20"/>
      <w:lang w:val="en-GB"/>
    </w:rPr>
  </w:style>
  <w:style w:type="character" w:styleId="FootnoteReference">
    <w:name w:val="footnote reference"/>
    <w:aliases w:val="ftref,Знак сноски-FN,16 Point,Superscript 6 Point"/>
    <w:basedOn w:val="DefaultParagraphFont"/>
    <w:uiPriority w:val="99"/>
    <w:unhideWhenUsed/>
    <w:rsid w:val="002E7B9D"/>
    <w:rPr>
      <w:vertAlign w:val="superscript"/>
    </w:rPr>
  </w:style>
  <w:style w:type="table" w:styleId="TableGrid">
    <w:name w:val="Table Grid"/>
    <w:basedOn w:val="TableNormal"/>
    <w:uiPriority w:val="59"/>
    <w:unhideWhenUsed/>
    <w:rsid w:val="00212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434E1"/>
    <w:pPr>
      <w:autoSpaceDE w:val="0"/>
      <w:autoSpaceDN w:val="0"/>
      <w:adjustRightInd w:val="0"/>
      <w:spacing w:after="0" w:line="240" w:lineRule="auto"/>
    </w:pPr>
    <w:rPr>
      <w:rFonts w:ascii="Times New Roman" w:hAnsi="Times New Roman" w:cs="Times New Roman"/>
      <w:color w:val="000000"/>
      <w:sz w:val="24"/>
      <w:szCs w:val="24"/>
    </w:rPr>
  </w:style>
  <w:style w:type="character" w:styleId="HTMLCite">
    <w:name w:val="HTML Cite"/>
    <w:basedOn w:val="DefaultParagraphFont"/>
    <w:uiPriority w:val="99"/>
    <w:semiHidden/>
    <w:unhideWhenUsed/>
    <w:rsid w:val="005678ED"/>
    <w:rPr>
      <w:i/>
      <w:iCs/>
    </w:rPr>
  </w:style>
  <w:style w:type="character" w:customStyle="1" w:styleId="Heading5Char">
    <w:name w:val="Heading 5 Char"/>
    <w:basedOn w:val="DefaultParagraphFont"/>
    <w:link w:val="Heading5"/>
    <w:uiPriority w:val="9"/>
    <w:rsid w:val="00562120"/>
    <w:rPr>
      <w:rFonts w:ascii="Times New Roman" w:hAnsi="Times New Roman" w:cs="Times New Roman"/>
      <w:b/>
      <w:sz w:val="24"/>
      <w:szCs w:val="24"/>
    </w:rPr>
  </w:style>
  <w:style w:type="character" w:customStyle="1" w:styleId="Heading4Char">
    <w:name w:val="Heading 4 Char"/>
    <w:basedOn w:val="DefaultParagraphFont"/>
    <w:link w:val="Heading4"/>
    <w:uiPriority w:val="9"/>
    <w:rsid w:val="008654DB"/>
    <w:rPr>
      <w:rFonts w:ascii="Times New Roman" w:eastAsia="Times New Roman" w:hAnsi="Times New Roman" w:cs="Times New Roman"/>
      <w:b/>
      <w:bCs/>
      <w:sz w:val="24"/>
      <w:szCs w:val="24"/>
    </w:rPr>
  </w:style>
  <w:style w:type="paragraph" w:customStyle="1" w:styleId="Style1">
    <w:name w:val="Style1"/>
    <w:basedOn w:val="Normal"/>
    <w:rsid w:val="00E05B8C"/>
    <w:pPr>
      <w:spacing w:after="0"/>
      <w:jc w:val="center"/>
    </w:pPr>
    <w:rPr>
      <w:rFonts w:ascii="Times New Roman" w:hAnsi="Times New Roman" w:cs="Times New Roman"/>
      <w:b/>
      <w:sz w:val="24"/>
    </w:rPr>
  </w:style>
  <w:style w:type="table" w:customStyle="1" w:styleId="TableGrid1">
    <w:name w:val="Table Grid1"/>
    <w:basedOn w:val="TableNormal"/>
    <w:next w:val="TableGrid"/>
    <w:rsid w:val="00E91F2D"/>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8654DB"/>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383E4C"/>
    <w:rPr>
      <w:rFonts w:ascii="Times New Roman" w:hAnsi="Times New Roman" w:cs="Times New Roman"/>
      <w:b/>
      <w:sz w:val="22"/>
    </w:rPr>
  </w:style>
  <w:style w:type="character" w:styleId="CommentReference">
    <w:name w:val="annotation reference"/>
    <w:basedOn w:val="DefaultParagraphFont"/>
    <w:uiPriority w:val="99"/>
    <w:semiHidden/>
    <w:unhideWhenUsed/>
    <w:rsid w:val="00C3703B"/>
    <w:rPr>
      <w:sz w:val="16"/>
      <w:szCs w:val="16"/>
    </w:rPr>
  </w:style>
  <w:style w:type="paragraph" w:styleId="CommentText">
    <w:name w:val="annotation text"/>
    <w:basedOn w:val="Normal"/>
    <w:link w:val="CommentTextChar"/>
    <w:uiPriority w:val="99"/>
    <w:semiHidden/>
    <w:unhideWhenUsed/>
    <w:rsid w:val="00C3703B"/>
    <w:pPr>
      <w:spacing w:line="240" w:lineRule="auto"/>
    </w:pPr>
  </w:style>
  <w:style w:type="character" w:customStyle="1" w:styleId="CommentTextChar">
    <w:name w:val="Comment Text Char"/>
    <w:basedOn w:val="DefaultParagraphFont"/>
    <w:link w:val="CommentText"/>
    <w:uiPriority w:val="99"/>
    <w:semiHidden/>
    <w:rsid w:val="00C3703B"/>
    <w:rPr>
      <w:sz w:val="20"/>
      <w:szCs w:val="20"/>
    </w:rPr>
  </w:style>
  <w:style w:type="paragraph" w:styleId="CommentSubject">
    <w:name w:val="annotation subject"/>
    <w:basedOn w:val="CommentText"/>
    <w:next w:val="CommentText"/>
    <w:link w:val="CommentSubjectChar"/>
    <w:uiPriority w:val="99"/>
    <w:semiHidden/>
    <w:unhideWhenUsed/>
    <w:rsid w:val="00C3703B"/>
    <w:rPr>
      <w:b/>
      <w:bCs/>
    </w:rPr>
  </w:style>
  <w:style w:type="character" w:customStyle="1" w:styleId="CommentSubjectChar">
    <w:name w:val="Comment Subject Char"/>
    <w:basedOn w:val="CommentTextChar"/>
    <w:link w:val="CommentSubject"/>
    <w:uiPriority w:val="99"/>
    <w:semiHidden/>
    <w:rsid w:val="00C3703B"/>
    <w:rPr>
      <w:b/>
      <w:bCs/>
      <w:sz w:val="20"/>
      <w:szCs w:val="20"/>
    </w:rPr>
  </w:style>
  <w:style w:type="paragraph" w:styleId="BalloonText">
    <w:name w:val="Balloon Text"/>
    <w:basedOn w:val="Normal"/>
    <w:link w:val="BalloonTextChar"/>
    <w:uiPriority w:val="99"/>
    <w:semiHidden/>
    <w:unhideWhenUsed/>
    <w:rsid w:val="00C370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03B"/>
    <w:rPr>
      <w:rFonts w:ascii="Segoe UI" w:hAnsi="Segoe UI" w:cs="Segoe UI"/>
      <w:sz w:val="18"/>
      <w:szCs w:val="18"/>
    </w:rPr>
  </w:style>
  <w:style w:type="paragraph" w:styleId="NoSpacing">
    <w:name w:val="No Spacing"/>
    <w:link w:val="NoSpacingChar"/>
    <w:uiPriority w:val="1"/>
    <w:qFormat/>
    <w:rsid w:val="00A81958"/>
    <w:pPr>
      <w:spacing w:after="0" w:line="240" w:lineRule="auto"/>
    </w:pPr>
  </w:style>
  <w:style w:type="character" w:customStyle="1" w:styleId="NoSpacingChar">
    <w:name w:val="No Spacing Char"/>
    <w:basedOn w:val="DefaultParagraphFont"/>
    <w:link w:val="NoSpacing"/>
    <w:uiPriority w:val="1"/>
    <w:rsid w:val="00306A77"/>
  </w:style>
  <w:style w:type="character" w:customStyle="1" w:styleId="italic1">
    <w:name w:val="italic1"/>
    <w:basedOn w:val="DefaultParagraphFont"/>
    <w:rsid w:val="009A189E"/>
    <w:rPr>
      <w:i/>
      <w:iCs/>
    </w:rPr>
  </w:style>
  <w:style w:type="paragraph" w:styleId="Title">
    <w:name w:val="Title"/>
    <w:basedOn w:val="Normal"/>
    <w:next w:val="Normal"/>
    <w:link w:val="TitleChar"/>
    <w:uiPriority w:val="10"/>
    <w:qFormat/>
    <w:rsid w:val="00A81958"/>
    <w:pPr>
      <w:spacing w:after="0" w:line="240" w:lineRule="auto"/>
      <w:contextualSpacing/>
    </w:pPr>
    <w:rPr>
      <w:rFonts w:asciiTheme="majorHAnsi" w:eastAsiaTheme="majorEastAsia" w:hAnsiTheme="majorHAnsi" w:cstheme="majorBidi"/>
      <w:color w:val="0F6FC6" w:themeColor="accent1"/>
      <w:spacing w:val="-10"/>
      <w:sz w:val="56"/>
      <w:szCs w:val="56"/>
    </w:rPr>
  </w:style>
  <w:style w:type="character" w:customStyle="1" w:styleId="TitleChar">
    <w:name w:val="Title Char"/>
    <w:basedOn w:val="DefaultParagraphFont"/>
    <w:link w:val="Title"/>
    <w:uiPriority w:val="10"/>
    <w:rsid w:val="00A81958"/>
    <w:rPr>
      <w:rFonts w:asciiTheme="majorHAnsi" w:eastAsiaTheme="majorEastAsia" w:hAnsiTheme="majorHAnsi" w:cstheme="majorBidi"/>
      <w:color w:val="0F6FC6" w:themeColor="accent1"/>
      <w:spacing w:val="-10"/>
      <w:sz w:val="56"/>
      <w:szCs w:val="56"/>
    </w:rPr>
  </w:style>
  <w:style w:type="character" w:customStyle="1" w:styleId="Heading3Char">
    <w:name w:val="Heading 3 Char"/>
    <w:basedOn w:val="DefaultParagraphFont"/>
    <w:link w:val="Heading3"/>
    <w:uiPriority w:val="9"/>
    <w:rsid w:val="00141AA1"/>
    <w:rPr>
      <w:rFonts w:ascii="Times New Roman" w:eastAsia="Times New Roman" w:hAnsi="Times New Roman" w:cs="Times New Roman"/>
      <w:b/>
      <w:bCs/>
      <w:color w:val="000000"/>
      <w:sz w:val="24"/>
      <w:szCs w:val="24"/>
    </w:rPr>
  </w:style>
  <w:style w:type="character" w:customStyle="1" w:styleId="Heading7Char">
    <w:name w:val="Heading 7 Char"/>
    <w:basedOn w:val="DefaultParagraphFont"/>
    <w:link w:val="Heading7"/>
    <w:uiPriority w:val="9"/>
    <w:semiHidden/>
    <w:rsid w:val="00A81958"/>
    <w:rPr>
      <w:rFonts w:asciiTheme="majorHAnsi" w:eastAsiaTheme="majorEastAsia" w:hAnsiTheme="majorHAnsi" w:cstheme="majorBidi"/>
      <w:i/>
      <w:iCs/>
      <w:color w:val="073763" w:themeColor="accent1" w:themeShade="80"/>
      <w:sz w:val="21"/>
      <w:szCs w:val="21"/>
    </w:rPr>
  </w:style>
  <w:style w:type="character" w:customStyle="1" w:styleId="Heading8Char">
    <w:name w:val="Heading 8 Char"/>
    <w:basedOn w:val="DefaultParagraphFont"/>
    <w:link w:val="Heading8"/>
    <w:uiPriority w:val="9"/>
    <w:semiHidden/>
    <w:rsid w:val="00A81958"/>
    <w:rPr>
      <w:rFonts w:asciiTheme="majorHAnsi" w:eastAsiaTheme="majorEastAsia" w:hAnsiTheme="majorHAnsi" w:cstheme="majorBidi"/>
      <w:b/>
      <w:bCs/>
      <w:color w:val="17406D" w:themeColor="text2"/>
    </w:rPr>
  </w:style>
  <w:style w:type="character" w:customStyle="1" w:styleId="Heading9Char">
    <w:name w:val="Heading 9 Char"/>
    <w:basedOn w:val="DefaultParagraphFont"/>
    <w:link w:val="Heading9"/>
    <w:uiPriority w:val="9"/>
    <w:semiHidden/>
    <w:rsid w:val="00A81958"/>
    <w:rPr>
      <w:rFonts w:asciiTheme="majorHAnsi" w:eastAsiaTheme="majorEastAsia" w:hAnsiTheme="majorHAnsi" w:cstheme="majorBidi"/>
      <w:b/>
      <w:bCs/>
      <w:i/>
      <w:iCs/>
      <w:color w:val="17406D" w:themeColor="text2"/>
    </w:rPr>
  </w:style>
  <w:style w:type="paragraph" w:styleId="Caption">
    <w:name w:val="caption"/>
    <w:basedOn w:val="Normal"/>
    <w:next w:val="Normal"/>
    <w:uiPriority w:val="35"/>
    <w:semiHidden/>
    <w:unhideWhenUsed/>
    <w:qFormat/>
    <w:rsid w:val="00A81958"/>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A81958"/>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81958"/>
    <w:rPr>
      <w:rFonts w:asciiTheme="majorHAnsi" w:eastAsiaTheme="majorEastAsia" w:hAnsiTheme="majorHAnsi" w:cstheme="majorBidi"/>
      <w:sz w:val="24"/>
      <w:szCs w:val="24"/>
    </w:rPr>
  </w:style>
  <w:style w:type="character" w:styleId="Strong">
    <w:name w:val="Strong"/>
    <w:basedOn w:val="DefaultParagraphFont"/>
    <w:uiPriority w:val="22"/>
    <w:qFormat/>
    <w:rsid w:val="00A81958"/>
    <w:rPr>
      <w:b/>
      <w:bCs/>
    </w:rPr>
  </w:style>
  <w:style w:type="character" w:styleId="Emphasis">
    <w:name w:val="Emphasis"/>
    <w:basedOn w:val="DefaultParagraphFont"/>
    <w:uiPriority w:val="20"/>
    <w:qFormat/>
    <w:rsid w:val="00A81958"/>
    <w:rPr>
      <w:i/>
      <w:iCs/>
    </w:rPr>
  </w:style>
  <w:style w:type="paragraph" w:styleId="Quote">
    <w:name w:val="Quote"/>
    <w:basedOn w:val="Normal"/>
    <w:next w:val="Normal"/>
    <w:link w:val="QuoteChar"/>
    <w:uiPriority w:val="29"/>
    <w:qFormat/>
    <w:rsid w:val="00A81958"/>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81958"/>
    <w:rPr>
      <w:i/>
      <w:iCs/>
      <w:color w:val="404040" w:themeColor="text1" w:themeTint="BF"/>
    </w:rPr>
  </w:style>
  <w:style w:type="paragraph" w:styleId="IntenseQuote">
    <w:name w:val="Intense Quote"/>
    <w:basedOn w:val="Normal"/>
    <w:next w:val="Normal"/>
    <w:link w:val="IntenseQuoteChar"/>
    <w:uiPriority w:val="30"/>
    <w:qFormat/>
    <w:rsid w:val="00A81958"/>
    <w:pPr>
      <w:pBdr>
        <w:left w:val="single" w:sz="18" w:space="12" w:color="0F6FC6" w:themeColor="accent1"/>
      </w:pBdr>
      <w:spacing w:before="100" w:beforeAutospacing="1" w:line="300" w:lineRule="auto"/>
      <w:ind w:left="1224" w:right="1224"/>
    </w:pPr>
    <w:rPr>
      <w:rFonts w:asciiTheme="majorHAnsi" w:eastAsiaTheme="majorEastAsia" w:hAnsiTheme="majorHAnsi" w:cstheme="majorBidi"/>
      <w:color w:val="0F6FC6" w:themeColor="accent1"/>
      <w:sz w:val="28"/>
      <w:szCs w:val="28"/>
    </w:rPr>
  </w:style>
  <w:style w:type="character" w:customStyle="1" w:styleId="IntenseQuoteChar">
    <w:name w:val="Intense Quote Char"/>
    <w:basedOn w:val="DefaultParagraphFont"/>
    <w:link w:val="IntenseQuote"/>
    <w:uiPriority w:val="30"/>
    <w:rsid w:val="00A81958"/>
    <w:rPr>
      <w:rFonts w:asciiTheme="majorHAnsi" w:eastAsiaTheme="majorEastAsia" w:hAnsiTheme="majorHAnsi" w:cstheme="majorBidi"/>
      <w:color w:val="0F6FC6" w:themeColor="accent1"/>
      <w:sz w:val="28"/>
      <w:szCs w:val="28"/>
    </w:rPr>
  </w:style>
  <w:style w:type="character" w:styleId="SubtleEmphasis">
    <w:name w:val="Subtle Emphasis"/>
    <w:basedOn w:val="DefaultParagraphFont"/>
    <w:uiPriority w:val="19"/>
    <w:qFormat/>
    <w:rsid w:val="00A81958"/>
    <w:rPr>
      <w:i/>
      <w:iCs/>
      <w:color w:val="404040" w:themeColor="text1" w:themeTint="BF"/>
    </w:rPr>
  </w:style>
  <w:style w:type="character" w:styleId="IntenseEmphasis">
    <w:name w:val="Intense Emphasis"/>
    <w:basedOn w:val="DefaultParagraphFont"/>
    <w:uiPriority w:val="21"/>
    <w:qFormat/>
    <w:rsid w:val="00A81958"/>
    <w:rPr>
      <w:b/>
      <w:bCs/>
      <w:i/>
      <w:iCs/>
    </w:rPr>
  </w:style>
  <w:style w:type="character" w:styleId="SubtleReference">
    <w:name w:val="Subtle Reference"/>
    <w:basedOn w:val="DefaultParagraphFont"/>
    <w:uiPriority w:val="31"/>
    <w:qFormat/>
    <w:rsid w:val="00A81958"/>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81958"/>
    <w:rPr>
      <w:b/>
      <w:bCs/>
      <w:smallCaps/>
      <w:spacing w:val="5"/>
      <w:u w:val="single"/>
    </w:rPr>
  </w:style>
  <w:style w:type="character" w:styleId="BookTitle">
    <w:name w:val="Book Title"/>
    <w:basedOn w:val="DefaultParagraphFont"/>
    <w:uiPriority w:val="33"/>
    <w:qFormat/>
    <w:rsid w:val="00A81958"/>
    <w:rPr>
      <w:b/>
      <w:bCs/>
      <w:smallCaps/>
    </w:rPr>
  </w:style>
  <w:style w:type="paragraph" w:styleId="TOCHeading">
    <w:name w:val="TOC Heading"/>
    <w:basedOn w:val="Heading1"/>
    <w:next w:val="Normal"/>
    <w:uiPriority w:val="39"/>
    <w:unhideWhenUsed/>
    <w:qFormat/>
    <w:rsid w:val="00A81958"/>
    <w:pPr>
      <w:outlineLvl w:val="9"/>
    </w:pPr>
  </w:style>
  <w:style w:type="table" w:styleId="ListTable6Colorful">
    <w:name w:val="List Table 6 Colorful"/>
    <w:basedOn w:val="TableNormal"/>
    <w:uiPriority w:val="51"/>
    <w:rsid w:val="00A51CF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141AA1"/>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2">
    <w:name w:val="toc 2"/>
    <w:basedOn w:val="Normal"/>
    <w:next w:val="Normal"/>
    <w:autoRedefine/>
    <w:uiPriority w:val="39"/>
    <w:unhideWhenUsed/>
    <w:rsid w:val="00AA5AF5"/>
    <w:pPr>
      <w:spacing w:after="100" w:line="259" w:lineRule="auto"/>
      <w:ind w:left="720"/>
    </w:pPr>
    <w:rPr>
      <w:rFonts w:ascii="Times New Roman" w:hAnsi="Times New Roman" w:cs="Times New Roman"/>
      <w:sz w:val="22"/>
      <w:szCs w:val="22"/>
    </w:rPr>
  </w:style>
  <w:style w:type="paragraph" w:styleId="TOC1">
    <w:name w:val="toc 1"/>
    <w:basedOn w:val="Normal"/>
    <w:next w:val="Normal"/>
    <w:autoRedefine/>
    <w:uiPriority w:val="39"/>
    <w:unhideWhenUsed/>
    <w:rsid w:val="00AA5AF5"/>
    <w:pPr>
      <w:spacing w:after="100" w:line="259" w:lineRule="auto"/>
    </w:pPr>
    <w:rPr>
      <w:rFonts w:ascii="Times New Roman" w:hAnsi="Times New Roman" w:cs="Times New Roman"/>
      <w:b/>
      <w:sz w:val="22"/>
      <w:szCs w:val="22"/>
    </w:rPr>
  </w:style>
  <w:style w:type="paragraph" w:styleId="TOC3">
    <w:name w:val="toc 3"/>
    <w:basedOn w:val="Normal"/>
    <w:next w:val="Normal"/>
    <w:autoRedefine/>
    <w:uiPriority w:val="39"/>
    <w:unhideWhenUsed/>
    <w:rsid w:val="00AA5AF5"/>
    <w:pPr>
      <w:spacing w:after="100" w:line="259" w:lineRule="auto"/>
      <w:ind w:left="440"/>
    </w:pPr>
    <w:rPr>
      <w:rFonts w:cs="Times New Roman"/>
      <w: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969065">
      <w:bodyDiv w:val="1"/>
      <w:marLeft w:val="0"/>
      <w:marRight w:val="0"/>
      <w:marTop w:val="0"/>
      <w:marBottom w:val="0"/>
      <w:divBdr>
        <w:top w:val="none" w:sz="0" w:space="0" w:color="auto"/>
        <w:left w:val="none" w:sz="0" w:space="0" w:color="auto"/>
        <w:bottom w:val="none" w:sz="0" w:space="0" w:color="auto"/>
        <w:right w:val="none" w:sz="0" w:space="0" w:color="auto"/>
      </w:divBdr>
      <w:divsChild>
        <w:div w:id="1525511080">
          <w:marLeft w:val="0"/>
          <w:marRight w:val="0"/>
          <w:marTop w:val="0"/>
          <w:marBottom w:val="0"/>
          <w:divBdr>
            <w:top w:val="none" w:sz="0" w:space="0" w:color="auto"/>
            <w:left w:val="none" w:sz="0" w:space="0" w:color="auto"/>
            <w:bottom w:val="none" w:sz="0" w:space="0" w:color="auto"/>
            <w:right w:val="none" w:sz="0" w:space="0" w:color="auto"/>
          </w:divBdr>
          <w:divsChild>
            <w:div w:id="1829899073">
              <w:marLeft w:val="0"/>
              <w:marRight w:val="0"/>
              <w:marTop w:val="0"/>
              <w:marBottom w:val="0"/>
              <w:divBdr>
                <w:top w:val="none" w:sz="0" w:space="0" w:color="auto"/>
                <w:left w:val="none" w:sz="0" w:space="0" w:color="auto"/>
                <w:bottom w:val="none" w:sz="0" w:space="0" w:color="auto"/>
                <w:right w:val="none" w:sz="0" w:space="0" w:color="auto"/>
              </w:divBdr>
              <w:divsChild>
                <w:div w:id="1034884437">
                  <w:marLeft w:val="0"/>
                  <w:marRight w:val="0"/>
                  <w:marTop w:val="0"/>
                  <w:marBottom w:val="0"/>
                  <w:divBdr>
                    <w:top w:val="none" w:sz="0" w:space="0" w:color="auto"/>
                    <w:left w:val="none" w:sz="0" w:space="0" w:color="auto"/>
                    <w:bottom w:val="none" w:sz="0" w:space="0" w:color="auto"/>
                    <w:right w:val="none" w:sz="0" w:space="0" w:color="auto"/>
                  </w:divBdr>
                  <w:divsChild>
                    <w:div w:id="214566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569819">
      <w:bodyDiv w:val="1"/>
      <w:marLeft w:val="0"/>
      <w:marRight w:val="0"/>
      <w:marTop w:val="0"/>
      <w:marBottom w:val="0"/>
      <w:divBdr>
        <w:top w:val="none" w:sz="0" w:space="0" w:color="auto"/>
        <w:left w:val="none" w:sz="0" w:space="0" w:color="auto"/>
        <w:bottom w:val="none" w:sz="0" w:space="0" w:color="auto"/>
        <w:right w:val="none" w:sz="0" w:space="0" w:color="auto"/>
      </w:divBdr>
      <w:divsChild>
        <w:div w:id="1639794945">
          <w:marLeft w:val="1080"/>
          <w:marRight w:val="0"/>
          <w:marTop w:val="0"/>
          <w:marBottom w:val="0"/>
          <w:divBdr>
            <w:top w:val="none" w:sz="0" w:space="0" w:color="auto"/>
            <w:left w:val="none" w:sz="0" w:space="0" w:color="auto"/>
            <w:bottom w:val="none" w:sz="0" w:space="0" w:color="auto"/>
            <w:right w:val="none" w:sz="0" w:space="0" w:color="auto"/>
          </w:divBdr>
        </w:div>
        <w:div w:id="144053146">
          <w:marLeft w:val="1080"/>
          <w:marRight w:val="0"/>
          <w:marTop w:val="0"/>
          <w:marBottom w:val="0"/>
          <w:divBdr>
            <w:top w:val="none" w:sz="0" w:space="0" w:color="auto"/>
            <w:left w:val="none" w:sz="0" w:space="0" w:color="auto"/>
            <w:bottom w:val="none" w:sz="0" w:space="0" w:color="auto"/>
            <w:right w:val="none" w:sz="0" w:space="0" w:color="auto"/>
          </w:divBdr>
        </w:div>
        <w:div w:id="599603653">
          <w:marLeft w:val="1080"/>
          <w:marRight w:val="0"/>
          <w:marTop w:val="0"/>
          <w:marBottom w:val="0"/>
          <w:divBdr>
            <w:top w:val="none" w:sz="0" w:space="0" w:color="auto"/>
            <w:left w:val="none" w:sz="0" w:space="0" w:color="auto"/>
            <w:bottom w:val="none" w:sz="0" w:space="0" w:color="auto"/>
            <w:right w:val="none" w:sz="0" w:space="0" w:color="auto"/>
          </w:divBdr>
        </w:div>
        <w:div w:id="357698730">
          <w:marLeft w:val="1080"/>
          <w:marRight w:val="0"/>
          <w:marTop w:val="0"/>
          <w:marBottom w:val="0"/>
          <w:divBdr>
            <w:top w:val="none" w:sz="0" w:space="0" w:color="auto"/>
            <w:left w:val="none" w:sz="0" w:space="0" w:color="auto"/>
            <w:bottom w:val="none" w:sz="0" w:space="0" w:color="auto"/>
            <w:right w:val="none" w:sz="0" w:space="0" w:color="auto"/>
          </w:divBdr>
        </w:div>
        <w:div w:id="189606710">
          <w:marLeft w:val="1080"/>
          <w:marRight w:val="0"/>
          <w:marTop w:val="0"/>
          <w:marBottom w:val="0"/>
          <w:divBdr>
            <w:top w:val="none" w:sz="0" w:space="0" w:color="auto"/>
            <w:left w:val="none" w:sz="0" w:space="0" w:color="auto"/>
            <w:bottom w:val="none" w:sz="0" w:space="0" w:color="auto"/>
            <w:right w:val="none" w:sz="0" w:space="0" w:color="auto"/>
          </w:divBdr>
        </w:div>
      </w:divsChild>
    </w:div>
    <w:div w:id="1648390440">
      <w:bodyDiv w:val="1"/>
      <w:marLeft w:val="0"/>
      <w:marRight w:val="0"/>
      <w:marTop w:val="0"/>
      <w:marBottom w:val="0"/>
      <w:divBdr>
        <w:top w:val="none" w:sz="0" w:space="0" w:color="auto"/>
        <w:left w:val="none" w:sz="0" w:space="0" w:color="auto"/>
        <w:bottom w:val="none" w:sz="0" w:space="0" w:color="auto"/>
        <w:right w:val="none" w:sz="0" w:space="0" w:color="auto"/>
      </w:divBdr>
    </w:div>
    <w:div w:id="1760255097">
      <w:bodyDiv w:val="1"/>
      <w:marLeft w:val="0"/>
      <w:marRight w:val="0"/>
      <w:marTop w:val="0"/>
      <w:marBottom w:val="0"/>
      <w:divBdr>
        <w:top w:val="none" w:sz="0" w:space="0" w:color="auto"/>
        <w:left w:val="none" w:sz="0" w:space="0" w:color="auto"/>
        <w:bottom w:val="none" w:sz="0" w:space="0" w:color="auto"/>
        <w:right w:val="none" w:sz="0" w:space="0" w:color="auto"/>
      </w:divBdr>
    </w:div>
    <w:div w:id="1967081384">
      <w:bodyDiv w:val="1"/>
      <w:marLeft w:val="0"/>
      <w:marRight w:val="0"/>
      <w:marTop w:val="0"/>
      <w:marBottom w:val="0"/>
      <w:divBdr>
        <w:top w:val="none" w:sz="0" w:space="0" w:color="auto"/>
        <w:left w:val="none" w:sz="0" w:space="0" w:color="auto"/>
        <w:bottom w:val="none" w:sz="0" w:space="0" w:color="auto"/>
        <w:right w:val="none" w:sz="0" w:space="0" w:color="auto"/>
      </w:divBdr>
      <w:divsChild>
        <w:div w:id="2109541617">
          <w:marLeft w:val="0"/>
          <w:marRight w:val="0"/>
          <w:marTop w:val="0"/>
          <w:marBottom w:val="0"/>
          <w:divBdr>
            <w:top w:val="none" w:sz="0" w:space="0" w:color="auto"/>
            <w:left w:val="none" w:sz="0" w:space="0" w:color="auto"/>
            <w:bottom w:val="none" w:sz="0" w:space="0" w:color="auto"/>
            <w:right w:val="none" w:sz="0" w:space="0" w:color="auto"/>
          </w:divBdr>
          <w:divsChild>
            <w:div w:id="1375807504">
              <w:marLeft w:val="0"/>
              <w:marRight w:val="0"/>
              <w:marTop w:val="0"/>
              <w:marBottom w:val="0"/>
              <w:divBdr>
                <w:top w:val="none" w:sz="0" w:space="0" w:color="auto"/>
                <w:left w:val="none" w:sz="0" w:space="0" w:color="auto"/>
                <w:bottom w:val="none" w:sz="0" w:space="0" w:color="auto"/>
                <w:right w:val="none" w:sz="0" w:space="0" w:color="auto"/>
              </w:divBdr>
              <w:divsChild>
                <w:div w:id="1589197847">
                  <w:marLeft w:val="0"/>
                  <w:marRight w:val="0"/>
                  <w:marTop w:val="0"/>
                  <w:marBottom w:val="0"/>
                  <w:divBdr>
                    <w:top w:val="none" w:sz="0" w:space="0" w:color="auto"/>
                    <w:left w:val="none" w:sz="0" w:space="0" w:color="auto"/>
                    <w:bottom w:val="none" w:sz="0" w:space="0" w:color="auto"/>
                    <w:right w:val="none" w:sz="0" w:space="0" w:color="auto"/>
                  </w:divBdr>
                  <w:divsChild>
                    <w:div w:id="98332312">
                      <w:marLeft w:val="0"/>
                      <w:marRight w:val="0"/>
                      <w:marTop w:val="0"/>
                      <w:marBottom w:val="300"/>
                      <w:divBdr>
                        <w:top w:val="none" w:sz="0" w:space="0" w:color="auto"/>
                        <w:left w:val="none" w:sz="0" w:space="0" w:color="auto"/>
                        <w:bottom w:val="none" w:sz="0" w:space="0" w:color="auto"/>
                        <w:right w:val="none" w:sz="0" w:space="0" w:color="auto"/>
                      </w:divBdr>
                      <w:divsChild>
                        <w:div w:id="2034574459">
                          <w:marLeft w:val="150"/>
                          <w:marRight w:val="150"/>
                          <w:marTop w:val="0"/>
                          <w:marBottom w:val="0"/>
                          <w:divBdr>
                            <w:top w:val="none" w:sz="0" w:space="0" w:color="auto"/>
                            <w:left w:val="none" w:sz="0" w:space="0" w:color="auto"/>
                            <w:bottom w:val="none" w:sz="0" w:space="0" w:color="auto"/>
                            <w:right w:val="none" w:sz="0" w:space="0" w:color="auto"/>
                          </w:divBdr>
                          <w:divsChild>
                            <w:div w:id="900482243">
                              <w:marLeft w:val="0"/>
                              <w:marRight w:val="0"/>
                              <w:marTop w:val="0"/>
                              <w:marBottom w:val="300"/>
                              <w:divBdr>
                                <w:top w:val="none" w:sz="0" w:space="0" w:color="auto"/>
                                <w:left w:val="none" w:sz="0" w:space="0" w:color="auto"/>
                                <w:bottom w:val="none" w:sz="0" w:space="0" w:color="auto"/>
                                <w:right w:val="none" w:sz="0" w:space="0" w:color="auto"/>
                              </w:divBdr>
                              <w:divsChild>
                                <w:div w:id="619916416">
                                  <w:marLeft w:val="0"/>
                                  <w:marRight w:val="0"/>
                                  <w:marTop w:val="0"/>
                                  <w:marBottom w:val="0"/>
                                  <w:divBdr>
                                    <w:top w:val="none" w:sz="0" w:space="0" w:color="auto"/>
                                    <w:left w:val="none" w:sz="0" w:space="0" w:color="auto"/>
                                    <w:bottom w:val="none" w:sz="0" w:space="0" w:color="auto"/>
                                    <w:right w:val="none" w:sz="0" w:space="0" w:color="auto"/>
                                  </w:divBdr>
                                  <w:divsChild>
                                    <w:div w:id="1509058435">
                                      <w:marLeft w:val="0"/>
                                      <w:marRight w:val="0"/>
                                      <w:marTop w:val="0"/>
                                      <w:marBottom w:val="300"/>
                                      <w:divBdr>
                                        <w:top w:val="none" w:sz="0" w:space="0" w:color="auto"/>
                                        <w:left w:val="none" w:sz="0" w:space="0" w:color="auto"/>
                                        <w:bottom w:val="none" w:sz="0" w:space="0" w:color="auto"/>
                                        <w:right w:val="none" w:sz="0" w:space="0" w:color="auto"/>
                                      </w:divBdr>
                                      <w:divsChild>
                                        <w:div w:id="128126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n.wikipedia.org/wiki/Economies_of_scale" TargetMode="External"/><Relationship Id="rId26" Type="http://schemas.openxmlformats.org/officeDocument/2006/relationships/hyperlink" Target="https://en.wikipedia.org/wiki/Stratasys" TargetMode="External"/><Relationship Id="rId39" Type="http://schemas.openxmlformats.org/officeDocument/2006/relationships/hyperlink" Target="https://en.wikipedia.org/wiki/Electronic_components" TargetMode="External"/><Relationship Id="rId21" Type="http://schemas.openxmlformats.org/officeDocument/2006/relationships/hyperlink" Target="https://en.wikipedia.org/wiki/History_of_the_transistor" TargetMode="External"/><Relationship Id="rId34" Type="http://schemas.openxmlformats.org/officeDocument/2006/relationships/hyperlink" Target="https://en.wikipedia.org/wiki/Supercar" TargetMode="External"/><Relationship Id="rId42" Type="http://schemas.openxmlformats.org/officeDocument/2006/relationships/chart" Target="charts/chart3.xml"/><Relationship Id="rId47" Type="http://schemas.openxmlformats.org/officeDocument/2006/relationships/hyperlink" Target="http://www.doingbusiness.org/Rankings?sortcolumn=2&amp;sortorder=desc&amp;regionID=0&amp;incomeID=0&amp;tercile=&amp;ajax=1" TargetMode="External"/><Relationship Id="rId50" Type="http://schemas.openxmlformats.org/officeDocument/2006/relationships/chart" Target="charts/chart10.xml"/><Relationship Id="rId55" Type="http://schemas.openxmlformats.org/officeDocument/2006/relationships/chart" Target="charts/chart15.xml"/><Relationship Id="rId63" Type="http://schemas.openxmlformats.org/officeDocument/2006/relationships/hyperlink" Target="http://www2.itif.org/2013-are-robots-taking-jobs.pdf"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https://en.wikipedia.org/wiki/Karl_Lagerfel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Projects\Zaidi%20Sattar\21st%20century%20Trade%20and%20Industry%20strategy%2020Sep17_final.docx" TargetMode="External"/><Relationship Id="rId24" Type="http://schemas.openxmlformats.org/officeDocument/2006/relationships/hyperlink" Target="https://en.wikipedia.org/wiki/Iris_van_Herpen" TargetMode="External"/><Relationship Id="rId32" Type="http://schemas.openxmlformats.org/officeDocument/2006/relationships/hyperlink" Target="https://en.wikipedia.org/wiki/Noa_Raviv" TargetMode="External"/><Relationship Id="rId37" Type="http://schemas.openxmlformats.org/officeDocument/2006/relationships/hyperlink" Target="https://en.wikipedia.org/wiki/Value_Chain" TargetMode="External"/><Relationship Id="rId40" Type="http://schemas.openxmlformats.org/officeDocument/2006/relationships/hyperlink" Target="https://en.wikipedia.org/wiki/Semiconductor_fabrication_plant" TargetMode="External"/><Relationship Id="rId45" Type="http://schemas.openxmlformats.org/officeDocument/2006/relationships/chart" Target="charts/chart6.xml"/><Relationship Id="rId53" Type="http://schemas.openxmlformats.org/officeDocument/2006/relationships/chart" Target="charts/chart13.xml"/><Relationship Id="rId58" Type="http://schemas.openxmlformats.org/officeDocument/2006/relationships/chart" Target="charts/chart18.xml"/><Relationship Id="rId66" Type="http://schemas.openxmlformats.org/officeDocument/2006/relationships/hyperlink" Target="http://m2m-/"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en.wikipedia.org/wiki/Chanel" TargetMode="External"/><Relationship Id="rId28" Type="http://schemas.openxmlformats.org/officeDocument/2006/relationships/hyperlink" Target="https://en.wikipedia.org/wiki/Koenigsegg" TargetMode="External"/><Relationship Id="rId36" Type="http://schemas.openxmlformats.org/officeDocument/2006/relationships/hyperlink" Target="http://www.mckinsey.com/business-functions/digital-mckinsey/our-insights/digital-globalization-the-new-era-of-global-flows" TargetMode="External"/><Relationship Id="rId49" Type="http://schemas.openxmlformats.org/officeDocument/2006/relationships/chart" Target="charts/chart9.xml"/><Relationship Id="rId57" Type="http://schemas.openxmlformats.org/officeDocument/2006/relationships/chart" Target="charts/chart17.xml"/><Relationship Id="rId61" Type="http://schemas.openxmlformats.org/officeDocument/2006/relationships/chart" Target="charts/chart21.xml"/><Relationship Id="rId10" Type="http://schemas.openxmlformats.org/officeDocument/2006/relationships/hyperlink" Target="file:///E:\Projects\Zaidi%20Sattar\21st%20century%20Trade%20and%20Industry%20strategy%2020Sep17_final.docx" TargetMode="External"/><Relationship Id="rId19" Type="http://schemas.openxmlformats.org/officeDocument/2006/relationships/hyperlink" Target="https://en.wikipedia.org/wiki/History_of_the_steam_engine" TargetMode="External"/><Relationship Id="rId31" Type="http://schemas.openxmlformats.org/officeDocument/2006/relationships/hyperlink" Target="https://en.wikipedia.org/wiki/Iris_van_Herpen" TargetMode="External"/><Relationship Id="rId44" Type="http://schemas.openxmlformats.org/officeDocument/2006/relationships/chart" Target="charts/chart5.xml"/><Relationship Id="rId52" Type="http://schemas.openxmlformats.org/officeDocument/2006/relationships/chart" Target="charts/chart12.xml"/><Relationship Id="rId60" Type="http://schemas.openxmlformats.org/officeDocument/2006/relationships/chart" Target="charts/chart20.xml"/><Relationship Id="rId65" Type="http://schemas.openxmlformats.org/officeDocument/2006/relationships/hyperlink" Target="http://www.gcf.ch/wp-cont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s://en.wikipedia.org/wiki/Karl_Lagerfeld" TargetMode="External"/><Relationship Id="rId27" Type="http://schemas.openxmlformats.org/officeDocument/2006/relationships/hyperlink" Target="https://en.wikipedia.org/wiki/Supercar" TargetMode="External"/><Relationship Id="rId30" Type="http://schemas.openxmlformats.org/officeDocument/2006/relationships/hyperlink" Target="https://en.wikipedia.org/wiki/Chanel" TargetMode="External"/><Relationship Id="rId35" Type="http://schemas.openxmlformats.org/officeDocument/2006/relationships/hyperlink" Target="https://en.wikipedia.org/wiki/Koenigsegg" TargetMode="External"/><Relationship Id="rId43" Type="http://schemas.openxmlformats.org/officeDocument/2006/relationships/chart" Target="charts/chart4.xml"/><Relationship Id="rId48" Type="http://schemas.openxmlformats.org/officeDocument/2006/relationships/chart" Target="charts/chart8.xml"/><Relationship Id="rId56" Type="http://schemas.openxmlformats.org/officeDocument/2006/relationships/chart" Target="charts/chart16.xml"/><Relationship Id="rId64" Type="http://schemas.openxmlformats.org/officeDocument/2006/relationships/hyperlink" Target="https://mjolner.dk/tech/realizing-fourth-industrial-revolution/" TargetMode="External"/><Relationship Id="rId69"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chart" Target="charts/chart1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s://en.wikipedia.org/wiki/Noa_Raviv" TargetMode="External"/><Relationship Id="rId33" Type="http://schemas.openxmlformats.org/officeDocument/2006/relationships/hyperlink" Target="https://en.wikipedia.org/wiki/Stratasys" TargetMode="External"/><Relationship Id="rId38" Type="http://schemas.openxmlformats.org/officeDocument/2006/relationships/hyperlink" Target="https://en.wikipedia.org/wiki/Electronics_Industry" TargetMode="External"/><Relationship Id="rId46" Type="http://schemas.openxmlformats.org/officeDocument/2006/relationships/chart" Target="charts/chart7.xml"/><Relationship Id="rId59" Type="http://schemas.openxmlformats.org/officeDocument/2006/relationships/chart" Target="charts/chart19.xml"/><Relationship Id="rId67" Type="http://schemas.openxmlformats.org/officeDocument/2006/relationships/hyperlink" Target="http://www.nber.org/chapters/c8081" TargetMode="External"/><Relationship Id="rId20" Type="http://schemas.openxmlformats.org/officeDocument/2006/relationships/hyperlink" Target="https://en.wikipedia.org/wiki/Global_spread_of_the_printing_press" TargetMode="External"/><Relationship Id="rId41" Type="http://schemas.openxmlformats.org/officeDocument/2006/relationships/hyperlink" Target="https://en.wikipedia.org/wiki/Liquid_crystal_display" TargetMode="External"/><Relationship Id="rId54" Type="http://schemas.openxmlformats.org/officeDocument/2006/relationships/chart" Target="charts/chart14.xml"/><Relationship Id="rId62" Type="http://schemas.openxmlformats.org/officeDocument/2006/relationships/chart" Target="charts/chart22.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oleObject" Target="file:///D:\Zaidi%20Sir\Exports\AVG%20Tariff%20Rate.xlsx" TargetMode="External"/><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4.xlsx"/><Relationship Id="rId1" Type="http://schemas.openxmlformats.org/officeDocument/2006/relationships/themeOverride" Target="../theme/themeOverride18.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Projected economic structure (%)</a:t>
            </a:r>
          </a:p>
        </c:rich>
      </c:tx>
      <c:overlay val="0"/>
    </c:title>
    <c:autoTitleDeleted val="0"/>
    <c:plotArea>
      <c:layout>
        <c:manualLayout>
          <c:layoutTarget val="inner"/>
          <c:xMode val="edge"/>
          <c:yMode val="edge"/>
          <c:x val="9.8594706911636229E-2"/>
          <c:y val="0.14909740449110551"/>
          <c:w val="0.87084973753280936"/>
          <c:h val="0.66537766112569263"/>
        </c:manualLayout>
      </c:layout>
      <c:barChart>
        <c:barDir val="col"/>
        <c:grouping val="stacked"/>
        <c:varyColors val="0"/>
        <c:ser>
          <c:idx val="0"/>
          <c:order val="0"/>
          <c:tx>
            <c:strRef>
              <c:f>Sheet3!$B$18</c:f>
              <c:strCache>
                <c:ptCount val="1"/>
                <c:pt idx="0">
                  <c:v>Agriculture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Sheet3!$C$17:$G$17</c:f>
              <c:numCache>
                <c:formatCode>General</c:formatCode>
                <c:ptCount val="5"/>
                <c:pt idx="0">
                  <c:v>2020</c:v>
                </c:pt>
                <c:pt idx="1">
                  <c:v>2025</c:v>
                </c:pt>
                <c:pt idx="2">
                  <c:v>2030</c:v>
                </c:pt>
                <c:pt idx="3">
                  <c:v>2035</c:v>
                </c:pt>
                <c:pt idx="4">
                  <c:v>2041</c:v>
                </c:pt>
              </c:numCache>
            </c:numRef>
          </c:cat>
          <c:val>
            <c:numRef>
              <c:f>Sheet3!$C$18:$G$18</c:f>
              <c:numCache>
                <c:formatCode>0.0</c:formatCode>
                <c:ptCount val="5"/>
                <c:pt idx="0">
                  <c:v>12.8</c:v>
                </c:pt>
                <c:pt idx="1">
                  <c:v>10</c:v>
                </c:pt>
                <c:pt idx="2">
                  <c:v>7</c:v>
                </c:pt>
                <c:pt idx="3">
                  <c:v>6.3</c:v>
                </c:pt>
                <c:pt idx="4">
                  <c:v>5</c:v>
                </c:pt>
              </c:numCache>
            </c:numRef>
          </c:val>
          <c:extLst>
            <c:ext xmlns:c16="http://schemas.microsoft.com/office/drawing/2014/chart" uri="{C3380CC4-5D6E-409C-BE32-E72D297353CC}">
              <c16:uniqueId val="{00000000-CECC-429D-B972-7EC0E2C03D78}"/>
            </c:ext>
          </c:extLst>
        </c:ser>
        <c:ser>
          <c:idx val="1"/>
          <c:order val="1"/>
          <c:tx>
            <c:strRef>
              <c:f>Sheet3!$B$19</c:f>
              <c:strCache>
                <c:ptCount val="1"/>
                <c:pt idx="0">
                  <c:v>Industry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Sheet3!$C$17:$G$17</c:f>
              <c:numCache>
                <c:formatCode>General</c:formatCode>
                <c:ptCount val="5"/>
                <c:pt idx="0">
                  <c:v>2020</c:v>
                </c:pt>
                <c:pt idx="1">
                  <c:v>2025</c:v>
                </c:pt>
                <c:pt idx="2">
                  <c:v>2030</c:v>
                </c:pt>
                <c:pt idx="3">
                  <c:v>2035</c:v>
                </c:pt>
                <c:pt idx="4">
                  <c:v>2041</c:v>
                </c:pt>
              </c:numCache>
            </c:numRef>
          </c:cat>
          <c:val>
            <c:numRef>
              <c:f>Sheet3!$C$19:$G$19</c:f>
              <c:numCache>
                <c:formatCode>0.0</c:formatCode>
                <c:ptCount val="5"/>
                <c:pt idx="0">
                  <c:v>33</c:v>
                </c:pt>
                <c:pt idx="1">
                  <c:v>38</c:v>
                </c:pt>
                <c:pt idx="2">
                  <c:v>40.400000000000006</c:v>
                </c:pt>
                <c:pt idx="3">
                  <c:v>38.6</c:v>
                </c:pt>
                <c:pt idx="4">
                  <c:v>33</c:v>
                </c:pt>
              </c:numCache>
            </c:numRef>
          </c:val>
          <c:extLst>
            <c:ext xmlns:c16="http://schemas.microsoft.com/office/drawing/2014/chart" uri="{C3380CC4-5D6E-409C-BE32-E72D297353CC}">
              <c16:uniqueId val="{00000001-CECC-429D-B972-7EC0E2C03D78}"/>
            </c:ext>
          </c:extLst>
        </c:ser>
        <c:ser>
          <c:idx val="2"/>
          <c:order val="2"/>
          <c:tx>
            <c:strRef>
              <c:f>Sheet3!$B$20</c:f>
              <c:strCache>
                <c:ptCount val="1"/>
                <c:pt idx="0">
                  <c:v>Services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Sheet3!$C$17:$G$17</c:f>
              <c:numCache>
                <c:formatCode>General</c:formatCode>
                <c:ptCount val="5"/>
                <c:pt idx="0">
                  <c:v>2020</c:v>
                </c:pt>
                <c:pt idx="1">
                  <c:v>2025</c:v>
                </c:pt>
                <c:pt idx="2">
                  <c:v>2030</c:v>
                </c:pt>
                <c:pt idx="3">
                  <c:v>2035</c:v>
                </c:pt>
                <c:pt idx="4">
                  <c:v>2041</c:v>
                </c:pt>
              </c:numCache>
            </c:numRef>
          </c:cat>
          <c:val>
            <c:numRef>
              <c:f>Sheet3!$C$20:$G$20</c:f>
              <c:numCache>
                <c:formatCode>0.0</c:formatCode>
                <c:ptCount val="5"/>
                <c:pt idx="0">
                  <c:v>54.2</c:v>
                </c:pt>
                <c:pt idx="1">
                  <c:v>52</c:v>
                </c:pt>
                <c:pt idx="2">
                  <c:v>52.600000000000009</c:v>
                </c:pt>
                <c:pt idx="3">
                  <c:v>55.1</c:v>
                </c:pt>
                <c:pt idx="4">
                  <c:v>62</c:v>
                </c:pt>
              </c:numCache>
            </c:numRef>
          </c:val>
          <c:extLst>
            <c:ext xmlns:c16="http://schemas.microsoft.com/office/drawing/2014/chart" uri="{C3380CC4-5D6E-409C-BE32-E72D297353CC}">
              <c16:uniqueId val="{00000002-CECC-429D-B972-7EC0E2C03D78}"/>
            </c:ext>
          </c:extLst>
        </c:ser>
        <c:dLbls>
          <c:showLegendKey val="0"/>
          <c:showVal val="0"/>
          <c:showCatName val="0"/>
          <c:showSerName val="0"/>
          <c:showPercent val="0"/>
          <c:showBubbleSize val="0"/>
        </c:dLbls>
        <c:gapWidth val="111"/>
        <c:overlap val="100"/>
        <c:axId val="1634349136"/>
        <c:axId val="1634338256"/>
      </c:barChart>
      <c:catAx>
        <c:axId val="1634349136"/>
        <c:scaling>
          <c:orientation val="minMax"/>
        </c:scaling>
        <c:delete val="0"/>
        <c:axPos val="b"/>
        <c:numFmt formatCode="General" sourceLinked="1"/>
        <c:majorTickMark val="out"/>
        <c:minorTickMark val="none"/>
        <c:tickLblPos val="nextTo"/>
        <c:crossAx val="1634338256"/>
        <c:crosses val="autoZero"/>
        <c:auto val="1"/>
        <c:lblAlgn val="ctr"/>
        <c:lblOffset val="100"/>
        <c:noMultiLvlLbl val="0"/>
      </c:catAx>
      <c:valAx>
        <c:axId val="1634338256"/>
        <c:scaling>
          <c:orientation val="minMax"/>
          <c:max val="100"/>
        </c:scaling>
        <c:delete val="0"/>
        <c:axPos val="l"/>
        <c:majorGridlines/>
        <c:numFmt formatCode="0.0" sourceLinked="1"/>
        <c:majorTickMark val="out"/>
        <c:minorTickMark val="none"/>
        <c:tickLblPos val="nextTo"/>
        <c:crossAx val="1634349136"/>
        <c:crosses val="autoZero"/>
        <c:crossBetween val="between"/>
      </c:valAx>
    </c:plotArea>
    <c:legend>
      <c:legendPos val="b"/>
      <c:overlay val="0"/>
    </c:legend>
    <c:plotVisOnly val="1"/>
    <c:dispBlanksAs val="gap"/>
    <c:showDLblsOverMax val="0"/>
  </c:chart>
  <c:spPr>
    <a:ln>
      <a:solidFill>
        <a:sysClr val="windowText" lastClr="000000"/>
      </a:solidFill>
    </a:ln>
  </c:spPr>
  <c:txPr>
    <a:bodyPr/>
    <a:lstStyle/>
    <a:p>
      <a:pPr>
        <a:defRPr sz="800" b="1"/>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184983430231447E-2"/>
          <c:y val="0.15189470031329882"/>
          <c:w val="0.86229697390767335"/>
          <c:h val="0.56812194250366588"/>
        </c:manualLayout>
      </c:layout>
      <c:lineChart>
        <c:grouping val="standard"/>
        <c:varyColors val="0"/>
        <c:ser>
          <c:idx val="2"/>
          <c:order val="0"/>
          <c:tx>
            <c:strRef>
              <c:f>Bangladesh!$C$22</c:f>
              <c:strCache>
                <c:ptCount val="1"/>
                <c:pt idx="0">
                  <c:v>Inputs</c:v>
                </c:pt>
              </c:strCache>
            </c:strRef>
          </c:tx>
          <c:spPr>
            <a:ln w="41275">
              <a:solidFill>
                <a:srgbClr val="C00000"/>
              </a:solidFill>
              <a:prstDash val="sysDot"/>
            </a:ln>
          </c:spPr>
          <c:marker>
            <c:symbol val="none"/>
          </c:marker>
          <c:dLbls>
            <c:dLbl>
              <c:idx val="0"/>
              <c:layout>
                <c:manualLayout>
                  <c:x val="-3.7218233750192987E-2"/>
                  <c:y val="1.37159904192303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6C-4612-B743-763276326F17}"/>
                </c:ext>
              </c:extLst>
            </c:dLbl>
            <c:dLbl>
              <c:idx val="1"/>
              <c:delete val="1"/>
              <c:extLst>
                <c:ext xmlns:c15="http://schemas.microsoft.com/office/drawing/2012/chart" uri="{CE6537A1-D6FC-4f65-9D91-7224C49458BB}"/>
                <c:ext xmlns:c16="http://schemas.microsoft.com/office/drawing/2014/chart" uri="{C3380CC4-5D6E-409C-BE32-E72D297353CC}">
                  <c16:uniqueId val="{00000001-496C-4612-B743-763276326F17}"/>
                </c:ext>
              </c:extLst>
            </c:dLbl>
            <c:dLbl>
              <c:idx val="2"/>
              <c:delete val="1"/>
              <c:extLst>
                <c:ext xmlns:c15="http://schemas.microsoft.com/office/drawing/2012/chart" uri="{CE6537A1-D6FC-4f65-9D91-7224C49458BB}"/>
                <c:ext xmlns:c16="http://schemas.microsoft.com/office/drawing/2014/chart" uri="{C3380CC4-5D6E-409C-BE32-E72D297353CC}">
                  <c16:uniqueId val="{00000002-496C-4612-B743-763276326F17}"/>
                </c:ext>
              </c:extLst>
            </c:dLbl>
            <c:dLbl>
              <c:idx val="3"/>
              <c:delete val="1"/>
              <c:extLst>
                <c:ext xmlns:c15="http://schemas.microsoft.com/office/drawing/2012/chart" uri="{CE6537A1-D6FC-4f65-9D91-7224C49458BB}"/>
                <c:ext xmlns:c16="http://schemas.microsoft.com/office/drawing/2014/chart" uri="{C3380CC4-5D6E-409C-BE32-E72D297353CC}">
                  <c16:uniqueId val="{00000003-496C-4612-B743-763276326F17}"/>
                </c:ext>
              </c:extLst>
            </c:dLbl>
            <c:dLbl>
              <c:idx val="4"/>
              <c:layout>
                <c:manualLayout>
                  <c:x val="-7.1531959240389076E-2"/>
                  <c:y val="2.10019649183196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6C-4612-B743-763276326F17}"/>
                </c:ext>
              </c:extLst>
            </c:dLbl>
            <c:dLbl>
              <c:idx val="5"/>
              <c:delete val="1"/>
              <c:extLst>
                <c:ext xmlns:c15="http://schemas.microsoft.com/office/drawing/2012/chart" uri="{CE6537A1-D6FC-4f65-9D91-7224C49458BB}"/>
                <c:ext xmlns:c16="http://schemas.microsoft.com/office/drawing/2014/chart" uri="{C3380CC4-5D6E-409C-BE32-E72D297353CC}">
                  <c16:uniqueId val="{00000005-496C-4612-B743-763276326F17}"/>
                </c:ext>
              </c:extLst>
            </c:dLbl>
            <c:dLbl>
              <c:idx val="6"/>
              <c:delete val="1"/>
              <c:extLst>
                <c:ext xmlns:c15="http://schemas.microsoft.com/office/drawing/2012/chart" uri="{CE6537A1-D6FC-4f65-9D91-7224C49458BB}"/>
                <c:ext xmlns:c16="http://schemas.microsoft.com/office/drawing/2014/chart" uri="{C3380CC4-5D6E-409C-BE32-E72D297353CC}">
                  <c16:uniqueId val="{00000006-496C-4612-B743-763276326F17}"/>
                </c:ext>
              </c:extLst>
            </c:dLbl>
            <c:dLbl>
              <c:idx val="7"/>
              <c:delete val="1"/>
              <c:extLst>
                <c:ext xmlns:c15="http://schemas.microsoft.com/office/drawing/2012/chart" uri="{CE6537A1-D6FC-4f65-9D91-7224C49458BB}"/>
                <c:ext xmlns:c16="http://schemas.microsoft.com/office/drawing/2014/chart" uri="{C3380CC4-5D6E-409C-BE32-E72D297353CC}">
                  <c16:uniqueId val="{00000007-496C-4612-B743-763276326F17}"/>
                </c:ext>
              </c:extLst>
            </c:dLbl>
            <c:dLbl>
              <c:idx val="8"/>
              <c:layout>
                <c:manualLayout>
                  <c:x val="-9.1139802377643978E-2"/>
                  <c:y val="1.37159904192303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96C-4612-B743-763276326F17}"/>
                </c:ext>
              </c:extLst>
            </c:dLbl>
            <c:dLbl>
              <c:idx val="9"/>
              <c:delete val="1"/>
              <c:extLst>
                <c:ext xmlns:c15="http://schemas.microsoft.com/office/drawing/2012/chart" uri="{CE6537A1-D6FC-4f65-9D91-7224C49458BB}"/>
                <c:ext xmlns:c16="http://schemas.microsoft.com/office/drawing/2014/chart" uri="{C3380CC4-5D6E-409C-BE32-E72D297353CC}">
                  <c16:uniqueId val="{00000009-496C-4612-B743-763276326F17}"/>
                </c:ext>
              </c:extLst>
            </c:dLbl>
            <c:dLbl>
              <c:idx val="10"/>
              <c:layout>
                <c:manualLayout>
                  <c:x val="-6.1728037671761618E-2"/>
                  <c:y val="2.82879394174088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96C-4612-B743-763276326F17}"/>
                </c:ext>
              </c:extLst>
            </c:dLbl>
            <c:dLbl>
              <c:idx val="11"/>
              <c:delete val="1"/>
              <c:extLst>
                <c:ext xmlns:c15="http://schemas.microsoft.com/office/drawing/2012/chart" uri="{CE6537A1-D6FC-4f65-9D91-7224C49458BB}"/>
                <c:ext xmlns:c16="http://schemas.microsoft.com/office/drawing/2014/chart" uri="{C3380CC4-5D6E-409C-BE32-E72D297353CC}">
                  <c16:uniqueId val="{0000000B-496C-4612-B743-763276326F17}"/>
                </c:ext>
              </c:extLst>
            </c:dLbl>
            <c:dLbl>
              <c:idx val="12"/>
              <c:delete val="1"/>
              <c:extLst>
                <c:ext xmlns:c15="http://schemas.microsoft.com/office/drawing/2012/chart" uri="{CE6537A1-D6FC-4f65-9D91-7224C49458BB}"/>
                <c:ext xmlns:c16="http://schemas.microsoft.com/office/drawing/2014/chart" uri="{C3380CC4-5D6E-409C-BE32-E72D297353CC}">
                  <c16:uniqueId val="{0000000C-496C-4612-B743-763276326F17}"/>
                </c:ext>
              </c:extLst>
            </c:dLbl>
            <c:dLbl>
              <c:idx val="13"/>
              <c:delete val="1"/>
              <c:extLst>
                <c:ext xmlns:c15="http://schemas.microsoft.com/office/drawing/2012/chart" uri="{CE6537A1-D6FC-4f65-9D91-7224C49458BB}"/>
                <c:ext xmlns:c16="http://schemas.microsoft.com/office/drawing/2014/chart" uri="{C3380CC4-5D6E-409C-BE32-E72D297353CC}">
                  <c16:uniqueId val="{0000000D-496C-4612-B743-763276326F17}"/>
                </c:ext>
              </c:extLst>
            </c:dLbl>
            <c:dLbl>
              <c:idx val="14"/>
              <c:delete val="1"/>
              <c:extLst>
                <c:ext xmlns:c15="http://schemas.microsoft.com/office/drawing/2012/chart" uri="{CE6537A1-D6FC-4f65-9D91-7224C49458BB}"/>
                <c:ext xmlns:c16="http://schemas.microsoft.com/office/drawing/2014/chart" uri="{C3380CC4-5D6E-409C-BE32-E72D297353CC}">
                  <c16:uniqueId val="{0000000E-496C-4612-B743-763276326F17}"/>
                </c:ext>
              </c:extLst>
            </c:dLbl>
            <c:dLbl>
              <c:idx val="15"/>
              <c:layout>
                <c:manualLayout>
                  <c:x val="-7.6433920024702798E-2"/>
                  <c:y val="2.8287939417408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96C-4612-B743-763276326F17}"/>
                </c:ext>
              </c:extLst>
            </c:dLbl>
            <c:dLbl>
              <c:idx val="16"/>
              <c:delete val="1"/>
              <c:extLst>
                <c:ext xmlns:c15="http://schemas.microsoft.com/office/drawing/2012/chart" uri="{CE6537A1-D6FC-4f65-9D91-7224C49458BB}"/>
                <c:ext xmlns:c16="http://schemas.microsoft.com/office/drawing/2014/chart" uri="{C3380CC4-5D6E-409C-BE32-E72D297353CC}">
                  <c16:uniqueId val="{00000010-496C-4612-B743-763276326F17}"/>
                </c:ext>
              </c:extLst>
            </c:dLbl>
            <c:dLbl>
              <c:idx val="17"/>
              <c:delete val="1"/>
              <c:extLst>
                <c:ext xmlns:c15="http://schemas.microsoft.com/office/drawing/2012/chart" uri="{CE6537A1-D6FC-4f65-9D91-7224C49458BB}"/>
                <c:ext xmlns:c16="http://schemas.microsoft.com/office/drawing/2014/chart" uri="{C3380CC4-5D6E-409C-BE32-E72D297353CC}">
                  <c16:uniqueId val="{00000011-496C-4612-B743-763276326F17}"/>
                </c:ext>
              </c:extLst>
            </c:dLbl>
            <c:dLbl>
              <c:idx val="18"/>
              <c:delete val="1"/>
              <c:extLst>
                <c:ext xmlns:c15="http://schemas.microsoft.com/office/drawing/2012/chart" uri="{CE6537A1-D6FC-4f65-9D91-7224C49458BB}"/>
                <c:ext xmlns:c16="http://schemas.microsoft.com/office/drawing/2014/chart" uri="{C3380CC4-5D6E-409C-BE32-E72D297353CC}">
                  <c16:uniqueId val="{00000012-496C-4612-B743-763276326F17}"/>
                </c:ext>
              </c:extLst>
            </c:dLbl>
            <c:dLbl>
              <c:idx val="19"/>
              <c:layout>
                <c:manualLayout>
                  <c:x val="-0.13035548865215368"/>
                  <c:y val="6.4300159201411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96C-4612-B743-763276326F17}"/>
                </c:ext>
              </c:extLst>
            </c:dLbl>
            <c:dLbl>
              <c:idx val="20"/>
              <c:delete val="1"/>
              <c:extLst>
                <c:ext xmlns:c15="http://schemas.microsoft.com/office/drawing/2012/chart" uri="{CE6537A1-D6FC-4f65-9D91-7224C49458BB}"/>
                <c:ext xmlns:c16="http://schemas.microsoft.com/office/drawing/2014/chart" uri="{C3380CC4-5D6E-409C-BE32-E72D297353CC}">
                  <c16:uniqueId val="{00000014-496C-4612-B743-763276326F17}"/>
                </c:ext>
              </c:extLst>
            </c:dLbl>
            <c:dLbl>
              <c:idx val="21"/>
              <c:delete val="1"/>
              <c:extLst>
                <c:ext xmlns:c15="http://schemas.microsoft.com/office/drawing/2012/chart" uri="{CE6537A1-D6FC-4f65-9D91-7224C49458BB}"/>
                <c:ext xmlns:c16="http://schemas.microsoft.com/office/drawing/2014/chart" uri="{C3380CC4-5D6E-409C-BE32-E72D297353CC}">
                  <c16:uniqueId val="{00000015-496C-4612-B743-763276326F17}"/>
                </c:ext>
              </c:extLst>
            </c:dLbl>
            <c:dLbl>
              <c:idx val="22"/>
              <c:layout>
                <c:manualLayout>
                  <c:x val="-5.3006407287324378E-2"/>
                  <c:y val="3.5573913916498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96C-4612-B743-763276326F17}"/>
                </c:ext>
              </c:extLst>
            </c:dLbl>
            <c:numFmt formatCode="#,##0.0" sourceLinked="0"/>
            <c:spPr>
              <a:noFill/>
              <a:ln>
                <a:noFill/>
              </a:ln>
              <a:effectLst/>
            </c:spPr>
            <c:txPr>
              <a:bodyPr/>
              <a:lstStyle/>
              <a:p>
                <a:pPr>
                  <a:defRPr sz="8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Bangladesh!$B$23:$B$45</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Bangladesh!$C$23:$C$45</c:f>
              <c:numCache>
                <c:formatCode>General</c:formatCode>
                <c:ptCount val="23"/>
                <c:pt idx="0">
                  <c:v>26.82</c:v>
                </c:pt>
                <c:pt idx="1">
                  <c:v>23.06</c:v>
                </c:pt>
                <c:pt idx="2">
                  <c:v>23.12</c:v>
                </c:pt>
                <c:pt idx="3">
                  <c:v>25.06</c:v>
                </c:pt>
                <c:pt idx="4">
                  <c:v>24.94</c:v>
                </c:pt>
                <c:pt idx="5">
                  <c:v>20.62</c:v>
                </c:pt>
                <c:pt idx="6" formatCode="#,##0.0">
                  <c:v>19.47</c:v>
                </c:pt>
                <c:pt idx="7" formatCode="#,##0.0">
                  <c:v>19.670000000000002</c:v>
                </c:pt>
                <c:pt idx="8" formatCode="#,##0.0">
                  <c:v>18.97</c:v>
                </c:pt>
                <c:pt idx="9" formatCode="#,##0.0">
                  <c:v>19.329999999999998</c:v>
                </c:pt>
                <c:pt idx="10" formatCode="#,##0.0">
                  <c:v>17.77</c:v>
                </c:pt>
                <c:pt idx="11" formatCode="#,##0.0">
                  <c:v>16.68</c:v>
                </c:pt>
                <c:pt idx="12" formatCode="#,##0.0">
                  <c:v>15.21</c:v>
                </c:pt>
                <c:pt idx="13" formatCode="#,##0.0">
                  <c:v>14.6</c:v>
                </c:pt>
                <c:pt idx="14" formatCode="#,##0.0">
                  <c:v>11.78</c:v>
                </c:pt>
                <c:pt idx="15" formatCode="#,##0.0">
                  <c:v>12.5</c:v>
                </c:pt>
                <c:pt idx="16" formatCode="#,##0.0">
                  <c:v>12.19</c:v>
                </c:pt>
                <c:pt idx="17" formatCode="#,##0.0">
                  <c:v>12.85</c:v>
                </c:pt>
                <c:pt idx="18" formatCode="#,##0.0">
                  <c:v>13.47</c:v>
                </c:pt>
                <c:pt idx="19" formatCode="#,##0.0">
                  <c:v>12.83</c:v>
                </c:pt>
                <c:pt idx="20" formatCode="#,##0.0">
                  <c:v>12.7</c:v>
                </c:pt>
                <c:pt idx="21" formatCode="#,##0.0">
                  <c:v>12.41</c:v>
                </c:pt>
                <c:pt idx="22" formatCode="#,##0.0">
                  <c:v>12.39</c:v>
                </c:pt>
              </c:numCache>
            </c:numRef>
          </c:val>
          <c:smooth val="0"/>
          <c:extLst>
            <c:ext xmlns:c16="http://schemas.microsoft.com/office/drawing/2014/chart" uri="{C3380CC4-5D6E-409C-BE32-E72D297353CC}">
              <c16:uniqueId val="{00000017-496C-4612-B743-763276326F17}"/>
            </c:ext>
          </c:extLst>
        </c:ser>
        <c:ser>
          <c:idx val="0"/>
          <c:order val="1"/>
          <c:tx>
            <c:strRef>
              <c:f>Bangladesh!$D$22</c:f>
              <c:strCache>
                <c:ptCount val="1"/>
                <c:pt idx="0">
                  <c:v>Consumer Goods</c:v>
                </c:pt>
              </c:strCache>
            </c:strRef>
          </c:tx>
          <c:spPr>
            <a:ln>
              <a:solidFill>
                <a:schemeClr val="tx2"/>
              </a:solidFill>
            </a:ln>
          </c:spPr>
          <c:marker>
            <c:symbol val="none"/>
          </c:marker>
          <c:dLbls>
            <c:dLbl>
              <c:idx val="0"/>
              <c:layout>
                <c:manualLayout>
                  <c:x val="-6.3114725790855086E-2"/>
                  <c:y val="-2.7646544181977254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96C-4612-B743-763276326F17}"/>
                </c:ext>
              </c:extLst>
            </c:dLbl>
            <c:dLbl>
              <c:idx val="1"/>
              <c:delete val="1"/>
              <c:extLst>
                <c:ext xmlns:c15="http://schemas.microsoft.com/office/drawing/2012/chart" uri="{CE6537A1-D6FC-4f65-9D91-7224C49458BB}"/>
                <c:ext xmlns:c16="http://schemas.microsoft.com/office/drawing/2014/chart" uri="{C3380CC4-5D6E-409C-BE32-E72D297353CC}">
                  <c16:uniqueId val="{00000019-496C-4612-B743-763276326F17}"/>
                </c:ext>
              </c:extLst>
            </c:dLbl>
            <c:dLbl>
              <c:idx val="2"/>
              <c:delete val="1"/>
              <c:extLst>
                <c:ext xmlns:c15="http://schemas.microsoft.com/office/drawing/2012/chart" uri="{CE6537A1-D6FC-4f65-9D91-7224C49458BB}"/>
                <c:ext xmlns:c16="http://schemas.microsoft.com/office/drawing/2014/chart" uri="{C3380CC4-5D6E-409C-BE32-E72D297353CC}">
                  <c16:uniqueId val="{0000001A-496C-4612-B743-763276326F17}"/>
                </c:ext>
              </c:extLst>
            </c:dLbl>
            <c:dLbl>
              <c:idx val="3"/>
              <c:delete val="1"/>
              <c:extLst>
                <c:ext xmlns:c15="http://schemas.microsoft.com/office/drawing/2012/chart" uri="{CE6537A1-D6FC-4f65-9D91-7224C49458BB}"/>
                <c:ext xmlns:c16="http://schemas.microsoft.com/office/drawing/2014/chart" uri="{C3380CC4-5D6E-409C-BE32-E72D297353CC}">
                  <c16:uniqueId val="{0000001B-496C-4612-B743-763276326F17}"/>
                </c:ext>
              </c:extLst>
            </c:dLbl>
            <c:dLbl>
              <c:idx val="4"/>
              <c:layout>
                <c:manualLayout>
                  <c:x val="-6.9752728277386378E-2"/>
                  <c:y val="2.11351706036745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96C-4612-B743-763276326F17}"/>
                </c:ext>
              </c:extLst>
            </c:dLbl>
            <c:dLbl>
              <c:idx val="5"/>
              <c:delete val="1"/>
              <c:extLst>
                <c:ext xmlns:c15="http://schemas.microsoft.com/office/drawing/2012/chart" uri="{CE6537A1-D6FC-4f65-9D91-7224C49458BB}"/>
                <c:ext xmlns:c16="http://schemas.microsoft.com/office/drawing/2014/chart" uri="{C3380CC4-5D6E-409C-BE32-E72D297353CC}">
                  <c16:uniqueId val="{0000001D-496C-4612-B743-763276326F17}"/>
                </c:ext>
              </c:extLst>
            </c:dLbl>
            <c:dLbl>
              <c:idx val="6"/>
              <c:delete val="1"/>
              <c:extLst>
                <c:ext xmlns:c15="http://schemas.microsoft.com/office/drawing/2012/chart" uri="{CE6537A1-D6FC-4f65-9D91-7224C49458BB}"/>
                <c:ext xmlns:c16="http://schemas.microsoft.com/office/drawing/2014/chart" uri="{C3380CC4-5D6E-409C-BE32-E72D297353CC}">
                  <c16:uniqueId val="{0000001E-496C-4612-B743-763276326F17}"/>
                </c:ext>
              </c:extLst>
            </c:dLbl>
            <c:dLbl>
              <c:idx val="7"/>
              <c:delete val="1"/>
              <c:extLst>
                <c:ext xmlns:c15="http://schemas.microsoft.com/office/drawing/2012/chart" uri="{CE6537A1-D6FC-4f65-9D91-7224C49458BB}"/>
                <c:ext xmlns:c16="http://schemas.microsoft.com/office/drawing/2014/chart" uri="{C3380CC4-5D6E-409C-BE32-E72D297353CC}">
                  <c16:uniqueId val="{0000001F-496C-4612-B743-763276326F17}"/>
                </c:ext>
              </c:extLst>
            </c:dLbl>
            <c:dLbl>
              <c:idx val="8"/>
              <c:layout>
                <c:manualLayout>
                  <c:x val="-9.0318068794032327E-2"/>
                  <c:y val="-2.589676290463692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496C-4612-B743-763276326F17}"/>
                </c:ext>
              </c:extLst>
            </c:dLbl>
            <c:dLbl>
              <c:idx val="9"/>
              <c:delete val="1"/>
              <c:extLst>
                <c:ext xmlns:c15="http://schemas.microsoft.com/office/drawing/2012/chart" uri="{CE6537A1-D6FC-4f65-9D91-7224C49458BB}"/>
                <c:ext xmlns:c16="http://schemas.microsoft.com/office/drawing/2014/chart" uri="{C3380CC4-5D6E-409C-BE32-E72D297353CC}">
                  <c16:uniqueId val="{00000021-496C-4612-B743-763276326F17}"/>
                </c:ext>
              </c:extLst>
            </c:dLbl>
            <c:dLbl>
              <c:idx val="10"/>
              <c:layout>
                <c:manualLayout>
                  <c:x val="-6.838824423262882E-2"/>
                  <c:y val="2.59982502187226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496C-4612-B743-763276326F17}"/>
                </c:ext>
              </c:extLst>
            </c:dLbl>
            <c:dLbl>
              <c:idx val="11"/>
              <c:delete val="1"/>
              <c:extLst>
                <c:ext xmlns:c15="http://schemas.microsoft.com/office/drawing/2012/chart" uri="{CE6537A1-D6FC-4f65-9D91-7224C49458BB}"/>
                <c:ext xmlns:c16="http://schemas.microsoft.com/office/drawing/2014/chart" uri="{C3380CC4-5D6E-409C-BE32-E72D297353CC}">
                  <c16:uniqueId val="{00000023-496C-4612-B743-763276326F17}"/>
                </c:ext>
              </c:extLst>
            </c:dLbl>
            <c:dLbl>
              <c:idx val="12"/>
              <c:delete val="1"/>
              <c:extLst>
                <c:ext xmlns:c15="http://schemas.microsoft.com/office/drawing/2012/chart" uri="{CE6537A1-D6FC-4f65-9D91-7224C49458BB}"/>
                <c:ext xmlns:c16="http://schemas.microsoft.com/office/drawing/2014/chart" uri="{C3380CC4-5D6E-409C-BE32-E72D297353CC}">
                  <c16:uniqueId val="{00000024-496C-4612-B743-763276326F17}"/>
                </c:ext>
              </c:extLst>
            </c:dLbl>
            <c:dLbl>
              <c:idx val="13"/>
              <c:delete val="1"/>
              <c:extLst>
                <c:ext xmlns:c15="http://schemas.microsoft.com/office/drawing/2012/chart" uri="{CE6537A1-D6FC-4f65-9D91-7224C49458BB}"/>
                <c:ext xmlns:c16="http://schemas.microsoft.com/office/drawing/2014/chart" uri="{C3380CC4-5D6E-409C-BE32-E72D297353CC}">
                  <c16:uniqueId val="{00000025-496C-4612-B743-763276326F17}"/>
                </c:ext>
              </c:extLst>
            </c:dLbl>
            <c:dLbl>
              <c:idx val="14"/>
              <c:delete val="1"/>
              <c:extLst>
                <c:ext xmlns:c15="http://schemas.microsoft.com/office/drawing/2012/chart" uri="{CE6537A1-D6FC-4f65-9D91-7224C49458BB}"/>
                <c:ext xmlns:c16="http://schemas.microsoft.com/office/drawing/2014/chart" uri="{C3380CC4-5D6E-409C-BE32-E72D297353CC}">
                  <c16:uniqueId val="{00000026-496C-4612-B743-763276326F17}"/>
                </c:ext>
              </c:extLst>
            </c:dLbl>
            <c:dLbl>
              <c:idx val="15"/>
              <c:layout>
                <c:manualLayout>
                  <c:x val="-6.838824423262882E-2"/>
                  <c:y val="-1.60139982502187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496C-4612-B743-763276326F17}"/>
                </c:ext>
              </c:extLst>
            </c:dLbl>
            <c:dLbl>
              <c:idx val="16"/>
              <c:delete val="1"/>
              <c:extLst>
                <c:ext xmlns:c15="http://schemas.microsoft.com/office/drawing/2012/chart" uri="{CE6537A1-D6FC-4f65-9D91-7224C49458BB}"/>
                <c:ext xmlns:c16="http://schemas.microsoft.com/office/drawing/2014/chart" uri="{C3380CC4-5D6E-409C-BE32-E72D297353CC}">
                  <c16:uniqueId val="{00000028-496C-4612-B743-763276326F17}"/>
                </c:ext>
              </c:extLst>
            </c:dLbl>
            <c:dLbl>
              <c:idx val="17"/>
              <c:delete val="1"/>
              <c:extLst>
                <c:ext xmlns:c15="http://schemas.microsoft.com/office/drawing/2012/chart" uri="{CE6537A1-D6FC-4f65-9D91-7224C49458BB}"/>
                <c:ext xmlns:c16="http://schemas.microsoft.com/office/drawing/2014/chart" uri="{C3380CC4-5D6E-409C-BE32-E72D297353CC}">
                  <c16:uniqueId val="{00000029-496C-4612-B743-763276326F17}"/>
                </c:ext>
              </c:extLst>
            </c:dLbl>
            <c:dLbl>
              <c:idx val="18"/>
              <c:delete val="1"/>
              <c:extLst>
                <c:ext xmlns:c15="http://schemas.microsoft.com/office/drawing/2012/chart" uri="{CE6537A1-D6FC-4f65-9D91-7224C49458BB}"/>
                <c:ext xmlns:c16="http://schemas.microsoft.com/office/drawing/2014/chart" uri="{C3380CC4-5D6E-409C-BE32-E72D297353CC}">
                  <c16:uniqueId val="{0000002A-496C-4612-B743-763276326F17}"/>
                </c:ext>
              </c:extLst>
            </c:dLbl>
            <c:dLbl>
              <c:idx val="19"/>
              <c:layout>
                <c:manualLayout>
                  <c:x val="-9.0318068794032327E-2"/>
                  <c:y val="-3.26806649168853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496C-4612-B743-763276326F17}"/>
                </c:ext>
              </c:extLst>
            </c:dLbl>
            <c:dLbl>
              <c:idx val="20"/>
              <c:delete val="1"/>
              <c:extLst>
                <c:ext xmlns:c15="http://schemas.microsoft.com/office/drawing/2012/chart" uri="{CE6537A1-D6FC-4f65-9D91-7224C49458BB}"/>
                <c:ext xmlns:c16="http://schemas.microsoft.com/office/drawing/2014/chart" uri="{C3380CC4-5D6E-409C-BE32-E72D297353CC}">
                  <c16:uniqueId val="{0000002C-496C-4612-B743-763276326F17}"/>
                </c:ext>
              </c:extLst>
            </c:dLbl>
            <c:dLbl>
              <c:idx val="21"/>
              <c:layout>
                <c:manualLayout>
                  <c:x val="-9.1515748031496064E-2"/>
                  <c:y val="6.5266841644794397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496C-4612-B743-763276326F17}"/>
                </c:ext>
              </c:extLst>
            </c:dLbl>
            <c:dLbl>
              <c:idx val="22"/>
              <c:layout>
                <c:manualLayout>
                  <c:x val="-1.9494059953032186E-2"/>
                  <c:y val="1.7319335083114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496C-4612-B743-763276326F17}"/>
                </c:ext>
              </c:extLst>
            </c:dLbl>
            <c:spPr>
              <a:noFill/>
              <a:ln>
                <a:noFill/>
              </a:ln>
              <a:effectLst/>
            </c:spPr>
            <c:txPr>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Bangladesh!$B$23:$B$45</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Bangladesh!$D$23:$D$45</c:f>
              <c:numCache>
                <c:formatCode>0.00</c:formatCode>
                <c:ptCount val="23"/>
                <c:pt idx="0">
                  <c:v>46.435140655779662</c:v>
                </c:pt>
                <c:pt idx="1">
                  <c:v>39.128174881652498</c:v>
                </c:pt>
                <c:pt idx="2">
                  <c:v>38.789163165648702</c:v>
                </c:pt>
                <c:pt idx="3">
                  <c:v>39.946673316250873</c:v>
                </c:pt>
                <c:pt idx="4">
                  <c:v>38.285065783538165</c:v>
                </c:pt>
                <c:pt idx="5">
                  <c:v>37.168418702694581</c:v>
                </c:pt>
                <c:pt idx="6" formatCode="#,##0.0">
                  <c:v>37.1</c:v>
                </c:pt>
                <c:pt idx="7" formatCode="#,##0.0">
                  <c:v>38.950000000000003</c:v>
                </c:pt>
                <c:pt idx="8" formatCode="#,##0.0">
                  <c:v>34.06</c:v>
                </c:pt>
                <c:pt idx="9" formatCode="#,##0.0">
                  <c:v>40.15</c:v>
                </c:pt>
                <c:pt idx="10" formatCode="#,##0.0">
                  <c:v>37.35</c:v>
                </c:pt>
                <c:pt idx="11" formatCode="#,##0.0">
                  <c:v>38.799999999999997</c:v>
                </c:pt>
                <c:pt idx="12" formatCode="#,##0.0">
                  <c:v>35.770000000000003</c:v>
                </c:pt>
                <c:pt idx="13" formatCode="#,##0.0">
                  <c:v>34.19</c:v>
                </c:pt>
                <c:pt idx="14" formatCode="#,##0.0">
                  <c:v>33.31</c:v>
                </c:pt>
                <c:pt idx="15" formatCode="#,##0.0">
                  <c:v>41.2</c:v>
                </c:pt>
                <c:pt idx="16" formatCode="#,##0.0">
                  <c:v>41.29</c:v>
                </c:pt>
                <c:pt idx="17" formatCode="#,##0.0">
                  <c:v>47.29</c:v>
                </c:pt>
                <c:pt idx="18" formatCode="#,##0.0">
                  <c:v>51.39</c:v>
                </c:pt>
                <c:pt idx="19" formatCode="#,##0.0">
                  <c:v>50.66</c:v>
                </c:pt>
                <c:pt idx="20" formatCode="#,##0.0">
                  <c:v>47.76</c:v>
                </c:pt>
                <c:pt idx="21" formatCode="#,##0.0">
                  <c:v>45.97</c:v>
                </c:pt>
                <c:pt idx="22" formatCode="#,##0.0">
                  <c:v>45.22</c:v>
                </c:pt>
              </c:numCache>
            </c:numRef>
          </c:val>
          <c:smooth val="0"/>
          <c:extLst>
            <c:ext xmlns:c16="http://schemas.microsoft.com/office/drawing/2014/chart" uri="{C3380CC4-5D6E-409C-BE32-E72D297353CC}">
              <c16:uniqueId val="{0000002F-496C-4612-B743-763276326F17}"/>
            </c:ext>
          </c:extLst>
        </c:ser>
        <c:dLbls>
          <c:showLegendKey val="0"/>
          <c:showVal val="1"/>
          <c:showCatName val="0"/>
          <c:showSerName val="0"/>
          <c:showPercent val="0"/>
          <c:showBubbleSize val="0"/>
        </c:dLbls>
        <c:smooth val="0"/>
        <c:axId val="1843792304"/>
        <c:axId val="1843790672"/>
      </c:lineChart>
      <c:valAx>
        <c:axId val="1843790672"/>
        <c:scaling>
          <c:orientation val="minMax"/>
        </c:scaling>
        <c:delete val="0"/>
        <c:axPos val="l"/>
        <c:majorGridlines/>
        <c:title>
          <c:tx>
            <c:rich>
              <a:bodyPr rot="0" vert="horz"/>
              <a:lstStyle/>
              <a:p>
                <a:pPr>
                  <a:defRPr/>
                </a:pPr>
                <a:r>
                  <a:rPr lang="en-US" sz="800" b="0"/>
                  <a:t>Tariff Rate (%)</a:t>
                </a:r>
              </a:p>
            </c:rich>
          </c:tx>
          <c:layout>
            <c:manualLayout>
              <c:xMode val="edge"/>
              <c:yMode val="edge"/>
              <c:x val="3.0701754385964952E-2"/>
              <c:y val="7.9729164289246885E-4"/>
            </c:manualLayout>
          </c:layout>
          <c:overlay val="0"/>
        </c:title>
        <c:numFmt formatCode="#,##0" sourceLinked="0"/>
        <c:majorTickMark val="none"/>
        <c:minorTickMark val="none"/>
        <c:tickLblPos val="nextTo"/>
        <c:spPr>
          <a:ln w="9525">
            <a:noFill/>
          </a:ln>
        </c:spPr>
        <c:txPr>
          <a:bodyPr/>
          <a:lstStyle/>
          <a:p>
            <a:pPr>
              <a:defRPr sz="800"/>
            </a:pPr>
            <a:endParaRPr lang="en-US"/>
          </a:p>
        </c:txPr>
        <c:crossAx val="1843792304"/>
        <c:crosses val="autoZero"/>
        <c:crossBetween val="between"/>
      </c:valAx>
      <c:catAx>
        <c:axId val="1843792304"/>
        <c:scaling>
          <c:orientation val="minMax"/>
        </c:scaling>
        <c:delete val="0"/>
        <c:axPos val="b"/>
        <c:numFmt formatCode="General" sourceLinked="1"/>
        <c:majorTickMark val="none"/>
        <c:minorTickMark val="none"/>
        <c:tickLblPos val="nextTo"/>
        <c:txPr>
          <a:bodyPr rot="-5400000" vert="horz"/>
          <a:lstStyle/>
          <a:p>
            <a:pPr>
              <a:defRPr sz="800"/>
            </a:pPr>
            <a:endParaRPr lang="en-US"/>
          </a:p>
        </c:txPr>
        <c:crossAx val="1843790672"/>
        <c:crosses val="autoZero"/>
        <c:auto val="0"/>
        <c:lblAlgn val="ctr"/>
        <c:lblOffset val="0"/>
        <c:tickLblSkip val="2"/>
        <c:tickMarkSkip val="1"/>
        <c:noMultiLvlLbl val="0"/>
      </c:catAx>
      <c:spPr>
        <a:gradFill flip="none" rotWithShape="1">
          <a:gsLst>
            <a:gs pos="0">
              <a:srgbClr val="5E9EFF"/>
            </a:gs>
            <a:gs pos="39999">
              <a:srgbClr val="85C2FF"/>
            </a:gs>
            <a:gs pos="70000">
              <a:srgbClr val="C4D6EB"/>
            </a:gs>
            <a:gs pos="100000">
              <a:srgbClr val="FFEBFA"/>
            </a:gs>
          </a:gsLst>
          <a:lin ang="2700000" scaled="0"/>
          <a:tileRect/>
        </a:gradFill>
      </c:spPr>
    </c:plotArea>
    <c:legend>
      <c:legendPos val="b"/>
      <c:layout>
        <c:manualLayout>
          <c:xMode val="edge"/>
          <c:yMode val="edge"/>
          <c:x val="0.20933761569277526"/>
          <c:y val="3.574803149606301E-2"/>
          <c:w val="0.78307984528249763"/>
          <c:h val="9.3750656167978993E-2"/>
        </c:manualLayout>
      </c:layout>
      <c:overlay val="0"/>
      <c:txPr>
        <a:bodyPr/>
        <a:lstStyle/>
        <a:p>
          <a:pPr>
            <a:defRPr sz="900"/>
          </a:pPr>
          <a:endParaRPr lang="en-US"/>
        </a:p>
      </c:txPr>
    </c:legend>
    <c:plotVisOnly val="1"/>
    <c:dispBlanksAs val="gap"/>
    <c:showDLblsOverMax val="0"/>
  </c:chart>
  <c:spPr>
    <a:solidFill>
      <a:srgbClr val="1F497D">
        <a:lumMod val="20000"/>
        <a:lumOff val="80000"/>
      </a:srgbClr>
    </a:solidFill>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303516495921875E-2"/>
          <c:y val="0.17318274609613193"/>
          <c:w val="0.92369648350407807"/>
          <c:h val="0.6249677881173944"/>
        </c:manualLayout>
      </c:layout>
      <c:lineChart>
        <c:grouping val="standard"/>
        <c:varyColors val="0"/>
        <c:ser>
          <c:idx val="1"/>
          <c:order val="0"/>
          <c:tx>
            <c:strRef>
              <c:f>Malaysia!$G$32</c:f>
              <c:strCache>
                <c:ptCount val="1"/>
                <c:pt idx="0">
                  <c:v>Inputs</c:v>
                </c:pt>
              </c:strCache>
            </c:strRef>
          </c:tx>
          <c:spPr>
            <a:ln w="41275">
              <a:prstDash val="sysDot"/>
            </a:ln>
          </c:spPr>
          <c:marker>
            <c:symbol val="none"/>
          </c:marker>
          <c:dLbls>
            <c:dLbl>
              <c:idx val="0"/>
              <c:layout>
                <c:manualLayout>
                  <c:x val="-2.1977746733271245E-2"/>
                  <c:y val="3.869203849518810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3F-4F61-A7E0-C74E9349DD05}"/>
                </c:ext>
              </c:extLst>
            </c:dLbl>
            <c:dLbl>
              <c:idx val="1"/>
              <c:delete val="1"/>
              <c:extLst>
                <c:ext xmlns:c15="http://schemas.microsoft.com/office/drawing/2012/chart" uri="{CE6537A1-D6FC-4f65-9D91-7224C49458BB}"/>
                <c:ext xmlns:c16="http://schemas.microsoft.com/office/drawing/2014/chart" uri="{C3380CC4-5D6E-409C-BE32-E72D297353CC}">
                  <c16:uniqueId val="{00000001-7F3F-4F61-A7E0-C74E9349DD05}"/>
                </c:ext>
              </c:extLst>
            </c:dLbl>
            <c:dLbl>
              <c:idx val="2"/>
              <c:delete val="1"/>
              <c:extLst>
                <c:ext xmlns:c15="http://schemas.microsoft.com/office/drawing/2012/chart" uri="{CE6537A1-D6FC-4f65-9D91-7224C49458BB}"/>
                <c:ext xmlns:c16="http://schemas.microsoft.com/office/drawing/2014/chart" uri="{C3380CC4-5D6E-409C-BE32-E72D297353CC}">
                  <c16:uniqueId val="{00000002-7F3F-4F61-A7E0-C74E9349DD05}"/>
                </c:ext>
              </c:extLst>
            </c:dLbl>
            <c:dLbl>
              <c:idx val="3"/>
              <c:delete val="1"/>
              <c:extLst>
                <c:ext xmlns:c15="http://schemas.microsoft.com/office/drawing/2012/chart" uri="{CE6537A1-D6FC-4f65-9D91-7224C49458BB}"/>
                <c:ext xmlns:c16="http://schemas.microsoft.com/office/drawing/2014/chart" uri="{C3380CC4-5D6E-409C-BE32-E72D297353CC}">
                  <c16:uniqueId val="{00000003-7F3F-4F61-A7E0-C74E9349DD05}"/>
                </c:ext>
              </c:extLst>
            </c:dLbl>
            <c:dLbl>
              <c:idx val="4"/>
              <c:layout>
                <c:manualLayout>
                  <c:x val="-6.9858959162362774E-2"/>
                  <c:y val="1.30730533683289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3F-4F61-A7E0-C74E9349DD05}"/>
                </c:ext>
              </c:extLst>
            </c:dLbl>
            <c:dLbl>
              <c:idx val="5"/>
              <c:delete val="1"/>
              <c:extLst>
                <c:ext xmlns:c15="http://schemas.microsoft.com/office/drawing/2012/chart" uri="{CE6537A1-D6FC-4f65-9D91-7224C49458BB}"/>
                <c:ext xmlns:c16="http://schemas.microsoft.com/office/drawing/2014/chart" uri="{C3380CC4-5D6E-409C-BE32-E72D297353CC}">
                  <c16:uniqueId val="{00000005-7F3F-4F61-A7E0-C74E9349DD05}"/>
                </c:ext>
              </c:extLst>
            </c:dLbl>
            <c:dLbl>
              <c:idx val="6"/>
              <c:layout>
                <c:manualLayout>
                  <c:x val="-6.9858959162362774E-2"/>
                  <c:y val="1.30730533683289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3F-4F61-A7E0-C74E9349DD05}"/>
                </c:ext>
              </c:extLst>
            </c:dLbl>
            <c:dLbl>
              <c:idx val="7"/>
              <c:delete val="1"/>
              <c:extLst>
                <c:ext xmlns:c15="http://schemas.microsoft.com/office/drawing/2012/chart" uri="{CE6537A1-D6FC-4f65-9D91-7224C49458BB}"/>
                <c:ext xmlns:c16="http://schemas.microsoft.com/office/drawing/2014/chart" uri="{C3380CC4-5D6E-409C-BE32-E72D297353CC}">
                  <c16:uniqueId val="{00000007-7F3F-4F61-A7E0-C74E9349DD05}"/>
                </c:ext>
              </c:extLst>
            </c:dLbl>
            <c:dLbl>
              <c:idx val="8"/>
              <c:delete val="1"/>
              <c:extLst>
                <c:ext xmlns:c15="http://schemas.microsoft.com/office/drawing/2012/chart" uri="{CE6537A1-D6FC-4f65-9D91-7224C49458BB}"/>
                <c:ext xmlns:c16="http://schemas.microsoft.com/office/drawing/2014/chart" uri="{C3380CC4-5D6E-409C-BE32-E72D297353CC}">
                  <c16:uniqueId val="{00000008-7F3F-4F61-A7E0-C74E9349DD05}"/>
                </c:ext>
              </c:extLst>
            </c:dLbl>
            <c:dLbl>
              <c:idx val="9"/>
              <c:layout>
                <c:manualLayout>
                  <c:x val="-4.7457525470606499E-2"/>
                  <c:y val="2.69619422572178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F3F-4F61-A7E0-C74E9349DD05}"/>
                </c:ext>
              </c:extLst>
            </c:dLbl>
            <c:dLbl>
              <c:idx val="10"/>
              <c:delete val="1"/>
              <c:extLst>
                <c:ext xmlns:c15="http://schemas.microsoft.com/office/drawing/2012/chart" uri="{CE6537A1-D6FC-4f65-9D91-7224C49458BB}"/>
                <c:ext xmlns:c16="http://schemas.microsoft.com/office/drawing/2014/chart" uri="{C3380CC4-5D6E-409C-BE32-E72D297353CC}">
                  <c16:uniqueId val="{0000000A-7F3F-4F61-A7E0-C74E9349DD05}"/>
                </c:ext>
              </c:extLst>
            </c:dLbl>
            <c:dLbl>
              <c:idx val="11"/>
              <c:delete val="1"/>
              <c:extLst>
                <c:ext xmlns:c15="http://schemas.microsoft.com/office/drawing/2012/chart" uri="{CE6537A1-D6FC-4f65-9D91-7224C49458BB}"/>
                <c:ext xmlns:c16="http://schemas.microsoft.com/office/drawing/2014/chart" uri="{C3380CC4-5D6E-409C-BE32-E72D297353CC}">
                  <c16:uniqueId val="{0000000B-7F3F-4F61-A7E0-C74E9349DD05}"/>
                </c:ext>
              </c:extLst>
            </c:dLbl>
            <c:dLbl>
              <c:idx val="12"/>
              <c:delete val="1"/>
              <c:extLst>
                <c:ext xmlns:c15="http://schemas.microsoft.com/office/drawing/2012/chart" uri="{CE6537A1-D6FC-4f65-9D91-7224C49458BB}"/>
                <c:ext xmlns:c16="http://schemas.microsoft.com/office/drawing/2014/chart" uri="{C3380CC4-5D6E-409C-BE32-E72D297353CC}">
                  <c16:uniqueId val="{0000000C-7F3F-4F61-A7E0-C74E9349DD05}"/>
                </c:ext>
              </c:extLst>
            </c:dLbl>
            <c:dLbl>
              <c:idx val="13"/>
              <c:delete val="1"/>
              <c:extLst>
                <c:ext xmlns:c15="http://schemas.microsoft.com/office/drawing/2012/chart" uri="{CE6537A1-D6FC-4f65-9D91-7224C49458BB}"/>
                <c:ext xmlns:c16="http://schemas.microsoft.com/office/drawing/2014/chart" uri="{C3380CC4-5D6E-409C-BE32-E72D297353CC}">
                  <c16:uniqueId val="{0000000D-7F3F-4F61-A7E0-C74E9349DD05}"/>
                </c:ext>
              </c:extLst>
            </c:dLbl>
            <c:dLbl>
              <c:idx val="14"/>
              <c:layout>
                <c:manualLayout>
                  <c:x val="-6.9858959162362774E-2"/>
                  <c:y val="4.08508311461067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F3F-4F61-A7E0-C74E9349DD05}"/>
                </c:ext>
              </c:extLst>
            </c:dLbl>
            <c:dLbl>
              <c:idx val="15"/>
              <c:delete val="1"/>
              <c:extLst>
                <c:ext xmlns:c15="http://schemas.microsoft.com/office/drawing/2012/chart" uri="{CE6537A1-D6FC-4f65-9D91-7224C49458BB}"/>
                <c:ext xmlns:c16="http://schemas.microsoft.com/office/drawing/2014/chart" uri="{C3380CC4-5D6E-409C-BE32-E72D297353CC}">
                  <c16:uniqueId val="{0000000F-7F3F-4F61-A7E0-C74E9349DD05}"/>
                </c:ext>
              </c:extLst>
            </c:dLbl>
            <c:dLbl>
              <c:idx val="16"/>
              <c:delete val="1"/>
              <c:extLst>
                <c:ext xmlns:c15="http://schemas.microsoft.com/office/drawing/2012/chart" uri="{CE6537A1-D6FC-4f65-9D91-7224C49458BB}"/>
                <c:ext xmlns:c16="http://schemas.microsoft.com/office/drawing/2014/chart" uri="{C3380CC4-5D6E-409C-BE32-E72D297353CC}">
                  <c16:uniqueId val="{00000010-7F3F-4F61-A7E0-C74E9349DD05}"/>
                </c:ext>
              </c:extLst>
            </c:dLbl>
            <c:dLbl>
              <c:idx val="17"/>
              <c:delete val="1"/>
              <c:extLst>
                <c:ext xmlns:c15="http://schemas.microsoft.com/office/drawing/2012/chart" uri="{CE6537A1-D6FC-4f65-9D91-7224C49458BB}"/>
                <c:ext xmlns:c16="http://schemas.microsoft.com/office/drawing/2014/chart" uri="{C3380CC4-5D6E-409C-BE32-E72D297353CC}">
                  <c16:uniqueId val="{00000011-7F3F-4F61-A7E0-C74E9349DD05}"/>
                </c:ext>
              </c:extLst>
            </c:dLbl>
            <c:dLbl>
              <c:idx val="18"/>
              <c:layout>
                <c:manualLayout>
                  <c:x val="-9.9379109869330767E-2"/>
                  <c:y val="5.41748687664041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F3F-4F61-A7E0-C74E9349DD05}"/>
                </c:ext>
              </c:extLst>
            </c:dLbl>
            <c:dLbl>
              <c:idx val="19"/>
              <c:delete val="1"/>
              <c:extLst>
                <c:ext xmlns:c15="http://schemas.microsoft.com/office/drawing/2012/chart" uri="{CE6537A1-D6FC-4f65-9D91-7224C49458BB}"/>
                <c:ext xmlns:c16="http://schemas.microsoft.com/office/drawing/2014/chart" uri="{C3380CC4-5D6E-409C-BE32-E72D297353CC}">
                  <c16:uniqueId val="{00000013-7F3F-4F61-A7E0-C74E9349DD05}"/>
                </c:ext>
              </c:extLst>
            </c:dLbl>
            <c:dLbl>
              <c:idx val="20"/>
              <c:layout>
                <c:manualLayout>
                  <c:x val="-7.8795469358276526E-2"/>
                  <c:y val="6.16841644794400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F3F-4F61-A7E0-C74E9349DD05}"/>
                </c:ext>
              </c:extLst>
            </c:dLbl>
            <c:dLbl>
              <c:idx val="21"/>
              <c:delete val="1"/>
              <c:extLst>
                <c:ext xmlns:c15="http://schemas.microsoft.com/office/drawing/2012/chart" uri="{CE6537A1-D6FC-4f65-9D91-7224C49458BB}"/>
                <c:ext xmlns:c16="http://schemas.microsoft.com/office/drawing/2014/chart" uri="{C3380CC4-5D6E-409C-BE32-E72D297353CC}">
                  <c16:uniqueId val="{00000015-7F3F-4F61-A7E0-C74E9349DD05}"/>
                </c:ext>
              </c:extLst>
            </c:dLbl>
            <c:dLbl>
              <c:idx val="22"/>
              <c:delete val="1"/>
              <c:extLst>
                <c:ext xmlns:c15="http://schemas.microsoft.com/office/drawing/2012/chart" uri="{CE6537A1-D6FC-4f65-9D91-7224C49458BB}"/>
                <c:ext xmlns:c16="http://schemas.microsoft.com/office/drawing/2014/chart" uri="{C3380CC4-5D6E-409C-BE32-E72D297353CC}">
                  <c16:uniqueId val="{00000016-7F3F-4F61-A7E0-C74E9349DD05}"/>
                </c:ext>
              </c:extLst>
            </c:dLbl>
            <c:dLbl>
              <c:idx val="23"/>
              <c:layout>
                <c:manualLayout>
                  <c:x val="-1.920102729094347E-2"/>
                  <c:y val="6.86286089238845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F3F-4F61-A7E0-C74E9349DD05}"/>
                </c:ext>
              </c:extLst>
            </c:dLbl>
            <c:numFmt formatCode="#,##0.0" sourceLinked="0"/>
            <c:spPr>
              <a:noFill/>
              <a:ln>
                <a:noFill/>
              </a:ln>
              <a:effectLst/>
            </c:spPr>
            <c:txPr>
              <a:bodyPr/>
              <a:lstStyle/>
              <a:p>
                <a:pPr>
                  <a:defRPr sz="8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Malaysia!$F$33:$F$56</c:f>
              <c:numCache>
                <c:formatCode>General</c:formatCode>
                <c:ptCount val="24"/>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numCache>
            </c:numRef>
          </c:cat>
          <c:val>
            <c:numRef>
              <c:f>Malaysia!$G$33:$G$56</c:f>
              <c:numCache>
                <c:formatCode>0.00</c:formatCode>
                <c:ptCount val="24"/>
                <c:pt idx="0">
                  <c:v>8.3566666666666674</c:v>
                </c:pt>
                <c:pt idx="1">
                  <c:v>7.956666666666667</c:v>
                </c:pt>
                <c:pt idx="2">
                  <c:v>7.5566666666666658</c:v>
                </c:pt>
                <c:pt idx="3">
                  <c:v>6.5011111111111113</c:v>
                </c:pt>
                <c:pt idx="4">
                  <c:v>5.445555555555555</c:v>
                </c:pt>
                <c:pt idx="5">
                  <c:v>4.3900000000000006</c:v>
                </c:pt>
                <c:pt idx="6">
                  <c:v>6.2166666666666659</c:v>
                </c:pt>
                <c:pt idx="7">
                  <c:v>4.1900000000000004</c:v>
                </c:pt>
                <c:pt idx="8">
                  <c:v>4.5066666666666668</c:v>
                </c:pt>
                <c:pt idx="9">
                  <c:v>4.54</c:v>
                </c:pt>
                <c:pt idx="10">
                  <c:v>4.7666666666666666</c:v>
                </c:pt>
                <c:pt idx="11">
                  <c:v>4.746666666666667</c:v>
                </c:pt>
                <c:pt idx="12">
                  <c:v>4.7233333333333327</c:v>
                </c:pt>
                <c:pt idx="13">
                  <c:v>4.18</c:v>
                </c:pt>
                <c:pt idx="14">
                  <c:v>4.1633333333333331</c:v>
                </c:pt>
                <c:pt idx="15">
                  <c:v>4.03</c:v>
                </c:pt>
                <c:pt idx="16">
                  <c:v>4.0333333333333332</c:v>
                </c:pt>
                <c:pt idx="17">
                  <c:v>3.9066666666666663</c:v>
                </c:pt>
                <c:pt idx="18">
                  <c:v>4.1333333333333337</c:v>
                </c:pt>
                <c:pt idx="19">
                  <c:v>3.6533333333333338</c:v>
                </c:pt>
                <c:pt idx="20">
                  <c:v>3.7133333333333334</c:v>
                </c:pt>
                <c:pt idx="21">
                  <c:v>3.686666666666667</c:v>
                </c:pt>
                <c:pt idx="22">
                  <c:v>3.4166666666666665</c:v>
                </c:pt>
                <c:pt idx="23">
                  <c:v>3.69</c:v>
                </c:pt>
              </c:numCache>
            </c:numRef>
          </c:val>
          <c:smooth val="0"/>
          <c:extLst>
            <c:ext xmlns:c16="http://schemas.microsoft.com/office/drawing/2014/chart" uri="{C3380CC4-5D6E-409C-BE32-E72D297353CC}">
              <c16:uniqueId val="{00000018-7F3F-4F61-A7E0-C74E9349DD05}"/>
            </c:ext>
          </c:extLst>
        </c:ser>
        <c:ser>
          <c:idx val="2"/>
          <c:order val="1"/>
          <c:tx>
            <c:strRef>
              <c:f>Malaysia!$H$32</c:f>
              <c:strCache>
                <c:ptCount val="1"/>
                <c:pt idx="0">
                  <c:v>Consumer Goods</c:v>
                </c:pt>
              </c:strCache>
            </c:strRef>
          </c:tx>
          <c:spPr>
            <a:ln>
              <a:solidFill>
                <a:schemeClr val="tx2"/>
              </a:solidFill>
            </a:ln>
          </c:spPr>
          <c:marker>
            <c:symbol val="none"/>
          </c:marker>
          <c:dLbls>
            <c:dLbl>
              <c:idx val="0"/>
              <c:layout>
                <c:manualLayout>
                  <c:x val="3.6900376151393452E-2"/>
                  <c:y val="9.569380393922057E-3"/>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F3F-4F61-A7E0-C74E9349DD05}"/>
                </c:ext>
              </c:extLst>
            </c:dLbl>
            <c:dLbl>
              <c:idx val="1"/>
              <c:delete val="1"/>
              <c:extLst>
                <c:ext xmlns:c15="http://schemas.microsoft.com/office/drawing/2012/chart" uri="{CE6537A1-D6FC-4f65-9D91-7224C49458BB}"/>
                <c:ext xmlns:c16="http://schemas.microsoft.com/office/drawing/2014/chart" uri="{C3380CC4-5D6E-409C-BE32-E72D297353CC}">
                  <c16:uniqueId val="{0000001A-7F3F-4F61-A7E0-C74E9349DD05}"/>
                </c:ext>
              </c:extLst>
            </c:dLbl>
            <c:dLbl>
              <c:idx val="2"/>
              <c:delete val="1"/>
              <c:extLst>
                <c:ext xmlns:c15="http://schemas.microsoft.com/office/drawing/2012/chart" uri="{CE6537A1-D6FC-4f65-9D91-7224C49458BB}"/>
                <c:ext xmlns:c16="http://schemas.microsoft.com/office/drawing/2014/chart" uri="{C3380CC4-5D6E-409C-BE32-E72D297353CC}">
                  <c16:uniqueId val="{0000001B-7F3F-4F61-A7E0-C74E9349DD05}"/>
                </c:ext>
              </c:extLst>
            </c:dLbl>
            <c:dLbl>
              <c:idx val="3"/>
              <c:delete val="1"/>
              <c:extLst>
                <c:ext xmlns:c15="http://schemas.microsoft.com/office/drawing/2012/chart" uri="{CE6537A1-D6FC-4f65-9D91-7224C49458BB}"/>
                <c:ext xmlns:c16="http://schemas.microsoft.com/office/drawing/2014/chart" uri="{C3380CC4-5D6E-409C-BE32-E72D297353CC}">
                  <c16:uniqueId val="{0000001C-7F3F-4F61-A7E0-C74E9349DD05}"/>
                </c:ext>
              </c:extLst>
            </c:dLbl>
            <c:dLbl>
              <c:idx val="4"/>
              <c:layout>
                <c:manualLayout>
                  <c:x val="-0.10582437275985661"/>
                  <c:y val="-1.30730533683289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F3F-4F61-A7E0-C74E9349DD05}"/>
                </c:ext>
              </c:extLst>
            </c:dLbl>
            <c:dLbl>
              <c:idx val="5"/>
              <c:delete val="1"/>
              <c:extLst>
                <c:ext xmlns:c15="http://schemas.microsoft.com/office/drawing/2012/chart" uri="{CE6537A1-D6FC-4f65-9D91-7224C49458BB}"/>
                <c:ext xmlns:c16="http://schemas.microsoft.com/office/drawing/2014/chart" uri="{C3380CC4-5D6E-409C-BE32-E72D297353CC}">
                  <c16:uniqueId val="{0000001E-7F3F-4F61-A7E0-C74E9349DD05}"/>
                </c:ext>
              </c:extLst>
            </c:dLbl>
            <c:dLbl>
              <c:idx val="6"/>
              <c:layout>
                <c:manualLayout>
                  <c:x val="-7.8942652329749105E-2"/>
                  <c:y val="8.1583552055993001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7F3F-4F61-A7E0-C74E9349DD05}"/>
                </c:ext>
              </c:extLst>
            </c:dLbl>
            <c:dLbl>
              <c:idx val="7"/>
              <c:delete val="1"/>
              <c:extLst>
                <c:ext xmlns:c15="http://schemas.microsoft.com/office/drawing/2012/chart" uri="{CE6537A1-D6FC-4f65-9D91-7224C49458BB}"/>
                <c:ext xmlns:c16="http://schemas.microsoft.com/office/drawing/2014/chart" uri="{C3380CC4-5D6E-409C-BE32-E72D297353CC}">
                  <c16:uniqueId val="{00000020-7F3F-4F61-A7E0-C74E9349DD05}"/>
                </c:ext>
              </c:extLst>
            </c:dLbl>
            <c:dLbl>
              <c:idx val="8"/>
              <c:delete val="1"/>
              <c:extLst>
                <c:ext xmlns:c15="http://schemas.microsoft.com/office/drawing/2012/chart" uri="{CE6537A1-D6FC-4f65-9D91-7224C49458BB}"/>
                <c:ext xmlns:c16="http://schemas.microsoft.com/office/drawing/2014/chart" uri="{C3380CC4-5D6E-409C-BE32-E72D297353CC}">
                  <c16:uniqueId val="{00000021-7F3F-4F61-A7E0-C74E9349DD05}"/>
                </c:ext>
              </c:extLst>
            </c:dLbl>
            <c:dLbl>
              <c:idx val="9"/>
              <c:layout>
                <c:manualLayout>
                  <c:x val="-6.9982078853046595E-2"/>
                  <c:y val="7.760279965004438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7F3F-4F61-A7E0-C74E9349DD05}"/>
                </c:ext>
              </c:extLst>
            </c:dLbl>
            <c:dLbl>
              <c:idx val="10"/>
              <c:delete val="1"/>
              <c:extLst>
                <c:ext xmlns:c15="http://schemas.microsoft.com/office/drawing/2012/chart" uri="{CE6537A1-D6FC-4f65-9D91-7224C49458BB}"/>
                <c:ext xmlns:c16="http://schemas.microsoft.com/office/drawing/2014/chart" uri="{C3380CC4-5D6E-409C-BE32-E72D297353CC}">
                  <c16:uniqueId val="{00000023-7F3F-4F61-A7E0-C74E9349DD05}"/>
                </c:ext>
              </c:extLst>
            </c:dLbl>
            <c:dLbl>
              <c:idx val="11"/>
              <c:delete val="1"/>
              <c:extLst>
                <c:ext xmlns:c15="http://schemas.microsoft.com/office/drawing/2012/chart" uri="{CE6537A1-D6FC-4f65-9D91-7224C49458BB}"/>
                <c:ext xmlns:c16="http://schemas.microsoft.com/office/drawing/2014/chart" uri="{C3380CC4-5D6E-409C-BE32-E72D297353CC}">
                  <c16:uniqueId val="{00000024-7F3F-4F61-A7E0-C74E9349DD05}"/>
                </c:ext>
              </c:extLst>
            </c:dLbl>
            <c:dLbl>
              <c:idx val="12"/>
              <c:delete val="1"/>
              <c:extLst>
                <c:ext xmlns:c15="http://schemas.microsoft.com/office/drawing/2012/chart" uri="{CE6537A1-D6FC-4f65-9D91-7224C49458BB}"/>
                <c:ext xmlns:c16="http://schemas.microsoft.com/office/drawing/2014/chart" uri="{C3380CC4-5D6E-409C-BE32-E72D297353CC}">
                  <c16:uniqueId val="{00000025-7F3F-4F61-A7E0-C74E9349DD05}"/>
                </c:ext>
              </c:extLst>
            </c:dLbl>
            <c:dLbl>
              <c:idx val="13"/>
              <c:delete val="1"/>
              <c:extLst>
                <c:ext xmlns:c15="http://schemas.microsoft.com/office/drawing/2012/chart" uri="{CE6537A1-D6FC-4f65-9D91-7224C49458BB}"/>
                <c:ext xmlns:c16="http://schemas.microsoft.com/office/drawing/2014/chart" uri="{C3380CC4-5D6E-409C-BE32-E72D297353CC}">
                  <c16:uniqueId val="{00000026-7F3F-4F61-A7E0-C74E9349DD05}"/>
                </c:ext>
              </c:extLst>
            </c:dLbl>
            <c:dLbl>
              <c:idx val="14"/>
              <c:layout>
                <c:manualLayout>
                  <c:x val="-8.7903225806451615E-2"/>
                  <c:y val="2.16486220472440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7F3F-4F61-A7E0-C74E9349DD05}"/>
                </c:ext>
              </c:extLst>
            </c:dLbl>
            <c:dLbl>
              <c:idx val="15"/>
              <c:delete val="1"/>
              <c:extLst>
                <c:ext xmlns:c15="http://schemas.microsoft.com/office/drawing/2012/chart" uri="{CE6537A1-D6FC-4f65-9D91-7224C49458BB}"/>
                <c:ext xmlns:c16="http://schemas.microsoft.com/office/drawing/2014/chart" uri="{C3380CC4-5D6E-409C-BE32-E72D297353CC}">
                  <c16:uniqueId val="{00000028-7F3F-4F61-A7E0-C74E9349DD05}"/>
                </c:ext>
              </c:extLst>
            </c:dLbl>
            <c:dLbl>
              <c:idx val="16"/>
              <c:delete val="1"/>
              <c:extLst>
                <c:ext xmlns:c15="http://schemas.microsoft.com/office/drawing/2012/chart" uri="{CE6537A1-D6FC-4f65-9D91-7224C49458BB}"/>
                <c:ext xmlns:c16="http://schemas.microsoft.com/office/drawing/2014/chart" uri="{C3380CC4-5D6E-409C-BE32-E72D297353CC}">
                  <c16:uniqueId val="{00000029-7F3F-4F61-A7E0-C74E9349DD05}"/>
                </c:ext>
              </c:extLst>
            </c:dLbl>
            <c:dLbl>
              <c:idx val="17"/>
              <c:delete val="1"/>
              <c:extLst>
                <c:ext xmlns:c15="http://schemas.microsoft.com/office/drawing/2012/chart" uri="{CE6537A1-D6FC-4f65-9D91-7224C49458BB}"/>
                <c:ext xmlns:c16="http://schemas.microsoft.com/office/drawing/2014/chart" uri="{C3380CC4-5D6E-409C-BE32-E72D297353CC}">
                  <c16:uniqueId val="{0000002A-7F3F-4F61-A7E0-C74E9349DD05}"/>
                </c:ext>
              </c:extLst>
            </c:dLbl>
            <c:dLbl>
              <c:idx val="18"/>
              <c:layout>
                <c:manualLayout>
                  <c:x val="-0.13332451387124997"/>
                  <c:y val="1.63992782152230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7F3F-4F61-A7E0-C74E9349DD05}"/>
                </c:ext>
              </c:extLst>
            </c:dLbl>
            <c:dLbl>
              <c:idx val="19"/>
              <c:layout>
                <c:manualLayout>
                  <c:x val="-2.9536378517201478E-2"/>
                  <c:y val="-2.69619422572178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7F3F-4F61-A7E0-C74E9349DD05}"/>
                </c:ext>
              </c:extLst>
            </c:dLbl>
            <c:dLbl>
              <c:idx val="20"/>
              <c:delete val="1"/>
              <c:extLst>
                <c:ext xmlns:c15="http://schemas.microsoft.com/office/drawing/2012/chart" uri="{CE6537A1-D6FC-4f65-9D91-7224C49458BB}"/>
                <c:ext xmlns:c16="http://schemas.microsoft.com/office/drawing/2014/chart" uri="{C3380CC4-5D6E-409C-BE32-E72D297353CC}">
                  <c16:uniqueId val="{0000002D-7F3F-4F61-A7E0-C74E9349DD05}"/>
                </c:ext>
              </c:extLst>
            </c:dLbl>
            <c:dLbl>
              <c:idx val="21"/>
              <c:delete val="1"/>
              <c:extLst>
                <c:ext xmlns:c15="http://schemas.microsoft.com/office/drawing/2012/chart" uri="{CE6537A1-D6FC-4f65-9D91-7224C49458BB}"/>
                <c:ext xmlns:c16="http://schemas.microsoft.com/office/drawing/2014/chart" uri="{C3380CC4-5D6E-409C-BE32-E72D297353CC}">
                  <c16:uniqueId val="{0000002E-7F3F-4F61-A7E0-C74E9349DD05}"/>
                </c:ext>
              </c:extLst>
            </c:dLbl>
            <c:dLbl>
              <c:idx val="22"/>
              <c:delete val="1"/>
              <c:extLst>
                <c:ext xmlns:c15="http://schemas.microsoft.com/office/drawing/2012/chart" uri="{CE6537A1-D6FC-4f65-9D91-7224C49458BB}"/>
                <c:ext xmlns:c16="http://schemas.microsoft.com/office/drawing/2014/chart" uri="{C3380CC4-5D6E-409C-BE32-E72D297353CC}">
                  <c16:uniqueId val="{0000002F-7F3F-4F61-A7E0-C74E9349DD05}"/>
                </c:ext>
              </c:extLst>
            </c:dLbl>
            <c:dLbl>
              <c:idx val="23"/>
              <c:layout>
                <c:manualLayout>
                  <c:x val="-2.3681314029294725E-2"/>
                  <c:y val="-2.6961942257217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7F3F-4F61-A7E0-C74E9349DD05}"/>
                </c:ext>
              </c:extLst>
            </c:dLbl>
            <c:numFmt formatCode="#,##0.0" sourceLinked="0"/>
            <c:spPr>
              <a:noFill/>
              <a:ln>
                <a:noFill/>
              </a:ln>
              <a:effectLst/>
            </c:spPr>
            <c:txPr>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Malaysia!$F$33:$F$56</c:f>
              <c:numCache>
                <c:formatCode>General</c:formatCode>
                <c:ptCount val="24"/>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numCache>
            </c:numRef>
          </c:cat>
          <c:val>
            <c:numRef>
              <c:f>Malaysia!$H$33:$H$56</c:f>
              <c:numCache>
                <c:formatCode>0.00</c:formatCode>
                <c:ptCount val="24"/>
                <c:pt idx="0">
                  <c:v>21.19</c:v>
                </c:pt>
                <c:pt idx="1">
                  <c:v>19.505000000000003</c:v>
                </c:pt>
                <c:pt idx="2">
                  <c:v>17.82</c:v>
                </c:pt>
                <c:pt idx="3">
                  <c:v>20.09</c:v>
                </c:pt>
                <c:pt idx="4">
                  <c:v>18.989999999999998</c:v>
                </c:pt>
                <c:pt idx="5">
                  <c:v>14.52</c:v>
                </c:pt>
                <c:pt idx="6">
                  <c:v>18.7</c:v>
                </c:pt>
                <c:pt idx="7">
                  <c:v>13.97</c:v>
                </c:pt>
                <c:pt idx="8">
                  <c:v>14.03</c:v>
                </c:pt>
                <c:pt idx="9">
                  <c:v>13.2</c:v>
                </c:pt>
                <c:pt idx="10">
                  <c:v>14.29</c:v>
                </c:pt>
                <c:pt idx="11">
                  <c:v>14.37</c:v>
                </c:pt>
                <c:pt idx="12">
                  <c:v>14.4</c:v>
                </c:pt>
                <c:pt idx="13">
                  <c:v>12.04</c:v>
                </c:pt>
                <c:pt idx="14" formatCode="General">
                  <c:v>11.89</c:v>
                </c:pt>
                <c:pt idx="15" formatCode="General">
                  <c:v>11.7</c:v>
                </c:pt>
                <c:pt idx="16" formatCode="General">
                  <c:v>11.78</c:v>
                </c:pt>
                <c:pt idx="17" formatCode="General">
                  <c:v>11.05</c:v>
                </c:pt>
                <c:pt idx="18" formatCode="General">
                  <c:v>11.12</c:v>
                </c:pt>
                <c:pt idx="19" formatCode="General">
                  <c:v>7.45</c:v>
                </c:pt>
                <c:pt idx="20" formatCode="General">
                  <c:v>7.45</c:v>
                </c:pt>
                <c:pt idx="21" formatCode="General">
                  <c:v>7.41</c:v>
                </c:pt>
                <c:pt idx="22" formatCode="General">
                  <c:v>7.55</c:v>
                </c:pt>
                <c:pt idx="23" formatCode="General">
                  <c:v>7.53</c:v>
                </c:pt>
              </c:numCache>
            </c:numRef>
          </c:val>
          <c:smooth val="0"/>
          <c:extLst>
            <c:ext xmlns:c16="http://schemas.microsoft.com/office/drawing/2014/chart" uri="{C3380CC4-5D6E-409C-BE32-E72D297353CC}">
              <c16:uniqueId val="{00000031-7F3F-4F61-A7E0-C74E9349DD05}"/>
            </c:ext>
          </c:extLst>
        </c:ser>
        <c:dLbls>
          <c:showLegendKey val="0"/>
          <c:showVal val="0"/>
          <c:showCatName val="0"/>
          <c:showSerName val="0"/>
          <c:showPercent val="0"/>
          <c:showBubbleSize val="0"/>
        </c:dLbls>
        <c:smooth val="0"/>
        <c:axId val="1843773264"/>
        <c:axId val="1843782512"/>
      </c:lineChart>
      <c:dateAx>
        <c:axId val="1843773264"/>
        <c:scaling>
          <c:orientation val="minMax"/>
        </c:scaling>
        <c:delete val="0"/>
        <c:axPos val="b"/>
        <c:numFmt formatCode="General" sourceLinked="1"/>
        <c:majorTickMark val="none"/>
        <c:minorTickMark val="none"/>
        <c:tickLblPos val="nextTo"/>
        <c:txPr>
          <a:bodyPr rot="-5400000" vert="horz"/>
          <a:lstStyle/>
          <a:p>
            <a:pPr>
              <a:defRPr sz="800"/>
            </a:pPr>
            <a:endParaRPr lang="en-US"/>
          </a:p>
        </c:txPr>
        <c:crossAx val="1843782512"/>
        <c:crosses val="autoZero"/>
        <c:auto val="0"/>
        <c:lblOffset val="100"/>
        <c:baseTimeUnit val="days"/>
        <c:majorUnit val="2"/>
        <c:majorTimeUnit val="days"/>
        <c:minorUnit val="1"/>
        <c:minorTimeUnit val="days"/>
      </c:dateAx>
      <c:valAx>
        <c:axId val="1843782512"/>
        <c:scaling>
          <c:orientation val="minMax"/>
          <c:max val="30"/>
        </c:scaling>
        <c:delete val="0"/>
        <c:axPos val="l"/>
        <c:majorGridlines/>
        <c:title>
          <c:tx>
            <c:rich>
              <a:bodyPr rot="0" vert="horz"/>
              <a:lstStyle/>
              <a:p>
                <a:pPr>
                  <a:defRPr/>
                </a:pPr>
                <a:r>
                  <a:rPr lang="en-US" sz="800" b="0"/>
                  <a:t>Tariff Rate (%)</a:t>
                </a:r>
              </a:p>
            </c:rich>
          </c:tx>
          <c:layout>
            <c:manualLayout>
              <c:xMode val="edge"/>
              <c:yMode val="edge"/>
              <c:x val="2.5974025974026042E-2"/>
              <c:y val="2.8044221745009202E-3"/>
            </c:manualLayout>
          </c:layout>
          <c:overlay val="0"/>
        </c:title>
        <c:numFmt formatCode="0" sourceLinked="0"/>
        <c:majorTickMark val="none"/>
        <c:minorTickMark val="none"/>
        <c:tickLblPos val="nextTo"/>
        <c:spPr>
          <a:ln w="9525">
            <a:noFill/>
          </a:ln>
        </c:spPr>
        <c:txPr>
          <a:bodyPr/>
          <a:lstStyle/>
          <a:p>
            <a:pPr>
              <a:defRPr sz="800"/>
            </a:pPr>
            <a:endParaRPr lang="en-US"/>
          </a:p>
        </c:txPr>
        <c:crossAx val="1843773264"/>
        <c:crosses val="autoZero"/>
        <c:crossBetween val="between"/>
        <c:majorUnit val="5"/>
      </c:valAx>
      <c:spPr>
        <a:gradFill>
          <a:gsLst>
            <a:gs pos="0">
              <a:srgbClr val="5E9EFF"/>
            </a:gs>
            <a:gs pos="39999">
              <a:srgbClr val="85C2FF"/>
            </a:gs>
            <a:gs pos="70000">
              <a:srgbClr val="C4D6EB"/>
            </a:gs>
            <a:gs pos="100000">
              <a:srgbClr val="FFEBFA"/>
            </a:gs>
          </a:gsLst>
          <a:lin ang="2700000" scaled="0"/>
        </a:gradFill>
      </c:spPr>
    </c:plotArea>
    <c:legend>
      <c:legendPos val="b"/>
      <c:layout>
        <c:manualLayout>
          <c:xMode val="edge"/>
          <c:yMode val="edge"/>
          <c:x val="0.22379260844821583"/>
          <c:y val="5.5997573167675702E-2"/>
          <c:w val="0.68115281044415332"/>
          <c:h val="7.6541432320959876E-2"/>
        </c:manualLayout>
      </c:layout>
      <c:overlay val="0"/>
      <c:txPr>
        <a:bodyPr/>
        <a:lstStyle/>
        <a:p>
          <a:pPr>
            <a:defRPr sz="900"/>
          </a:pPr>
          <a:endParaRPr lang="en-US"/>
        </a:p>
      </c:txPr>
    </c:legend>
    <c:plotVisOnly val="1"/>
    <c:dispBlanksAs val="gap"/>
    <c:showDLblsOverMax val="0"/>
  </c:chart>
  <c:spPr>
    <a:solidFill>
      <a:schemeClr val="tx2">
        <a:lumMod val="20000"/>
        <a:lumOff val="80000"/>
      </a:schemeClr>
    </a:solidFill>
    <a:ln>
      <a:noFill/>
    </a:ln>
    <a:effectLst>
      <a:outerShdw sx="1000" sy="1000" algn="ctr" rotWithShape="0">
        <a:srgbClr val="000000"/>
      </a:outerShdw>
    </a:effectLst>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846967045785948E-2"/>
          <c:y val="0.16885886726088167"/>
          <c:w val="0.89531678331875186"/>
          <c:h val="0.64042383985801288"/>
        </c:manualLayout>
      </c:layout>
      <c:lineChart>
        <c:grouping val="standard"/>
        <c:varyColors val="0"/>
        <c:ser>
          <c:idx val="1"/>
          <c:order val="0"/>
          <c:tx>
            <c:strRef>
              <c:f>Thailand!$G$32</c:f>
              <c:strCache>
                <c:ptCount val="1"/>
                <c:pt idx="0">
                  <c:v>Inputs</c:v>
                </c:pt>
              </c:strCache>
            </c:strRef>
          </c:tx>
          <c:spPr>
            <a:ln w="41275">
              <a:prstDash val="sysDot"/>
            </a:ln>
          </c:spPr>
          <c:marker>
            <c:symbol val="none"/>
          </c:marker>
          <c:dLbls>
            <c:dLbl>
              <c:idx val="0"/>
              <c:layout>
                <c:manualLayout>
                  <c:x val="-4.5057014931957032E-2"/>
                  <c:y val="-9.315470637260389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83-40A8-94C6-812ECA963C90}"/>
                </c:ext>
              </c:extLst>
            </c:dLbl>
            <c:dLbl>
              <c:idx val="1"/>
              <c:delete val="1"/>
              <c:extLst>
                <c:ext xmlns:c15="http://schemas.microsoft.com/office/drawing/2012/chart" uri="{CE6537A1-D6FC-4f65-9D91-7224C49458BB}"/>
                <c:ext xmlns:c16="http://schemas.microsoft.com/office/drawing/2014/chart" uri="{C3380CC4-5D6E-409C-BE32-E72D297353CC}">
                  <c16:uniqueId val="{00000001-A283-40A8-94C6-812ECA963C90}"/>
                </c:ext>
              </c:extLst>
            </c:dLbl>
            <c:dLbl>
              <c:idx val="2"/>
              <c:delete val="1"/>
              <c:extLst>
                <c:ext xmlns:c15="http://schemas.microsoft.com/office/drawing/2012/chart" uri="{CE6537A1-D6FC-4f65-9D91-7224C49458BB}"/>
                <c:ext xmlns:c16="http://schemas.microsoft.com/office/drawing/2014/chart" uri="{C3380CC4-5D6E-409C-BE32-E72D297353CC}">
                  <c16:uniqueId val="{00000002-A283-40A8-94C6-812ECA963C90}"/>
                </c:ext>
              </c:extLst>
            </c:dLbl>
            <c:dLbl>
              <c:idx val="3"/>
              <c:delete val="1"/>
              <c:extLst>
                <c:ext xmlns:c15="http://schemas.microsoft.com/office/drawing/2012/chart" uri="{CE6537A1-D6FC-4f65-9D91-7224C49458BB}"/>
                <c:ext xmlns:c16="http://schemas.microsoft.com/office/drawing/2014/chart" uri="{C3380CC4-5D6E-409C-BE32-E72D297353CC}">
                  <c16:uniqueId val="{00000003-A283-40A8-94C6-812ECA963C90}"/>
                </c:ext>
              </c:extLst>
            </c:dLbl>
            <c:dLbl>
              <c:idx val="4"/>
              <c:layout>
                <c:manualLayout>
                  <c:x val="-5.8235367637868796E-2"/>
                  <c:y val="-7.423716585189885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83-40A8-94C6-812ECA963C90}"/>
                </c:ext>
              </c:extLst>
            </c:dLbl>
            <c:dLbl>
              <c:idx val="5"/>
              <c:delete val="1"/>
              <c:extLst>
                <c:ext xmlns:c15="http://schemas.microsoft.com/office/drawing/2012/chart" uri="{CE6537A1-D6FC-4f65-9D91-7224C49458BB}"/>
                <c:ext xmlns:c16="http://schemas.microsoft.com/office/drawing/2014/chart" uri="{C3380CC4-5D6E-409C-BE32-E72D297353CC}">
                  <c16:uniqueId val="{00000005-A283-40A8-94C6-812ECA963C90}"/>
                </c:ext>
              </c:extLst>
            </c:dLbl>
            <c:dLbl>
              <c:idx val="6"/>
              <c:delete val="1"/>
              <c:extLst>
                <c:ext xmlns:c15="http://schemas.microsoft.com/office/drawing/2012/chart" uri="{CE6537A1-D6FC-4f65-9D91-7224C49458BB}"/>
                <c:ext xmlns:c16="http://schemas.microsoft.com/office/drawing/2014/chart" uri="{C3380CC4-5D6E-409C-BE32-E72D297353CC}">
                  <c16:uniqueId val="{00000006-A283-40A8-94C6-812ECA963C90}"/>
                </c:ext>
              </c:extLst>
            </c:dLbl>
            <c:dLbl>
              <c:idx val="7"/>
              <c:delete val="1"/>
              <c:extLst>
                <c:ext xmlns:c15="http://schemas.microsoft.com/office/drawing/2012/chart" uri="{CE6537A1-D6FC-4f65-9D91-7224C49458BB}"/>
                <c:ext xmlns:c16="http://schemas.microsoft.com/office/drawing/2014/chart" uri="{C3380CC4-5D6E-409C-BE32-E72D297353CC}">
                  <c16:uniqueId val="{00000007-A283-40A8-94C6-812ECA963C90}"/>
                </c:ext>
              </c:extLst>
            </c:dLbl>
            <c:dLbl>
              <c:idx val="8"/>
              <c:delete val="1"/>
              <c:extLst>
                <c:ext xmlns:c15="http://schemas.microsoft.com/office/drawing/2012/chart" uri="{CE6537A1-D6FC-4f65-9D91-7224C49458BB}"/>
                <c:ext xmlns:c16="http://schemas.microsoft.com/office/drawing/2014/chart" uri="{C3380CC4-5D6E-409C-BE32-E72D297353CC}">
                  <c16:uniqueId val="{00000008-A283-40A8-94C6-812ECA963C90}"/>
                </c:ext>
              </c:extLst>
            </c:dLbl>
            <c:dLbl>
              <c:idx val="9"/>
              <c:layout>
                <c:manualLayout>
                  <c:x val="-6.5705022166346855E-2"/>
                  <c:y val="4.9810550932318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283-40A8-94C6-812ECA963C90}"/>
                </c:ext>
              </c:extLst>
            </c:dLbl>
            <c:dLbl>
              <c:idx val="10"/>
              <c:delete val="1"/>
              <c:extLst>
                <c:ext xmlns:c15="http://schemas.microsoft.com/office/drawing/2012/chart" uri="{CE6537A1-D6FC-4f65-9D91-7224C49458BB}"/>
                <c:ext xmlns:c16="http://schemas.microsoft.com/office/drawing/2014/chart" uri="{C3380CC4-5D6E-409C-BE32-E72D297353CC}">
                  <c16:uniqueId val="{0000000A-A283-40A8-94C6-812ECA963C90}"/>
                </c:ext>
              </c:extLst>
            </c:dLbl>
            <c:dLbl>
              <c:idx val="11"/>
              <c:delete val="1"/>
              <c:extLst>
                <c:ext xmlns:c15="http://schemas.microsoft.com/office/drawing/2012/chart" uri="{CE6537A1-D6FC-4f65-9D91-7224C49458BB}"/>
                <c:ext xmlns:c16="http://schemas.microsoft.com/office/drawing/2014/chart" uri="{C3380CC4-5D6E-409C-BE32-E72D297353CC}">
                  <c16:uniqueId val="{0000000B-A283-40A8-94C6-812ECA963C90}"/>
                </c:ext>
              </c:extLst>
            </c:dLbl>
            <c:dLbl>
              <c:idx val="12"/>
              <c:delete val="1"/>
              <c:extLst>
                <c:ext xmlns:c15="http://schemas.microsoft.com/office/drawing/2012/chart" uri="{CE6537A1-D6FC-4f65-9D91-7224C49458BB}"/>
                <c:ext xmlns:c16="http://schemas.microsoft.com/office/drawing/2014/chart" uri="{C3380CC4-5D6E-409C-BE32-E72D297353CC}">
                  <c16:uniqueId val="{0000000C-A283-40A8-94C6-812ECA963C90}"/>
                </c:ext>
              </c:extLst>
            </c:dLbl>
            <c:dLbl>
              <c:idx val="13"/>
              <c:layout>
                <c:manualLayout>
                  <c:x val="-5.3541848935549724E-2"/>
                  <c:y val="3.67380690316936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283-40A8-94C6-812ECA963C90}"/>
                </c:ext>
              </c:extLst>
            </c:dLbl>
            <c:dLbl>
              <c:idx val="14"/>
              <c:delete val="1"/>
              <c:extLst>
                <c:ext xmlns:c15="http://schemas.microsoft.com/office/drawing/2012/chart" uri="{CE6537A1-D6FC-4f65-9D91-7224C49458BB}"/>
                <c:ext xmlns:c16="http://schemas.microsoft.com/office/drawing/2014/chart" uri="{C3380CC4-5D6E-409C-BE32-E72D297353CC}">
                  <c16:uniqueId val="{0000000E-A283-40A8-94C6-812ECA963C90}"/>
                </c:ext>
              </c:extLst>
            </c:dLbl>
            <c:dLbl>
              <c:idx val="15"/>
              <c:delete val="1"/>
              <c:extLst>
                <c:ext xmlns:c15="http://schemas.microsoft.com/office/drawing/2012/chart" uri="{CE6537A1-D6FC-4f65-9D91-7224C49458BB}"/>
                <c:ext xmlns:c16="http://schemas.microsoft.com/office/drawing/2014/chart" uri="{C3380CC4-5D6E-409C-BE32-E72D297353CC}">
                  <c16:uniqueId val="{0000000F-A283-40A8-94C6-812ECA963C90}"/>
                </c:ext>
              </c:extLst>
            </c:dLbl>
            <c:dLbl>
              <c:idx val="16"/>
              <c:delete val="1"/>
              <c:extLst>
                <c:ext xmlns:c15="http://schemas.microsoft.com/office/drawing/2012/chart" uri="{CE6537A1-D6FC-4f65-9D91-7224C49458BB}"/>
                <c:ext xmlns:c16="http://schemas.microsoft.com/office/drawing/2014/chart" uri="{C3380CC4-5D6E-409C-BE32-E72D297353CC}">
                  <c16:uniqueId val="{00000010-A283-40A8-94C6-812ECA963C90}"/>
                </c:ext>
              </c:extLst>
            </c:dLbl>
            <c:dLbl>
              <c:idx val="17"/>
              <c:delete val="1"/>
              <c:extLst>
                <c:ext xmlns:c15="http://schemas.microsoft.com/office/drawing/2012/chart" uri="{CE6537A1-D6FC-4f65-9D91-7224C49458BB}"/>
                <c:ext xmlns:c16="http://schemas.microsoft.com/office/drawing/2014/chart" uri="{C3380CC4-5D6E-409C-BE32-E72D297353CC}">
                  <c16:uniqueId val="{00000011-A283-40A8-94C6-812ECA963C90}"/>
                </c:ext>
              </c:extLst>
            </c:dLbl>
            <c:dLbl>
              <c:idx val="18"/>
              <c:layout>
                <c:manualLayout>
                  <c:x val="-6.561971420239128E-2"/>
                  <c:y val="5.89890779781559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283-40A8-94C6-812ECA963C90}"/>
                </c:ext>
              </c:extLst>
            </c:dLbl>
            <c:dLbl>
              <c:idx val="19"/>
              <c:layout>
                <c:manualLayout>
                  <c:x val="-3.1988942558650757E-2"/>
                  <c:y val="5.61296662561729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283-40A8-94C6-812ECA963C90}"/>
                </c:ext>
              </c:extLst>
            </c:dLbl>
            <c:dLbl>
              <c:idx val="20"/>
              <c:delete val="1"/>
              <c:extLst>
                <c:ext xmlns:c15="http://schemas.microsoft.com/office/drawing/2012/chart" uri="{CE6537A1-D6FC-4f65-9D91-7224C49458BB}"/>
                <c:ext xmlns:c16="http://schemas.microsoft.com/office/drawing/2014/chart" uri="{C3380CC4-5D6E-409C-BE32-E72D297353CC}">
                  <c16:uniqueId val="{00000014-A283-40A8-94C6-812ECA963C90}"/>
                </c:ext>
              </c:extLst>
            </c:dLbl>
            <c:dLbl>
              <c:idx val="21"/>
              <c:layout>
                <c:manualLayout>
                  <c:x val="-1.7049633501694642E-2"/>
                  <c:y val="4.9810550932318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283-40A8-94C6-812ECA963C90}"/>
                </c:ext>
              </c:extLst>
            </c:dLbl>
            <c:dLbl>
              <c:idx val="22"/>
              <c:delete val="1"/>
              <c:extLst>
                <c:ext xmlns:c15="http://schemas.microsoft.com/office/drawing/2012/chart" uri="{CE6537A1-D6FC-4f65-9D91-7224C49458BB}"/>
                <c:ext xmlns:c16="http://schemas.microsoft.com/office/drawing/2014/chart" uri="{C3380CC4-5D6E-409C-BE32-E72D297353CC}">
                  <c16:uniqueId val="{00000016-A283-40A8-94C6-812ECA963C90}"/>
                </c:ext>
              </c:extLst>
            </c:dLbl>
            <c:dLbl>
              <c:idx val="23"/>
              <c:delete val="1"/>
              <c:extLst>
                <c:ext xmlns:c15="http://schemas.microsoft.com/office/drawing/2012/chart" uri="{CE6537A1-D6FC-4f65-9D91-7224C49458BB}"/>
                <c:ext xmlns:c16="http://schemas.microsoft.com/office/drawing/2014/chart" uri="{C3380CC4-5D6E-409C-BE32-E72D297353CC}">
                  <c16:uniqueId val="{00000017-A283-40A8-94C6-812ECA963C90}"/>
                </c:ext>
              </c:extLst>
            </c:dLbl>
            <c:dLbl>
              <c:idx val="24"/>
              <c:layout>
                <c:manualLayout>
                  <c:x val="-8.2524059492563428E-3"/>
                  <c:y val="2.91547427539299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283-40A8-94C6-812ECA963C90}"/>
                </c:ext>
              </c:extLst>
            </c:dLbl>
            <c:spPr>
              <a:noFill/>
              <a:ln>
                <a:noFill/>
              </a:ln>
              <a:effectLst/>
            </c:spPr>
            <c:txPr>
              <a:bodyPr/>
              <a:lstStyle/>
              <a:p>
                <a:pPr>
                  <a:defRPr sz="8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Thailand!$F$33:$F$57</c:f>
              <c:numCache>
                <c:formatCode>General</c:formatCode>
                <c:ptCount val="2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cat>
          <c:val>
            <c:numRef>
              <c:f>Thailand!$G$33:$G$57</c:f>
              <c:numCache>
                <c:formatCode>0.0</c:formatCode>
                <c:ptCount val="25"/>
                <c:pt idx="0">
                  <c:v>34.326666666666668</c:v>
                </c:pt>
                <c:pt idx="1">
                  <c:v>36.235000000000007</c:v>
                </c:pt>
                <c:pt idx="2">
                  <c:v>38.143333333333338</c:v>
                </c:pt>
                <c:pt idx="3">
                  <c:v>29.018333333333334</c:v>
                </c:pt>
                <c:pt idx="4">
                  <c:v>19.893333333333334</c:v>
                </c:pt>
                <c:pt idx="5">
                  <c:v>23</c:v>
                </c:pt>
                <c:pt idx="6">
                  <c:v>26.106666666666666</c:v>
                </c:pt>
                <c:pt idx="7">
                  <c:v>29.213333333333338</c:v>
                </c:pt>
                <c:pt idx="8">
                  <c:v>32.32</c:v>
                </c:pt>
                <c:pt idx="9">
                  <c:v>17.463333333333335</c:v>
                </c:pt>
                <c:pt idx="10">
                  <c:v>13.49</c:v>
                </c:pt>
                <c:pt idx="11">
                  <c:v>12.944999999999999</c:v>
                </c:pt>
                <c:pt idx="12">
                  <c:v>12.4</c:v>
                </c:pt>
                <c:pt idx="13">
                  <c:v>7.9066666666666663</c:v>
                </c:pt>
                <c:pt idx="14">
                  <c:v>9.2733333333333334</c:v>
                </c:pt>
                <c:pt idx="15">
                  <c:v>9.1433333333333326</c:v>
                </c:pt>
                <c:pt idx="16">
                  <c:v>7.503333333333333</c:v>
                </c:pt>
                <c:pt idx="17">
                  <c:v>7.419999999999999</c:v>
                </c:pt>
                <c:pt idx="18">
                  <c:v>7.4200000000000008</c:v>
                </c:pt>
                <c:pt idx="19">
                  <c:v>7.25</c:v>
                </c:pt>
                <c:pt idx="20">
                  <c:v>7.253333333333333</c:v>
                </c:pt>
                <c:pt idx="21">
                  <c:v>7.8150000000000004</c:v>
                </c:pt>
                <c:pt idx="22">
                  <c:v>8.3766666666666669</c:v>
                </c:pt>
                <c:pt idx="23">
                  <c:v>8.92</c:v>
                </c:pt>
                <c:pt idx="24">
                  <c:v>7.9200000000000008</c:v>
                </c:pt>
              </c:numCache>
            </c:numRef>
          </c:val>
          <c:smooth val="0"/>
          <c:extLst>
            <c:ext xmlns:c16="http://schemas.microsoft.com/office/drawing/2014/chart" uri="{C3380CC4-5D6E-409C-BE32-E72D297353CC}">
              <c16:uniqueId val="{00000019-A283-40A8-94C6-812ECA963C90}"/>
            </c:ext>
          </c:extLst>
        </c:ser>
        <c:ser>
          <c:idx val="2"/>
          <c:order val="1"/>
          <c:tx>
            <c:strRef>
              <c:f>Thailand!$H$32</c:f>
              <c:strCache>
                <c:ptCount val="1"/>
                <c:pt idx="0">
                  <c:v>Consumer Goods</c:v>
                </c:pt>
              </c:strCache>
            </c:strRef>
          </c:tx>
          <c:spPr>
            <a:ln>
              <a:solidFill>
                <a:schemeClr val="tx2"/>
              </a:solidFill>
            </a:ln>
          </c:spPr>
          <c:marker>
            <c:symbol val="none"/>
          </c:marker>
          <c:dLbls>
            <c:dLbl>
              <c:idx val="0"/>
              <c:layout>
                <c:manualLayout>
                  <c:x val="2.4527875137920201E-2"/>
                  <c:y val="9.7314512515203927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283-40A8-94C6-812ECA963C90}"/>
                </c:ext>
              </c:extLst>
            </c:dLbl>
            <c:dLbl>
              <c:idx val="1"/>
              <c:delete val="1"/>
              <c:extLst>
                <c:ext xmlns:c15="http://schemas.microsoft.com/office/drawing/2012/chart" uri="{CE6537A1-D6FC-4f65-9D91-7224C49458BB}"/>
                <c:ext xmlns:c16="http://schemas.microsoft.com/office/drawing/2014/chart" uri="{C3380CC4-5D6E-409C-BE32-E72D297353CC}">
                  <c16:uniqueId val="{0000001B-A283-40A8-94C6-812ECA963C90}"/>
                </c:ext>
              </c:extLst>
            </c:dLbl>
            <c:dLbl>
              <c:idx val="2"/>
              <c:delete val="1"/>
              <c:extLst>
                <c:ext xmlns:c15="http://schemas.microsoft.com/office/drawing/2012/chart" uri="{CE6537A1-D6FC-4f65-9D91-7224C49458BB}"/>
                <c:ext xmlns:c16="http://schemas.microsoft.com/office/drawing/2014/chart" uri="{C3380CC4-5D6E-409C-BE32-E72D297353CC}">
                  <c16:uniqueId val="{0000001C-A283-40A8-94C6-812ECA963C90}"/>
                </c:ext>
              </c:extLst>
            </c:dLbl>
            <c:dLbl>
              <c:idx val="3"/>
              <c:delete val="1"/>
              <c:extLst>
                <c:ext xmlns:c15="http://schemas.microsoft.com/office/drawing/2012/chart" uri="{CE6537A1-D6FC-4f65-9D91-7224C49458BB}"/>
                <c:ext xmlns:c16="http://schemas.microsoft.com/office/drawing/2014/chart" uri="{C3380CC4-5D6E-409C-BE32-E72D297353CC}">
                  <c16:uniqueId val="{0000001D-A283-40A8-94C6-812ECA963C90}"/>
                </c:ext>
              </c:extLst>
            </c:dLbl>
            <c:dLbl>
              <c:idx val="4"/>
              <c:layout>
                <c:manualLayout>
                  <c:x val="-2.9130476337516635E-2"/>
                  <c:y val="8.390989041061752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283-40A8-94C6-812ECA963C90}"/>
                </c:ext>
              </c:extLst>
            </c:dLbl>
            <c:dLbl>
              <c:idx val="5"/>
              <c:delete val="1"/>
              <c:extLst>
                <c:ext xmlns:c15="http://schemas.microsoft.com/office/drawing/2012/chart" uri="{CE6537A1-D6FC-4f65-9D91-7224C49458BB}"/>
                <c:ext xmlns:c16="http://schemas.microsoft.com/office/drawing/2014/chart" uri="{C3380CC4-5D6E-409C-BE32-E72D297353CC}">
                  <c16:uniqueId val="{0000001F-A283-40A8-94C6-812ECA963C90}"/>
                </c:ext>
              </c:extLst>
            </c:dLbl>
            <c:dLbl>
              <c:idx val="6"/>
              <c:delete val="1"/>
              <c:extLst>
                <c:ext xmlns:c15="http://schemas.microsoft.com/office/drawing/2012/chart" uri="{CE6537A1-D6FC-4f65-9D91-7224C49458BB}"/>
                <c:ext xmlns:c16="http://schemas.microsoft.com/office/drawing/2014/chart" uri="{C3380CC4-5D6E-409C-BE32-E72D297353CC}">
                  <c16:uniqueId val="{00000020-A283-40A8-94C6-812ECA963C90}"/>
                </c:ext>
              </c:extLst>
            </c:dLbl>
            <c:dLbl>
              <c:idx val="7"/>
              <c:delete val="1"/>
              <c:extLst>
                <c:ext xmlns:c15="http://schemas.microsoft.com/office/drawing/2012/chart" uri="{CE6537A1-D6FC-4f65-9D91-7224C49458BB}"/>
                <c:ext xmlns:c16="http://schemas.microsoft.com/office/drawing/2014/chart" uri="{C3380CC4-5D6E-409C-BE32-E72D297353CC}">
                  <c16:uniqueId val="{00000021-A283-40A8-94C6-812ECA963C90}"/>
                </c:ext>
              </c:extLst>
            </c:dLbl>
            <c:dLbl>
              <c:idx val="8"/>
              <c:delete val="1"/>
              <c:extLst>
                <c:ext xmlns:c15="http://schemas.microsoft.com/office/drawing/2012/chart" uri="{CE6537A1-D6FC-4f65-9D91-7224C49458BB}"/>
                <c:ext xmlns:c16="http://schemas.microsoft.com/office/drawing/2014/chart" uri="{C3380CC4-5D6E-409C-BE32-E72D297353CC}">
                  <c16:uniqueId val="{00000022-A283-40A8-94C6-812ECA963C90}"/>
                </c:ext>
              </c:extLst>
            </c:dLbl>
            <c:dLbl>
              <c:idx val="9"/>
              <c:layout>
                <c:manualLayout>
                  <c:x val="-8.8113985751781032E-2"/>
                  <c:y val="7.423716585189885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A283-40A8-94C6-812ECA963C90}"/>
                </c:ext>
              </c:extLst>
            </c:dLbl>
            <c:dLbl>
              <c:idx val="10"/>
              <c:delete val="1"/>
              <c:extLst>
                <c:ext xmlns:c15="http://schemas.microsoft.com/office/drawing/2012/chart" uri="{CE6537A1-D6FC-4f65-9D91-7224C49458BB}"/>
                <c:ext xmlns:c16="http://schemas.microsoft.com/office/drawing/2014/chart" uri="{C3380CC4-5D6E-409C-BE32-E72D297353CC}">
                  <c16:uniqueId val="{00000024-A283-40A8-94C6-812ECA963C90}"/>
                </c:ext>
              </c:extLst>
            </c:dLbl>
            <c:dLbl>
              <c:idx val="11"/>
              <c:delete val="1"/>
              <c:extLst>
                <c:ext xmlns:c15="http://schemas.microsoft.com/office/drawing/2012/chart" uri="{CE6537A1-D6FC-4f65-9D91-7224C49458BB}"/>
                <c:ext xmlns:c16="http://schemas.microsoft.com/office/drawing/2014/chart" uri="{C3380CC4-5D6E-409C-BE32-E72D297353CC}">
                  <c16:uniqueId val="{00000025-A283-40A8-94C6-812ECA963C90}"/>
                </c:ext>
              </c:extLst>
            </c:dLbl>
            <c:dLbl>
              <c:idx val="12"/>
              <c:delete val="1"/>
              <c:extLst>
                <c:ext xmlns:c15="http://schemas.microsoft.com/office/drawing/2012/chart" uri="{CE6537A1-D6FC-4f65-9D91-7224C49458BB}"/>
                <c:ext xmlns:c16="http://schemas.microsoft.com/office/drawing/2014/chart" uri="{C3380CC4-5D6E-409C-BE32-E72D297353CC}">
                  <c16:uniqueId val="{00000026-A283-40A8-94C6-812ECA963C90}"/>
                </c:ext>
              </c:extLst>
            </c:dLbl>
            <c:dLbl>
              <c:idx val="13"/>
              <c:layout>
                <c:manualLayout>
                  <c:x val="-5.8235367637868796E-2"/>
                  <c:y val="7.423716585189885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A283-40A8-94C6-812ECA963C90}"/>
                </c:ext>
              </c:extLst>
            </c:dLbl>
            <c:dLbl>
              <c:idx val="14"/>
              <c:delete val="1"/>
              <c:extLst>
                <c:ext xmlns:c15="http://schemas.microsoft.com/office/drawing/2012/chart" uri="{CE6537A1-D6FC-4f65-9D91-7224C49458BB}"/>
                <c:ext xmlns:c16="http://schemas.microsoft.com/office/drawing/2014/chart" uri="{C3380CC4-5D6E-409C-BE32-E72D297353CC}">
                  <c16:uniqueId val="{00000028-A283-40A8-94C6-812ECA963C90}"/>
                </c:ext>
              </c:extLst>
            </c:dLbl>
            <c:dLbl>
              <c:idx val="15"/>
              <c:delete val="1"/>
              <c:extLst>
                <c:ext xmlns:c15="http://schemas.microsoft.com/office/drawing/2012/chart" uri="{CE6537A1-D6FC-4f65-9D91-7224C49458BB}"/>
                <c:ext xmlns:c16="http://schemas.microsoft.com/office/drawing/2014/chart" uri="{C3380CC4-5D6E-409C-BE32-E72D297353CC}">
                  <c16:uniqueId val="{00000029-A283-40A8-94C6-812ECA963C90}"/>
                </c:ext>
              </c:extLst>
            </c:dLbl>
            <c:dLbl>
              <c:idx val="16"/>
              <c:delete val="1"/>
              <c:extLst>
                <c:ext xmlns:c15="http://schemas.microsoft.com/office/drawing/2012/chart" uri="{CE6537A1-D6FC-4f65-9D91-7224C49458BB}"/>
                <c:ext xmlns:c16="http://schemas.microsoft.com/office/drawing/2014/chart" uri="{C3380CC4-5D6E-409C-BE32-E72D297353CC}">
                  <c16:uniqueId val="{0000002A-A283-40A8-94C6-812ECA963C90}"/>
                </c:ext>
              </c:extLst>
            </c:dLbl>
            <c:dLbl>
              <c:idx val="17"/>
              <c:delete val="1"/>
              <c:extLst>
                <c:ext xmlns:c15="http://schemas.microsoft.com/office/drawing/2012/chart" uri="{CE6537A1-D6FC-4f65-9D91-7224C49458BB}"/>
                <c:ext xmlns:c16="http://schemas.microsoft.com/office/drawing/2014/chart" uri="{C3380CC4-5D6E-409C-BE32-E72D297353CC}">
                  <c16:uniqueId val="{0000002B-A283-40A8-94C6-812ECA963C90}"/>
                </c:ext>
              </c:extLst>
            </c:dLbl>
            <c:dLbl>
              <c:idx val="18"/>
              <c:layout>
                <c:manualLayout>
                  <c:x val="-8.6353029400736678E-2"/>
                  <c:y val="3.2337450709656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A283-40A8-94C6-812ECA963C90}"/>
                </c:ext>
              </c:extLst>
            </c:dLbl>
            <c:dLbl>
              <c:idx val="19"/>
              <c:delete val="1"/>
              <c:extLst>
                <c:ext xmlns:c15="http://schemas.microsoft.com/office/drawing/2012/chart" uri="{CE6537A1-D6FC-4f65-9D91-7224C49458BB}"/>
                <c:ext xmlns:c16="http://schemas.microsoft.com/office/drawing/2014/chart" uri="{C3380CC4-5D6E-409C-BE32-E72D297353CC}">
                  <c16:uniqueId val="{0000002D-A283-40A8-94C6-812ECA963C90}"/>
                </c:ext>
              </c:extLst>
            </c:dLbl>
            <c:dLbl>
              <c:idx val="20"/>
              <c:layout>
                <c:manualLayout>
                  <c:x val="-6.5705022166346855E-2"/>
                  <c:y val="3.23379482777922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A283-40A8-94C6-812ECA963C90}"/>
                </c:ext>
              </c:extLst>
            </c:dLbl>
            <c:dLbl>
              <c:idx val="21"/>
              <c:delete val="1"/>
              <c:extLst>
                <c:ext xmlns:c15="http://schemas.microsoft.com/office/drawing/2012/chart" uri="{CE6537A1-D6FC-4f65-9D91-7224C49458BB}"/>
                <c:ext xmlns:c16="http://schemas.microsoft.com/office/drawing/2014/chart" uri="{C3380CC4-5D6E-409C-BE32-E72D297353CC}">
                  <c16:uniqueId val="{0000002F-A283-40A8-94C6-812ECA963C90}"/>
                </c:ext>
              </c:extLst>
            </c:dLbl>
            <c:dLbl>
              <c:idx val="22"/>
              <c:layout>
                <c:manualLayout>
                  <c:x val="-5.8235367637868796E-2"/>
                  <c:y val="1.33806023062283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A283-40A8-94C6-812ECA963C90}"/>
                </c:ext>
              </c:extLst>
            </c:dLbl>
            <c:dLbl>
              <c:idx val="23"/>
              <c:delete val="1"/>
              <c:extLst>
                <c:ext xmlns:c15="http://schemas.microsoft.com/office/drawing/2012/chart" uri="{CE6537A1-D6FC-4f65-9D91-7224C49458BB}"/>
                <c:ext xmlns:c16="http://schemas.microsoft.com/office/drawing/2014/chart" uri="{C3380CC4-5D6E-409C-BE32-E72D297353CC}">
                  <c16:uniqueId val="{00000031-A283-40A8-94C6-812ECA963C90}"/>
                </c:ext>
              </c:extLst>
            </c:dLbl>
            <c:dLbl>
              <c:idx val="24"/>
              <c:layout>
                <c:manualLayout>
                  <c:x val="-2.3138284185065102E-3"/>
                  <c:y val="1.33806023062283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A283-40A8-94C6-812ECA963C90}"/>
                </c:ext>
              </c:extLst>
            </c:dLbl>
            <c:spPr>
              <a:noFill/>
              <a:ln>
                <a:noFill/>
              </a:ln>
              <a:effectLst/>
            </c:spPr>
            <c:txPr>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Thailand!$F$33:$F$57</c:f>
              <c:numCache>
                <c:formatCode>General</c:formatCode>
                <c:ptCount val="2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numCache>
            </c:numRef>
          </c:cat>
          <c:val>
            <c:numRef>
              <c:f>Thailand!$H$33:$H$57</c:f>
              <c:numCache>
                <c:formatCode>0.0</c:formatCode>
                <c:ptCount val="25"/>
                <c:pt idx="0">
                  <c:v>58.07</c:v>
                </c:pt>
                <c:pt idx="1">
                  <c:v>58.814999999999998</c:v>
                </c:pt>
                <c:pt idx="2">
                  <c:v>59.56</c:v>
                </c:pt>
                <c:pt idx="3">
                  <c:v>46.215000000000003</c:v>
                </c:pt>
                <c:pt idx="4">
                  <c:v>32.869999999999997</c:v>
                </c:pt>
                <c:pt idx="5">
                  <c:v>39.064999999999998</c:v>
                </c:pt>
                <c:pt idx="6">
                  <c:v>45.26</c:v>
                </c:pt>
                <c:pt idx="7">
                  <c:v>51.454999999999998</c:v>
                </c:pt>
                <c:pt idx="8">
                  <c:v>57.65</c:v>
                </c:pt>
                <c:pt idx="9">
                  <c:v>25.34</c:v>
                </c:pt>
                <c:pt idx="10">
                  <c:v>24.87</c:v>
                </c:pt>
                <c:pt idx="11">
                  <c:v>24.925000000000001</c:v>
                </c:pt>
                <c:pt idx="12">
                  <c:v>24.98</c:v>
                </c:pt>
                <c:pt idx="13">
                  <c:v>19.010000000000002</c:v>
                </c:pt>
                <c:pt idx="14">
                  <c:v>22.16</c:v>
                </c:pt>
                <c:pt idx="15">
                  <c:v>22.1</c:v>
                </c:pt>
                <c:pt idx="16">
                  <c:v>18.27</c:v>
                </c:pt>
                <c:pt idx="17">
                  <c:v>18.28</c:v>
                </c:pt>
                <c:pt idx="18">
                  <c:v>18.3</c:v>
                </c:pt>
                <c:pt idx="19">
                  <c:v>18.079999999999998</c:v>
                </c:pt>
                <c:pt idx="20">
                  <c:v>18.16</c:v>
                </c:pt>
                <c:pt idx="21">
                  <c:v>18.414999999999999</c:v>
                </c:pt>
                <c:pt idx="22">
                  <c:v>18.670000000000002</c:v>
                </c:pt>
                <c:pt idx="23">
                  <c:v>19.07</c:v>
                </c:pt>
                <c:pt idx="24">
                  <c:v>18.59</c:v>
                </c:pt>
              </c:numCache>
            </c:numRef>
          </c:val>
          <c:smooth val="0"/>
          <c:extLst>
            <c:ext xmlns:c16="http://schemas.microsoft.com/office/drawing/2014/chart" uri="{C3380CC4-5D6E-409C-BE32-E72D297353CC}">
              <c16:uniqueId val="{00000033-A283-40A8-94C6-812ECA963C90}"/>
            </c:ext>
          </c:extLst>
        </c:ser>
        <c:dLbls>
          <c:showLegendKey val="0"/>
          <c:showVal val="0"/>
          <c:showCatName val="0"/>
          <c:showSerName val="0"/>
          <c:showPercent val="0"/>
          <c:showBubbleSize val="0"/>
        </c:dLbls>
        <c:smooth val="0"/>
        <c:axId val="1843792848"/>
        <c:axId val="1843795568"/>
      </c:lineChart>
      <c:catAx>
        <c:axId val="1843792848"/>
        <c:scaling>
          <c:orientation val="minMax"/>
        </c:scaling>
        <c:delete val="0"/>
        <c:axPos val="b"/>
        <c:numFmt formatCode="General" sourceLinked="1"/>
        <c:majorTickMark val="none"/>
        <c:minorTickMark val="none"/>
        <c:tickLblPos val="nextTo"/>
        <c:txPr>
          <a:bodyPr rot="-5400000" vert="horz"/>
          <a:lstStyle/>
          <a:p>
            <a:pPr>
              <a:defRPr sz="800"/>
            </a:pPr>
            <a:endParaRPr lang="en-US"/>
          </a:p>
        </c:txPr>
        <c:crossAx val="1843795568"/>
        <c:crosses val="autoZero"/>
        <c:auto val="1"/>
        <c:lblAlgn val="ctr"/>
        <c:lblOffset val="100"/>
        <c:tickLblSkip val="2"/>
        <c:noMultiLvlLbl val="0"/>
      </c:catAx>
      <c:valAx>
        <c:axId val="1843795568"/>
        <c:scaling>
          <c:orientation val="minMax"/>
          <c:max val="60"/>
        </c:scaling>
        <c:delete val="0"/>
        <c:axPos val="l"/>
        <c:majorGridlines/>
        <c:title>
          <c:tx>
            <c:rich>
              <a:bodyPr rot="0" vert="horz"/>
              <a:lstStyle/>
              <a:p>
                <a:pPr>
                  <a:defRPr/>
                </a:pPr>
                <a:r>
                  <a:rPr lang="en-US" sz="800" b="0"/>
                  <a:t>Tariff</a:t>
                </a:r>
                <a:r>
                  <a:rPr lang="en-US" sz="800" b="0" baseline="0"/>
                  <a:t> Rate (%)</a:t>
                </a:r>
                <a:endParaRPr lang="en-US" sz="800" b="0"/>
              </a:p>
            </c:rich>
          </c:tx>
          <c:layout>
            <c:manualLayout>
              <c:xMode val="edge"/>
              <c:yMode val="edge"/>
              <c:x val="0"/>
              <c:y val="2.4376140799658992E-3"/>
            </c:manualLayout>
          </c:layout>
          <c:overlay val="0"/>
        </c:title>
        <c:numFmt formatCode="#,##0" sourceLinked="0"/>
        <c:majorTickMark val="none"/>
        <c:minorTickMark val="none"/>
        <c:tickLblPos val="nextTo"/>
        <c:spPr>
          <a:ln w="9525">
            <a:noFill/>
          </a:ln>
        </c:spPr>
        <c:txPr>
          <a:bodyPr/>
          <a:lstStyle/>
          <a:p>
            <a:pPr>
              <a:defRPr sz="800"/>
            </a:pPr>
            <a:endParaRPr lang="en-US"/>
          </a:p>
        </c:txPr>
        <c:crossAx val="1843792848"/>
        <c:crosses val="autoZero"/>
        <c:crossBetween val="between"/>
      </c:valAx>
      <c:spPr>
        <a:gradFill>
          <a:gsLst>
            <a:gs pos="0">
              <a:srgbClr val="5E9EFF"/>
            </a:gs>
            <a:gs pos="39999">
              <a:srgbClr val="85C2FF"/>
            </a:gs>
            <a:gs pos="70000">
              <a:srgbClr val="C4D6EB"/>
            </a:gs>
            <a:gs pos="100000">
              <a:srgbClr val="FFEBFA"/>
            </a:gs>
          </a:gsLst>
          <a:lin ang="2700000" scaled="0"/>
        </a:gradFill>
      </c:spPr>
    </c:plotArea>
    <c:legend>
      <c:legendPos val="b"/>
      <c:layout>
        <c:manualLayout>
          <c:xMode val="edge"/>
          <c:yMode val="edge"/>
          <c:x val="0.18558752271350687"/>
          <c:y val="3.1760376686582555E-2"/>
          <c:w val="0.70506554823360001"/>
          <c:h val="0.10391764136279082"/>
        </c:manualLayout>
      </c:layout>
      <c:overlay val="0"/>
      <c:txPr>
        <a:bodyPr/>
        <a:lstStyle/>
        <a:p>
          <a:pPr>
            <a:defRPr sz="900"/>
          </a:pPr>
          <a:endParaRPr lang="en-US"/>
        </a:p>
      </c:txPr>
    </c:legend>
    <c:plotVisOnly val="1"/>
    <c:dispBlanksAs val="gap"/>
    <c:showDLblsOverMax val="0"/>
  </c:chart>
  <c:spPr>
    <a:solidFill>
      <a:srgbClr val="1F497D">
        <a:lumMod val="20000"/>
        <a:lumOff val="80000"/>
      </a:srgbClr>
    </a:solidFill>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319262175561387E-2"/>
          <c:y val="0.14849575865849393"/>
          <c:w val="0.92368896596258809"/>
          <c:h val="0.7141984698721171"/>
        </c:manualLayout>
      </c:layout>
      <c:lineChart>
        <c:grouping val="standard"/>
        <c:varyColors val="0"/>
        <c:ser>
          <c:idx val="2"/>
          <c:order val="0"/>
          <c:tx>
            <c:strRef>
              <c:f>Korea!$H$30</c:f>
              <c:strCache>
                <c:ptCount val="1"/>
                <c:pt idx="0">
                  <c:v>Inputs</c:v>
                </c:pt>
              </c:strCache>
            </c:strRef>
          </c:tx>
          <c:spPr>
            <a:ln w="41275">
              <a:solidFill>
                <a:srgbClr val="C00000"/>
              </a:solidFill>
              <a:prstDash val="sysDot"/>
            </a:ln>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0-1B83-427F-A4AC-C1443C9E139E}"/>
                </c:ext>
              </c:extLst>
            </c:dLbl>
            <c:dLbl>
              <c:idx val="2"/>
              <c:delete val="1"/>
              <c:extLst>
                <c:ext xmlns:c15="http://schemas.microsoft.com/office/drawing/2012/chart" uri="{CE6537A1-D6FC-4f65-9D91-7224C49458BB}"/>
                <c:ext xmlns:c16="http://schemas.microsoft.com/office/drawing/2014/chart" uri="{C3380CC4-5D6E-409C-BE32-E72D297353CC}">
                  <c16:uniqueId val="{00000001-1B83-427F-A4AC-C1443C9E139E}"/>
                </c:ext>
              </c:extLst>
            </c:dLbl>
            <c:dLbl>
              <c:idx val="5"/>
              <c:delete val="1"/>
              <c:extLst>
                <c:ext xmlns:c15="http://schemas.microsoft.com/office/drawing/2012/chart" uri="{CE6537A1-D6FC-4f65-9D91-7224C49458BB}"/>
                <c:ext xmlns:c16="http://schemas.microsoft.com/office/drawing/2014/chart" uri="{C3380CC4-5D6E-409C-BE32-E72D297353CC}">
                  <c16:uniqueId val="{00000002-1B83-427F-A4AC-C1443C9E139E}"/>
                </c:ext>
              </c:extLst>
            </c:dLbl>
            <c:dLbl>
              <c:idx val="8"/>
              <c:delete val="1"/>
              <c:extLst>
                <c:ext xmlns:c15="http://schemas.microsoft.com/office/drawing/2012/chart" uri="{CE6537A1-D6FC-4f65-9D91-7224C49458BB}"/>
                <c:ext xmlns:c16="http://schemas.microsoft.com/office/drawing/2014/chart" uri="{C3380CC4-5D6E-409C-BE32-E72D297353CC}">
                  <c16:uniqueId val="{00000003-1B83-427F-A4AC-C1443C9E139E}"/>
                </c:ext>
              </c:extLst>
            </c:dLbl>
            <c:dLbl>
              <c:idx val="9"/>
              <c:delete val="1"/>
              <c:extLst>
                <c:ext xmlns:c15="http://schemas.microsoft.com/office/drawing/2012/chart" uri="{CE6537A1-D6FC-4f65-9D91-7224C49458BB}"/>
                <c:ext xmlns:c16="http://schemas.microsoft.com/office/drawing/2014/chart" uri="{C3380CC4-5D6E-409C-BE32-E72D297353CC}">
                  <c16:uniqueId val="{00000004-1B83-427F-A4AC-C1443C9E139E}"/>
                </c:ext>
              </c:extLst>
            </c:dLbl>
            <c:dLbl>
              <c:idx val="11"/>
              <c:delete val="1"/>
              <c:extLst>
                <c:ext xmlns:c15="http://schemas.microsoft.com/office/drawing/2012/chart" uri="{CE6537A1-D6FC-4f65-9D91-7224C49458BB}"/>
                <c:ext xmlns:c16="http://schemas.microsoft.com/office/drawing/2014/chart" uri="{C3380CC4-5D6E-409C-BE32-E72D297353CC}">
                  <c16:uniqueId val="{00000005-1B83-427F-A4AC-C1443C9E139E}"/>
                </c:ext>
              </c:extLst>
            </c:dLbl>
            <c:dLbl>
              <c:idx val="12"/>
              <c:delete val="1"/>
              <c:extLst>
                <c:ext xmlns:c15="http://schemas.microsoft.com/office/drawing/2012/chart" uri="{CE6537A1-D6FC-4f65-9D91-7224C49458BB}"/>
                <c:ext xmlns:c16="http://schemas.microsoft.com/office/drawing/2014/chart" uri="{C3380CC4-5D6E-409C-BE32-E72D297353CC}">
                  <c16:uniqueId val="{00000006-1B83-427F-A4AC-C1443C9E139E}"/>
                </c:ext>
              </c:extLst>
            </c:dLbl>
            <c:dLbl>
              <c:idx val="13"/>
              <c:delete val="1"/>
              <c:extLst>
                <c:ext xmlns:c15="http://schemas.microsoft.com/office/drawing/2012/chart" uri="{CE6537A1-D6FC-4f65-9D91-7224C49458BB}"/>
                <c:ext xmlns:c16="http://schemas.microsoft.com/office/drawing/2014/chart" uri="{C3380CC4-5D6E-409C-BE32-E72D297353CC}">
                  <c16:uniqueId val="{00000007-1B83-427F-A4AC-C1443C9E139E}"/>
                </c:ext>
              </c:extLst>
            </c:dLbl>
            <c:dLbl>
              <c:idx val="15"/>
              <c:delete val="1"/>
              <c:extLst>
                <c:ext xmlns:c15="http://schemas.microsoft.com/office/drawing/2012/chart" uri="{CE6537A1-D6FC-4f65-9D91-7224C49458BB}"/>
                <c:ext xmlns:c16="http://schemas.microsoft.com/office/drawing/2014/chart" uri="{C3380CC4-5D6E-409C-BE32-E72D297353CC}">
                  <c16:uniqueId val="{00000008-1B83-427F-A4AC-C1443C9E139E}"/>
                </c:ext>
              </c:extLst>
            </c:dLbl>
            <c:dLbl>
              <c:idx val="17"/>
              <c:delete val="1"/>
              <c:extLst>
                <c:ext xmlns:c15="http://schemas.microsoft.com/office/drawing/2012/chart" uri="{CE6537A1-D6FC-4f65-9D91-7224C49458BB}"/>
                <c:ext xmlns:c16="http://schemas.microsoft.com/office/drawing/2014/chart" uri="{C3380CC4-5D6E-409C-BE32-E72D297353CC}">
                  <c16:uniqueId val="{00000009-1B83-427F-A4AC-C1443C9E139E}"/>
                </c:ext>
              </c:extLst>
            </c:dLbl>
            <c:dLbl>
              <c:idx val="19"/>
              <c:delete val="1"/>
              <c:extLst>
                <c:ext xmlns:c15="http://schemas.microsoft.com/office/drawing/2012/chart" uri="{CE6537A1-D6FC-4f65-9D91-7224C49458BB}"/>
                <c:ext xmlns:c16="http://schemas.microsoft.com/office/drawing/2014/chart" uri="{C3380CC4-5D6E-409C-BE32-E72D297353CC}">
                  <c16:uniqueId val="{0000000A-1B83-427F-A4AC-C1443C9E139E}"/>
                </c:ext>
              </c:extLst>
            </c:dLbl>
            <c:dLbl>
              <c:idx val="20"/>
              <c:delete val="1"/>
              <c:extLst>
                <c:ext xmlns:c15="http://schemas.microsoft.com/office/drawing/2012/chart" uri="{CE6537A1-D6FC-4f65-9D91-7224C49458BB}"/>
                <c:ext xmlns:c16="http://schemas.microsoft.com/office/drawing/2014/chart" uri="{C3380CC4-5D6E-409C-BE32-E72D297353CC}">
                  <c16:uniqueId val="{0000000B-1B83-427F-A4AC-C1443C9E139E}"/>
                </c:ext>
              </c:extLst>
            </c:dLbl>
            <c:dLbl>
              <c:idx val="22"/>
              <c:delete val="1"/>
              <c:extLst>
                <c:ext xmlns:c15="http://schemas.microsoft.com/office/drawing/2012/chart" uri="{CE6537A1-D6FC-4f65-9D91-7224C49458BB}"/>
                <c:ext xmlns:c16="http://schemas.microsoft.com/office/drawing/2014/chart" uri="{C3380CC4-5D6E-409C-BE32-E72D297353CC}">
                  <c16:uniqueId val="{0000000C-1B83-427F-A4AC-C1443C9E139E}"/>
                </c:ext>
              </c:extLst>
            </c:dLbl>
            <c:dLbl>
              <c:idx val="23"/>
              <c:layout>
                <c:manualLayout>
                  <c:x val="0"/>
                  <c:y val="-4.95662755744419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B83-427F-A4AC-C1443C9E139E}"/>
                </c:ext>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Korea!$G$31:$G$54</c:f>
              <c:numCache>
                <c:formatCode>General</c:formatCode>
                <c:ptCount val="24"/>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numCache>
            </c:numRef>
          </c:cat>
          <c:val>
            <c:numRef>
              <c:f>Korea!$H$31:$H$54</c:f>
              <c:numCache>
                <c:formatCode>0.0</c:formatCode>
                <c:ptCount val="24"/>
                <c:pt idx="0">
                  <c:v>11.089999999999998</c:v>
                </c:pt>
                <c:pt idx="1">
                  <c:v>10.493333333333332</c:v>
                </c:pt>
                <c:pt idx="2">
                  <c:v>9.8966666666666665</c:v>
                </c:pt>
                <c:pt idx="3">
                  <c:v>9.3033333333333346</c:v>
                </c:pt>
                <c:pt idx="4">
                  <c:v>16.236666666666668</c:v>
                </c:pt>
                <c:pt idx="5">
                  <c:v>13.993333333333332</c:v>
                </c:pt>
                <c:pt idx="6">
                  <c:v>13.86</c:v>
                </c:pt>
                <c:pt idx="7">
                  <c:v>9.1066666666666674</c:v>
                </c:pt>
                <c:pt idx="8">
                  <c:v>14.193333333333333</c:v>
                </c:pt>
                <c:pt idx="9">
                  <c:v>13.87</c:v>
                </c:pt>
                <c:pt idx="10">
                  <c:v>15.556666666666667</c:v>
                </c:pt>
                <c:pt idx="11">
                  <c:v>13.353333333333333</c:v>
                </c:pt>
                <c:pt idx="12">
                  <c:v>14.83</c:v>
                </c:pt>
                <c:pt idx="13">
                  <c:v>13.049999999999999</c:v>
                </c:pt>
                <c:pt idx="14">
                  <c:v>15.01333333333333</c:v>
                </c:pt>
                <c:pt idx="15">
                  <c:v>15.12</c:v>
                </c:pt>
                <c:pt idx="16">
                  <c:v>13.159999999999998</c:v>
                </c:pt>
                <c:pt idx="17">
                  <c:v>14.579999999999998</c:v>
                </c:pt>
                <c:pt idx="18">
                  <c:v>15.553333333333335</c:v>
                </c:pt>
                <c:pt idx="19">
                  <c:v>13.436666666666666</c:v>
                </c:pt>
                <c:pt idx="20">
                  <c:v>12.693333333333333</c:v>
                </c:pt>
                <c:pt idx="21">
                  <c:v>12.31</c:v>
                </c:pt>
                <c:pt idx="22">
                  <c:v>12.270000000000001</c:v>
                </c:pt>
                <c:pt idx="23">
                  <c:v>13.236666666666666</c:v>
                </c:pt>
              </c:numCache>
            </c:numRef>
          </c:val>
          <c:smooth val="0"/>
          <c:extLst>
            <c:ext xmlns:c16="http://schemas.microsoft.com/office/drawing/2014/chart" uri="{C3380CC4-5D6E-409C-BE32-E72D297353CC}">
              <c16:uniqueId val="{0000000E-1B83-427F-A4AC-C1443C9E139E}"/>
            </c:ext>
          </c:extLst>
        </c:ser>
        <c:ser>
          <c:idx val="0"/>
          <c:order val="1"/>
          <c:tx>
            <c:strRef>
              <c:f>Korea!$I$30</c:f>
              <c:strCache>
                <c:ptCount val="1"/>
                <c:pt idx="0">
                  <c:v>Consumer Goods</c:v>
                </c:pt>
              </c:strCache>
            </c:strRef>
          </c:tx>
          <c:spPr>
            <a:ln>
              <a:solidFill>
                <a:schemeClr val="tx2"/>
              </a:solidFill>
            </a:ln>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F-1B83-427F-A4AC-C1443C9E139E}"/>
                </c:ext>
              </c:extLst>
            </c:dLbl>
            <c:dLbl>
              <c:idx val="3"/>
              <c:delete val="1"/>
              <c:extLst>
                <c:ext xmlns:c15="http://schemas.microsoft.com/office/drawing/2012/chart" uri="{CE6537A1-D6FC-4f65-9D91-7224C49458BB}"/>
                <c:ext xmlns:c16="http://schemas.microsoft.com/office/drawing/2014/chart" uri="{C3380CC4-5D6E-409C-BE32-E72D297353CC}">
                  <c16:uniqueId val="{00000010-1B83-427F-A4AC-C1443C9E139E}"/>
                </c:ext>
              </c:extLst>
            </c:dLbl>
            <c:dLbl>
              <c:idx val="4"/>
              <c:delete val="1"/>
              <c:extLst>
                <c:ext xmlns:c15="http://schemas.microsoft.com/office/drawing/2012/chart" uri="{CE6537A1-D6FC-4f65-9D91-7224C49458BB}"/>
                <c:ext xmlns:c16="http://schemas.microsoft.com/office/drawing/2014/chart" uri="{C3380CC4-5D6E-409C-BE32-E72D297353CC}">
                  <c16:uniqueId val="{00000011-1B83-427F-A4AC-C1443C9E139E}"/>
                </c:ext>
              </c:extLst>
            </c:dLbl>
            <c:dLbl>
              <c:idx val="6"/>
              <c:delete val="1"/>
              <c:extLst>
                <c:ext xmlns:c15="http://schemas.microsoft.com/office/drawing/2012/chart" uri="{CE6537A1-D6FC-4f65-9D91-7224C49458BB}"/>
                <c:ext xmlns:c16="http://schemas.microsoft.com/office/drawing/2014/chart" uri="{C3380CC4-5D6E-409C-BE32-E72D297353CC}">
                  <c16:uniqueId val="{00000012-1B83-427F-A4AC-C1443C9E139E}"/>
                </c:ext>
              </c:extLst>
            </c:dLbl>
            <c:dLbl>
              <c:idx val="7"/>
              <c:delete val="1"/>
              <c:extLst>
                <c:ext xmlns:c15="http://schemas.microsoft.com/office/drawing/2012/chart" uri="{CE6537A1-D6FC-4f65-9D91-7224C49458BB}"/>
                <c:ext xmlns:c16="http://schemas.microsoft.com/office/drawing/2014/chart" uri="{C3380CC4-5D6E-409C-BE32-E72D297353CC}">
                  <c16:uniqueId val="{00000013-1B83-427F-A4AC-C1443C9E139E}"/>
                </c:ext>
              </c:extLst>
            </c:dLbl>
            <c:dLbl>
              <c:idx val="9"/>
              <c:delete val="1"/>
              <c:extLst>
                <c:ext xmlns:c15="http://schemas.microsoft.com/office/drawing/2012/chart" uri="{CE6537A1-D6FC-4f65-9D91-7224C49458BB}"/>
                <c:ext xmlns:c16="http://schemas.microsoft.com/office/drawing/2014/chart" uri="{C3380CC4-5D6E-409C-BE32-E72D297353CC}">
                  <c16:uniqueId val="{00000014-1B83-427F-A4AC-C1443C9E139E}"/>
                </c:ext>
              </c:extLst>
            </c:dLbl>
            <c:dLbl>
              <c:idx val="10"/>
              <c:delete val="1"/>
              <c:extLst>
                <c:ext xmlns:c15="http://schemas.microsoft.com/office/drawing/2012/chart" uri="{CE6537A1-D6FC-4f65-9D91-7224C49458BB}"/>
                <c:ext xmlns:c16="http://schemas.microsoft.com/office/drawing/2014/chart" uri="{C3380CC4-5D6E-409C-BE32-E72D297353CC}">
                  <c16:uniqueId val="{00000015-1B83-427F-A4AC-C1443C9E139E}"/>
                </c:ext>
              </c:extLst>
            </c:dLbl>
            <c:dLbl>
              <c:idx val="12"/>
              <c:delete val="1"/>
              <c:extLst>
                <c:ext xmlns:c15="http://schemas.microsoft.com/office/drawing/2012/chart" uri="{CE6537A1-D6FC-4f65-9D91-7224C49458BB}"/>
                <c:ext xmlns:c16="http://schemas.microsoft.com/office/drawing/2014/chart" uri="{C3380CC4-5D6E-409C-BE32-E72D297353CC}">
                  <c16:uniqueId val="{00000016-1B83-427F-A4AC-C1443C9E139E}"/>
                </c:ext>
              </c:extLst>
            </c:dLbl>
            <c:dLbl>
              <c:idx val="13"/>
              <c:delete val="1"/>
              <c:extLst>
                <c:ext xmlns:c15="http://schemas.microsoft.com/office/drawing/2012/chart" uri="{CE6537A1-D6FC-4f65-9D91-7224C49458BB}"/>
                <c:ext xmlns:c16="http://schemas.microsoft.com/office/drawing/2014/chart" uri="{C3380CC4-5D6E-409C-BE32-E72D297353CC}">
                  <c16:uniqueId val="{00000017-1B83-427F-A4AC-C1443C9E139E}"/>
                </c:ext>
              </c:extLst>
            </c:dLbl>
            <c:dLbl>
              <c:idx val="15"/>
              <c:delete val="1"/>
              <c:extLst>
                <c:ext xmlns:c15="http://schemas.microsoft.com/office/drawing/2012/chart" uri="{CE6537A1-D6FC-4f65-9D91-7224C49458BB}"/>
                <c:ext xmlns:c16="http://schemas.microsoft.com/office/drawing/2014/chart" uri="{C3380CC4-5D6E-409C-BE32-E72D297353CC}">
                  <c16:uniqueId val="{00000018-1B83-427F-A4AC-C1443C9E139E}"/>
                </c:ext>
              </c:extLst>
            </c:dLbl>
            <c:dLbl>
              <c:idx val="17"/>
              <c:delete val="1"/>
              <c:extLst>
                <c:ext xmlns:c15="http://schemas.microsoft.com/office/drawing/2012/chart" uri="{CE6537A1-D6FC-4f65-9D91-7224C49458BB}"/>
                <c:ext xmlns:c16="http://schemas.microsoft.com/office/drawing/2014/chart" uri="{C3380CC4-5D6E-409C-BE32-E72D297353CC}">
                  <c16:uniqueId val="{00000019-1B83-427F-A4AC-C1443C9E139E}"/>
                </c:ext>
              </c:extLst>
            </c:dLbl>
            <c:dLbl>
              <c:idx val="18"/>
              <c:delete val="1"/>
              <c:extLst>
                <c:ext xmlns:c15="http://schemas.microsoft.com/office/drawing/2012/chart" uri="{CE6537A1-D6FC-4f65-9D91-7224C49458BB}"/>
                <c:ext xmlns:c16="http://schemas.microsoft.com/office/drawing/2014/chart" uri="{C3380CC4-5D6E-409C-BE32-E72D297353CC}">
                  <c16:uniqueId val="{0000001A-1B83-427F-A4AC-C1443C9E139E}"/>
                </c:ext>
              </c:extLst>
            </c:dLbl>
            <c:dLbl>
              <c:idx val="19"/>
              <c:delete val="1"/>
              <c:extLst>
                <c:ext xmlns:c15="http://schemas.microsoft.com/office/drawing/2012/chart" uri="{CE6537A1-D6FC-4f65-9D91-7224C49458BB}"/>
                <c:ext xmlns:c16="http://schemas.microsoft.com/office/drawing/2014/chart" uri="{C3380CC4-5D6E-409C-BE32-E72D297353CC}">
                  <c16:uniqueId val="{0000001B-1B83-427F-A4AC-C1443C9E139E}"/>
                </c:ext>
              </c:extLst>
            </c:dLbl>
            <c:dLbl>
              <c:idx val="20"/>
              <c:delete val="1"/>
              <c:extLst>
                <c:ext xmlns:c15="http://schemas.microsoft.com/office/drawing/2012/chart" uri="{CE6537A1-D6FC-4f65-9D91-7224C49458BB}"/>
                <c:ext xmlns:c16="http://schemas.microsoft.com/office/drawing/2014/chart" uri="{C3380CC4-5D6E-409C-BE32-E72D297353CC}">
                  <c16:uniqueId val="{0000001C-1B83-427F-A4AC-C1443C9E139E}"/>
                </c:ext>
              </c:extLst>
            </c:dLbl>
            <c:dLbl>
              <c:idx val="21"/>
              <c:delete val="1"/>
              <c:extLst>
                <c:ext xmlns:c15="http://schemas.microsoft.com/office/drawing/2012/chart" uri="{CE6537A1-D6FC-4f65-9D91-7224C49458BB}"/>
                <c:ext xmlns:c16="http://schemas.microsoft.com/office/drawing/2014/chart" uri="{C3380CC4-5D6E-409C-BE32-E72D297353CC}">
                  <c16:uniqueId val="{0000001D-1B83-427F-A4AC-C1443C9E139E}"/>
                </c:ext>
              </c:extLst>
            </c:dLbl>
            <c:dLbl>
              <c:idx val="22"/>
              <c:layout>
                <c:manualLayout>
                  <c:x val="-3.5794183445190156E-2"/>
                  <c:y val="1.55038759689922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1B83-427F-A4AC-C1443C9E139E}"/>
                </c:ext>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Korea!$G$31:$G$54</c:f>
              <c:numCache>
                <c:formatCode>General</c:formatCode>
                <c:ptCount val="24"/>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numCache>
            </c:numRef>
          </c:cat>
          <c:val>
            <c:numRef>
              <c:f>Korea!$I$31:$I$54</c:f>
              <c:numCache>
                <c:formatCode>0.0</c:formatCode>
                <c:ptCount val="24"/>
                <c:pt idx="0">
                  <c:v>13.12</c:v>
                </c:pt>
                <c:pt idx="1">
                  <c:v>11.97667</c:v>
                </c:pt>
                <c:pt idx="2">
                  <c:v>10.83</c:v>
                </c:pt>
                <c:pt idx="3">
                  <c:v>9.69</c:v>
                </c:pt>
                <c:pt idx="4">
                  <c:v>11.34</c:v>
                </c:pt>
                <c:pt idx="5">
                  <c:v>10.73</c:v>
                </c:pt>
                <c:pt idx="6">
                  <c:v>11.71</c:v>
                </c:pt>
                <c:pt idx="7">
                  <c:v>10.56</c:v>
                </c:pt>
                <c:pt idx="8">
                  <c:v>11.49</c:v>
                </c:pt>
                <c:pt idx="9">
                  <c:v>11.42</c:v>
                </c:pt>
                <c:pt idx="10">
                  <c:v>11.83</c:v>
                </c:pt>
                <c:pt idx="11">
                  <c:v>11.21</c:v>
                </c:pt>
                <c:pt idx="12">
                  <c:v>11.34</c:v>
                </c:pt>
                <c:pt idx="13">
                  <c:v>10.99</c:v>
                </c:pt>
                <c:pt idx="14">
                  <c:v>11.35</c:v>
                </c:pt>
                <c:pt idx="15">
                  <c:v>11.52</c:v>
                </c:pt>
                <c:pt idx="16">
                  <c:v>11.11</c:v>
                </c:pt>
                <c:pt idx="17">
                  <c:v>11.24</c:v>
                </c:pt>
                <c:pt idx="18">
                  <c:v>11.47</c:v>
                </c:pt>
                <c:pt idx="19">
                  <c:v>11.04</c:v>
                </c:pt>
                <c:pt idx="20">
                  <c:v>10.98</c:v>
                </c:pt>
                <c:pt idx="21">
                  <c:v>10.97</c:v>
                </c:pt>
                <c:pt idx="22">
                  <c:v>10.94</c:v>
                </c:pt>
                <c:pt idx="23">
                  <c:v>12.06</c:v>
                </c:pt>
              </c:numCache>
            </c:numRef>
          </c:val>
          <c:smooth val="0"/>
          <c:extLst>
            <c:ext xmlns:c16="http://schemas.microsoft.com/office/drawing/2014/chart" uri="{C3380CC4-5D6E-409C-BE32-E72D297353CC}">
              <c16:uniqueId val="{0000001F-1B83-427F-A4AC-C1443C9E139E}"/>
            </c:ext>
          </c:extLst>
        </c:ser>
        <c:dLbls>
          <c:showLegendKey val="0"/>
          <c:showVal val="0"/>
          <c:showCatName val="0"/>
          <c:showSerName val="0"/>
          <c:showPercent val="0"/>
          <c:showBubbleSize val="0"/>
        </c:dLbls>
        <c:smooth val="0"/>
        <c:axId val="1843784144"/>
        <c:axId val="1843783600"/>
      </c:lineChart>
      <c:valAx>
        <c:axId val="1843783600"/>
        <c:scaling>
          <c:orientation val="minMax"/>
        </c:scaling>
        <c:delete val="0"/>
        <c:axPos val="l"/>
        <c:majorGridlines/>
        <c:title>
          <c:tx>
            <c:rich>
              <a:bodyPr rot="0" vert="horz"/>
              <a:lstStyle/>
              <a:p>
                <a:pPr algn="l">
                  <a:defRPr/>
                </a:pPr>
                <a:r>
                  <a:rPr lang="en-US" sz="800" b="0"/>
                  <a:t>Tariff Rate (%)</a:t>
                </a:r>
              </a:p>
            </c:rich>
          </c:tx>
          <c:layout>
            <c:manualLayout>
              <c:xMode val="edge"/>
              <c:yMode val="edge"/>
              <c:x val="3.8422730715707516E-2"/>
              <c:y val="4.1170725752304217E-3"/>
            </c:manualLayout>
          </c:layout>
          <c:overlay val="0"/>
        </c:title>
        <c:numFmt formatCode="#,##0" sourceLinked="0"/>
        <c:majorTickMark val="none"/>
        <c:minorTickMark val="none"/>
        <c:tickLblPos val="nextTo"/>
        <c:spPr>
          <a:ln w="9525">
            <a:noFill/>
          </a:ln>
        </c:spPr>
        <c:txPr>
          <a:bodyPr/>
          <a:lstStyle/>
          <a:p>
            <a:pPr>
              <a:defRPr sz="800"/>
            </a:pPr>
            <a:endParaRPr lang="en-US"/>
          </a:p>
        </c:txPr>
        <c:crossAx val="1843784144"/>
        <c:crosses val="autoZero"/>
        <c:crossBetween val="between"/>
        <c:majorUnit val="3"/>
      </c:valAx>
      <c:catAx>
        <c:axId val="1843784144"/>
        <c:scaling>
          <c:orientation val="minMax"/>
        </c:scaling>
        <c:delete val="0"/>
        <c:axPos val="b"/>
        <c:numFmt formatCode="General" sourceLinked="1"/>
        <c:majorTickMark val="none"/>
        <c:minorTickMark val="none"/>
        <c:tickLblPos val="nextTo"/>
        <c:txPr>
          <a:bodyPr rot="-5400000" vert="horz"/>
          <a:lstStyle/>
          <a:p>
            <a:pPr>
              <a:defRPr sz="800"/>
            </a:pPr>
            <a:endParaRPr lang="en-US"/>
          </a:p>
        </c:txPr>
        <c:crossAx val="1843783600"/>
        <c:crosses val="autoZero"/>
        <c:auto val="0"/>
        <c:lblAlgn val="ctr"/>
        <c:lblOffset val="0"/>
        <c:tickLblSkip val="2"/>
        <c:tickMarkSkip val="1"/>
        <c:noMultiLvlLbl val="0"/>
      </c:catAx>
      <c:spPr>
        <a:gradFill flip="none" rotWithShape="1">
          <a:gsLst>
            <a:gs pos="0">
              <a:srgbClr val="5E9EFF"/>
            </a:gs>
            <a:gs pos="39999">
              <a:srgbClr val="85C2FF"/>
            </a:gs>
            <a:gs pos="70000">
              <a:srgbClr val="C4D6EB"/>
            </a:gs>
            <a:gs pos="100000">
              <a:srgbClr val="FFEBFA"/>
            </a:gs>
          </a:gsLst>
          <a:lin ang="2700000" scaled="0"/>
          <a:tileRect/>
        </a:gradFill>
      </c:spPr>
    </c:plotArea>
    <c:legend>
      <c:legendPos val="b"/>
      <c:layout>
        <c:manualLayout>
          <c:xMode val="edge"/>
          <c:yMode val="edge"/>
          <c:x val="0.22059539537423598"/>
          <c:y val="4.5100408960507841E-2"/>
          <c:w val="0.70524511617255892"/>
          <c:h val="8.8892611827776843E-2"/>
        </c:manualLayout>
      </c:layout>
      <c:overlay val="0"/>
      <c:txPr>
        <a:bodyPr/>
        <a:lstStyle/>
        <a:p>
          <a:pPr>
            <a:defRPr sz="800"/>
          </a:pPr>
          <a:endParaRPr lang="en-US"/>
        </a:p>
      </c:txPr>
    </c:legend>
    <c:plotVisOnly val="1"/>
    <c:dispBlanksAs val="gap"/>
    <c:showDLblsOverMax val="0"/>
  </c:chart>
  <c:spPr>
    <a:solidFill>
      <a:srgbClr val="1F497D">
        <a:lumMod val="20000"/>
        <a:lumOff val="80000"/>
      </a:srgbClr>
    </a:solidFill>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319262175561387E-2"/>
          <c:y val="0.14849575865849393"/>
          <c:w val="0.92368896596258809"/>
          <c:h val="0.69804004150643961"/>
        </c:manualLayout>
      </c:layout>
      <c:lineChart>
        <c:grouping val="standard"/>
        <c:varyColors val="0"/>
        <c:ser>
          <c:idx val="2"/>
          <c:order val="0"/>
          <c:tx>
            <c:strRef>
              <c:f>Taiwan!$J$2</c:f>
              <c:strCache>
                <c:ptCount val="1"/>
                <c:pt idx="0">
                  <c:v>Inputs</c:v>
                </c:pt>
              </c:strCache>
            </c:strRef>
          </c:tx>
          <c:spPr>
            <a:ln w="41275">
              <a:solidFill>
                <a:srgbClr val="C00000"/>
              </a:solidFill>
              <a:prstDash val="sysDot"/>
            </a:ln>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0-C27D-42E2-87D5-2F608CDAD395}"/>
                </c:ext>
              </c:extLst>
            </c:dLbl>
            <c:dLbl>
              <c:idx val="2"/>
              <c:delete val="1"/>
              <c:extLst>
                <c:ext xmlns:c15="http://schemas.microsoft.com/office/drawing/2012/chart" uri="{CE6537A1-D6FC-4f65-9D91-7224C49458BB}"/>
                <c:ext xmlns:c16="http://schemas.microsoft.com/office/drawing/2014/chart" uri="{C3380CC4-5D6E-409C-BE32-E72D297353CC}">
                  <c16:uniqueId val="{00000001-C27D-42E2-87D5-2F608CDAD395}"/>
                </c:ext>
              </c:extLst>
            </c:dLbl>
            <c:dLbl>
              <c:idx val="3"/>
              <c:delete val="1"/>
              <c:extLst>
                <c:ext xmlns:c15="http://schemas.microsoft.com/office/drawing/2012/chart" uri="{CE6537A1-D6FC-4f65-9D91-7224C49458BB}"/>
                <c:ext xmlns:c16="http://schemas.microsoft.com/office/drawing/2014/chart" uri="{C3380CC4-5D6E-409C-BE32-E72D297353CC}">
                  <c16:uniqueId val="{00000002-C27D-42E2-87D5-2F608CDAD395}"/>
                </c:ext>
              </c:extLst>
            </c:dLbl>
            <c:dLbl>
              <c:idx val="6"/>
              <c:delete val="1"/>
              <c:extLst>
                <c:ext xmlns:c15="http://schemas.microsoft.com/office/drawing/2012/chart" uri="{CE6537A1-D6FC-4f65-9D91-7224C49458BB}"/>
                <c:ext xmlns:c16="http://schemas.microsoft.com/office/drawing/2014/chart" uri="{C3380CC4-5D6E-409C-BE32-E72D297353CC}">
                  <c16:uniqueId val="{00000003-C27D-42E2-87D5-2F608CDAD395}"/>
                </c:ext>
              </c:extLst>
            </c:dLbl>
            <c:dLbl>
              <c:idx val="8"/>
              <c:delete val="1"/>
              <c:extLst>
                <c:ext xmlns:c15="http://schemas.microsoft.com/office/drawing/2012/chart" uri="{CE6537A1-D6FC-4f65-9D91-7224C49458BB}"/>
                <c:ext xmlns:c16="http://schemas.microsoft.com/office/drawing/2014/chart" uri="{C3380CC4-5D6E-409C-BE32-E72D297353CC}">
                  <c16:uniqueId val="{00000004-C27D-42E2-87D5-2F608CDAD395}"/>
                </c:ext>
              </c:extLst>
            </c:dLbl>
            <c:dLbl>
              <c:idx val="9"/>
              <c:delete val="1"/>
              <c:extLst>
                <c:ext xmlns:c15="http://schemas.microsoft.com/office/drawing/2012/chart" uri="{CE6537A1-D6FC-4f65-9D91-7224C49458BB}"/>
                <c:ext xmlns:c16="http://schemas.microsoft.com/office/drawing/2014/chart" uri="{C3380CC4-5D6E-409C-BE32-E72D297353CC}">
                  <c16:uniqueId val="{00000005-C27D-42E2-87D5-2F608CDAD395}"/>
                </c:ext>
              </c:extLst>
            </c:dLbl>
            <c:dLbl>
              <c:idx val="11"/>
              <c:delete val="1"/>
              <c:extLst>
                <c:ext xmlns:c15="http://schemas.microsoft.com/office/drawing/2012/chart" uri="{CE6537A1-D6FC-4f65-9D91-7224C49458BB}"/>
                <c:ext xmlns:c16="http://schemas.microsoft.com/office/drawing/2014/chart" uri="{C3380CC4-5D6E-409C-BE32-E72D297353CC}">
                  <c16:uniqueId val="{00000006-C27D-42E2-87D5-2F608CDAD395}"/>
                </c:ext>
              </c:extLst>
            </c:dLbl>
            <c:dLbl>
              <c:idx val="13"/>
              <c:delete val="1"/>
              <c:extLst>
                <c:ext xmlns:c15="http://schemas.microsoft.com/office/drawing/2012/chart" uri="{CE6537A1-D6FC-4f65-9D91-7224C49458BB}"/>
                <c:ext xmlns:c16="http://schemas.microsoft.com/office/drawing/2014/chart" uri="{C3380CC4-5D6E-409C-BE32-E72D297353CC}">
                  <c16:uniqueId val="{00000007-C27D-42E2-87D5-2F608CDAD395}"/>
                </c:ext>
              </c:extLst>
            </c:dLbl>
            <c:dLbl>
              <c:idx val="14"/>
              <c:delete val="1"/>
              <c:extLst>
                <c:ext xmlns:c15="http://schemas.microsoft.com/office/drawing/2012/chart" uri="{CE6537A1-D6FC-4f65-9D91-7224C49458BB}"/>
                <c:ext xmlns:c16="http://schemas.microsoft.com/office/drawing/2014/chart" uri="{C3380CC4-5D6E-409C-BE32-E72D297353CC}">
                  <c16:uniqueId val="{00000008-C27D-42E2-87D5-2F608CDAD395}"/>
                </c:ext>
              </c:extLst>
            </c:dLbl>
            <c:dLbl>
              <c:idx val="15"/>
              <c:layout>
                <c:manualLayout>
                  <c:x val="-3.6453776611256925E-7"/>
                  <c:y val="1.55038759689922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27D-42E2-87D5-2F608CDAD395}"/>
                </c:ext>
              </c:extLst>
            </c:dLbl>
            <c:dLbl>
              <c:idx val="16"/>
              <c:delete val="1"/>
              <c:extLst>
                <c:ext xmlns:c15="http://schemas.microsoft.com/office/drawing/2012/chart" uri="{CE6537A1-D6FC-4f65-9D91-7224C49458BB}"/>
                <c:ext xmlns:c16="http://schemas.microsoft.com/office/drawing/2014/chart" uri="{C3380CC4-5D6E-409C-BE32-E72D297353CC}">
                  <c16:uniqueId val="{0000000A-C27D-42E2-87D5-2F608CDAD395}"/>
                </c:ext>
              </c:extLst>
            </c:dLbl>
            <c:dLbl>
              <c:idx val="17"/>
              <c:delete val="1"/>
              <c:extLst>
                <c:ext xmlns:c15="http://schemas.microsoft.com/office/drawing/2012/chart" uri="{CE6537A1-D6FC-4f65-9D91-7224C49458BB}"/>
                <c:ext xmlns:c16="http://schemas.microsoft.com/office/drawing/2014/chart" uri="{C3380CC4-5D6E-409C-BE32-E72D297353CC}">
                  <c16:uniqueId val="{0000000B-C27D-42E2-87D5-2F608CDAD395}"/>
                </c:ext>
              </c:extLst>
            </c:dLbl>
            <c:dLbl>
              <c:idx val="18"/>
              <c:layout>
                <c:manualLayout>
                  <c:x val="1.3888888888888888E-2"/>
                  <c:y val="3.875968992248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27D-42E2-87D5-2F608CDAD395}"/>
                </c:ext>
              </c:extLst>
            </c:dLbl>
            <c:dLbl>
              <c:idx val="19"/>
              <c:delete val="1"/>
              <c:extLst>
                <c:ext xmlns:c15="http://schemas.microsoft.com/office/drawing/2012/chart" uri="{CE6537A1-D6FC-4f65-9D91-7224C49458BB}"/>
                <c:ext xmlns:c16="http://schemas.microsoft.com/office/drawing/2014/chart" uri="{C3380CC4-5D6E-409C-BE32-E72D297353CC}">
                  <c16:uniqueId val="{0000000D-C27D-42E2-87D5-2F608CDAD395}"/>
                </c:ext>
              </c:extLst>
            </c:dLbl>
            <c:dLbl>
              <c:idx val="20"/>
              <c:delete val="1"/>
              <c:extLst>
                <c:ext xmlns:c15="http://schemas.microsoft.com/office/drawing/2012/chart" uri="{CE6537A1-D6FC-4f65-9D91-7224C49458BB}"/>
                <c:ext xmlns:c16="http://schemas.microsoft.com/office/drawing/2014/chart" uri="{C3380CC4-5D6E-409C-BE32-E72D297353CC}">
                  <c16:uniqueId val="{0000000E-C27D-42E2-87D5-2F608CDAD395}"/>
                </c:ext>
              </c:extLst>
            </c:dLbl>
            <c:dLbl>
              <c:idx val="21"/>
              <c:delete val="1"/>
              <c:extLst>
                <c:ext xmlns:c15="http://schemas.microsoft.com/office/drawing/2012/chart" uri="{CE6537A1-D6FC-4f65-9D91-7224C49458BB}"/>
                <c:ext xmlns:c16="http://schemas.microsoft.com/office/drawing/2014/chart" uri="{C3380CC4-5D6E-409C-BE32-E72D297353CC}">
                  <c16:uniqueId val="{0000000F-C27D-42E2-87D5-2F608CDAD395}"/>
                </c:ext>
              </c:extLst>
            </c:dLbl>
            <c:dLbl>
              <c:idx val="22"/>
              <c:delete val="1"/>
              <c:extLst>
                <c:ext xmlns:c15="http://schemas.microsoft.com/office/drawing/2012/chart" uri="{CE6537A1-D6FC-4f65-9D91-7224C49458BB}"/>
                <c:ext xmlns:c16="http://schemas.microsoft.com/office/drawing/2014/chart" uri="{C3380CC4-5D6E-409C-BE32-E72D297353CC}">
                  <c16:uniqueId val="{00000010-C27D-42E2-87D5-2F608CDAD395}"/>
                </c:ext>
              </c:extLst>
            </c:dLbl>
            <c:dLbl>
              <c:idx val="23"/>
              <c:delete val="1"/>
              <c:extLst>
                <c:ext xmlns:c15="http://schemas.microsoft.com/office/drawing/2012/chart" uri="{CE6537A1-D6FC-4f65-9D91-7224C49458BB}"/>
                <c:ext xmlns:c16="http://schemas.microsoft.com/office/drawing/2014/chart" uri="{C3380CC4-5D6E-409C-BE32-E72D297353CC}">
                  <c16:uniqueId val="{00000011-C27D-42E2-87D5-2F608CDAD395}"/>
                </c:ext>
              </c:extLst>
            </c:dLbl>
            <c:dLbl>
              <c:idx val="24"/>
              <c:layout>
                <c:manualLayout>
                  <c:x val="0"/>
                  <c:y val="4.6511627906976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27D-42E2-87D5-2F608CDAD395}"/>
                </c:ext>
              </c:extLst>
            </c:dLbl>
            <c:numFmt formatCode="#,##0.0" sourceLinked="0"/>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Taiwan!$I$3:$I$27</c:f>
              <c:numCache>
                <c:formatCode>General</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Taiwan!$J$3:$J$27</c:f>
              <c:numCache>
                <c:formatCode>0.00</c:formatCode>
                <c:ptCount val="25"/>
                <c:pt idx="0">
                  <c:v>7.9566666666666661</c:v>
                </c:pt>
                <c:pt idx="1">
                  <c:v>7.9933333333333332</c:v>
                </c:pt>
                <c:pt idx="2">
                  <c:v>8.0300000000000011</c:v>
                </c:pt>
                <c:pt idx="3">
                  <c:v>8.0666666666666682</c:v>
                </c:pt>
                <c:pt idx="4">
                  <c:v>8.1033333333333335</c:v>
                </c:pt>
                <c:pt idx="5">
                  <c:v>7.3</c:v>
                </c:pt>
                <c:pt idx="6">
                  <c:v>7.4466666666666663</c:v>
                </c:pt>
                <c:pt idx="7">
                  <c:v>7.9766666666666666</c:v>
                </c:pt>
                <c:pt idx="8">
                  <c:v>7.6733333333333329</c:v>
                </c:pt>
                <c:pt idx="9">
                  <c:v>7.6033333333333326</c:v>
                </c:pt>
                <c:pt idx="10">
                  <c:v>7.5033333333333339</c:v>
                </c:pt>
                <c:pt idx="11">
                  <c:v>6.4866666666666672</c:v>
                </c:pt>
                <c:pt idx="12">
                  <c:v>6.1566666666666663</c:v>
                </c:pt>
                <c:pt idx="13">
                  <c:v>5.7033333333333331</c:v>
                </c:pt>
                <c:pt idx="14">
                  <c:v>5.7233333333333336</c:v>
                </c:pt>
                <c:pt idx="15">
                  <c:v>5.6000000000000005</c:v>
                </c:pt>
                <c:pt idx="16">
                  <c:v>5.4633333333333338</c:v>
                </c:pt>
                <c:pt idx="17">
                  <c:v>5.5566666666666658</c:v>
                </c:pt>
                <c:pt idx="18">
                  <c:v>5.53</c:v>
                </c:pt>
                <c:pt idx="19">
                  <c:v>5.5466666666666669</c:v>
                </c:pt>
                <c:pt idx="20">
                  <c:v>5.5633333333333326</c:v>
                </c:pt>
                <c:pt idx="21">
                  <c:v>5.3900000000000006</c:v>
                </c:pt>
                <c:pt idx="22">
                  <c:v>5.2166666666666659</c:v>
                </c:pt>
                <c:pt idx="23">
                  <c:v>5.203333333333334</c:v>
                </c:pt>
                <c:pt idx="24">
                  <c:v>5.1966666666666663</c:v>
                </c:pt>
              </c:numCache>
            </c:numRef>
          </c:val>
          <c:smooth val="0"/>
          <c:extLst>
            <c:ext xmlns:c16="http://schemas.microsoft.com/office/drawing/2014/chart" uri="{C3380CC4-5D6E-409C-BE32-E72D297353CC}">
              <c16:uniqueId val="{00000013-C27D-42E2-87D5-2F608CDAD395}"/>
            </c:ext>
          </c:extLst>
        </c:ser>
        <c:ser>
          <c:idx val="0"/>
          <c:order val="1"/>
          <c:tx>
            <c:strRef>
              <c:f>Taiwan!$K$2</c:f>
              <c:strCache>
                <c:ptCount val="1"/>
                <c:pt idx="0">
                  <c:v>Consumer Goods</c:v>
                </c:pt>
              </c:strCache>
            </c:strRef>
          </c:tx>
          <c:spPr>
            <a:ln>
              <a:solidFill>
                <a:schemeClr val="tx2"/>
              </a:solidFill>
            </a:ln>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14-C27D-42E2-87D5-2F608CDAD395}"/>
                </c:ext>
              </c:extLst>
            </c:dLbl>
            <c:dLbl>
              <c:idx val="2"/>
              <c:delete val="1"/>
              <c:extLst>
                <c:ext xmlns:c15="http://schemas.microsoft.com/office/drawing/2012/chart" uri="{CE6537A1-D6FC-4f65-9D91-7224C49458BB}"/>
                <c:ext xmlns:c16="http://schemas.microsoft.com/office/drawing/2014/chart" uri="{C3380CC4-5D6E-409C-BE32-E72D297353CC}">
                  <c16:uniqueId val="{00000015-C27D-42E2-87D5-2F608CDAD395}"/>
                </c:ext>
              </c:extLst>
            </c:dLbl>
            <c:dLbl>
              <c:idx val="4"/>
              <c:delete val="1"/>
              <c:extLst>
                <c:ext xmlns:c15="http://schemas.microsoft.com/office/drawing/2012/chart" uri="{CE6537A1-D6FC-4f65-9D91-7224C49458BB}"/>
                <c:ext xmlns:c16="http://schemas.microsoft.com/office/drawing/2014/chart" uri="{C3380CC4-5D6E-409C-BE32-E72D297353CC}">
                  <c16:uniqueId val="{00000016-C27D-42E2-87D5-2F608CDAD395}"/>
                </c:ext>
              </c:extLst>
            </c:dLbl>
            <c:dLbl>
              <c:idx val="5"/>
              <c:delete val="1"/>
              <c:extLst>
                <c:ext xmlns:c15="http://schemas.microsoft.com/office/drawing/2012/chart" uri="{CE6537A1-D6FC-4f65-9D91-7224C49458BB}"/>
                <c:ext xmlns:c16="http://schemas.microsoft.com/office/drawing/2014/chart" uri="{C3380CC4-5D6E-409C-BE32-E72D297353CC}">
                  <c16:uniqueId val="{00000017-C27D-42E2-87D5-2F608CDAD395}"/>
                </c:ext>
              </c:extLst>
            </c:dLbl>
            <c:dLbl>
              <c:idx val="7"/>
              <c:delete val="1"/>
              <c:extLst>
                <c:ext xmlns:c15="http://schemas.microsoft.com/office/drawing/2012/chart" uri="{CE6537A1-D6FC-4f65-9D91-7224C49458BB}"/>
                <c:ext xmlns:c16="http://schemas.microsoft.com/office/drawing/2014/chart" uri="{C3380CC4-5D6E-409C-BE32-E72D297353CC}">
                  <c16:uniqueId val="{00000018-C27D-42E2-87D5-2F608CDAD395}"/>
                </c:ext>
              </c:extLst>
            </c:dLbl>
            <c:dLbl>
              <c:idx val="8"/>
              <c:delete val="1"/>
              <c:extLst>
                <c:ext xmlns:c15="http://schemas.microsoft.com/office/drawing/2012/chart" uri="{CE6537A1-D6FC-4f65-9D91-7224C49458BB}"/>
                <c:ext xmlns:c16="http://schemas.microsoft.com/office/drawing/2014/chart" uri="{C3380CC4-5D6E-409C-BE32-E72D297353CC}">
                  <c16:uniqueId val="{00000019-C27D-42E2-87D5-2F608CDAD395}"/>
                </c:ext>
              </c:extLst>
            </c:dLbl>
            <c:dLbl>
              <c:idx val="10"/>
              <c:delete val="1"/>
              <c:extLst>
                <c:ext xmlns:c15="http://schemas.microsoft.com/office/drawing/2012/chart" uri="{CE6537A1-D6FC-4f65-9D91-7224C49458BB}"/>
                <c:ext xmlns:c16="http://schemas.microsoft.com/office/drawing/2014/chart" uri="{C3380CC4-5D6E-409C-BE32-E72D297353CC}">
                  <c16:uniqueId val="{0000001A-C27D-42E2-87D5-2F608CDAD395}"/>
                </c:ext>
              </c:extLst>
            </c:dLbl>
            <c:dLbl>
              <c:idx val="13"/>
              <c:delete val="1"/>
              <c:extLst>
                <c:ext xmlns:c15="http://schemas.microsoft.com/office/drawing/2012/chart" uri="{CE6537A1-D6FC-4f65-9D91-7224C49458BB}"/>
                <c:ext xmlns:c16="http://schemas.microsoft.com/office/drawing/2014/chart" uri="{C3380CC4-5D6E-409C-BE32-E72D297353CC}">
                  <c16:uniqueId val="{0000001B-C27D-42E2-87D5-2F608CDAD395}"/>
                </c:ext>
              </c:extLst>
            </c:dLbl>
            <c:dLbl>
              <c:idx val="14"/>
              <c:delete val="1"/>
              <c:extLst>
                <c:ext xmlns:c15="http://schemas.microsoft.com/office/drawing/2012/chart" uri="{CE6537A1-D6FC-4f65-9D91-7224C49458BB}"/>
                <c:ext xmlns:c16="http://schemas.microsoft.com/office/drawing/2014/chart" uri="{C3380CC4-5D6E-409C-BE32-E72D297353CC}">
                  <c16:uniqueId val="{0000001C-C27D-42E2-87D5-2F608CDAD395}"/>
                </c:ext>
              </c:extLst>
            </c:dLbl>
            <c:dLbl>
              <c:idx val="16"/>
              <c:delete val="1"/>
              <c:extLst>
                <c:ext xmlns:c15="http://schemas.microsoft.com/office/drawing/2012/chart" uri="{CE6537A1-D6FC-4f65-9D91-7224C49458BB}"/>
                <c:ext xmlns:c16="http://schemas.microsoft.com/office/drawing/2014/chart" uri="{C3380CC4-5D6E-409C-BE32-E72D297353CC}">
                  <c16:uniqueId val="{0000001D-C27D-42E2-87D5-2F608CDAD395}"/>
                </c:ext>
              </c:extLst>
            </c:dLbl>
            <c:dLbl>
              <c:idx val="17"/>
              <c:delete val="1"/>
              <c:extLst>
                <c:ext xmlns:c15="http://schemas.microsoft.com/office/drawing/2012/chart" uri="{CE6537A1-D6FC-4f65-9D91-7224C49458BB}"/>
                <c:ext xmlns:c16="http://schemas.microsoft.com/office/drawing/2014/chart" uri="{C3380CC4-5D6E-409C-BE32-E72D297353CC}">
                  <c16:uniqueId val="{0000001E-C27D-42E2-87D5-2F608CDAD395}"/>
                </c:ext>
              </c:extLst>
            </c:dLbl>
            <c:dLbl>
              <c:idx val="19"/>
              <c:delete val="1"/>
              <c:extLst>
                <c:ext xmlns:c15="http://schemas.microsoft.com/office/drawing/2012/chart" uri="{CE6537A1-D6FC-4f65-9D91-7224C49458BB}"/>
                <c:ext xmlns:c16="http://schemas.microsoft.com/office/drawing/2014/chart" uri="{C3380CC4-5D6E-409C-BE32-E72D297353CC}">
                  <c16:uniqueId val="{0000001F-C27D-42E2-87D5-2F608CDAD395}"/>
                </c:ext>
              </c:extLst>
            </c:dLbl>
            <c:dLbl>
              <c:idx val="20"/>
              <c:delete val="1"/>
              <c:extLst>
                <c:ext xmlns:c15="http://schemas.microsoft.com/office/drawing/2012/chart" uri="{CE6537A1-D6FC-4f65-9D91-7224C49458BB}"/>
                <c:ext xmlns:c16="http://schemas.microsoft.com/office/drawing/2014/chart" uri="{C3380CC4-5D6E-409C-BE32-E72D297353CC}">
                  <c16:uniqueId val="{00000020-C27D-42E2-87D5-2F608CDAD395}"/>
                </c:ext>
              </c:extLst>
            </c:dLbl>
            <c:dLbl>
              <c:idx val="21"/>
              <c:delete val="1"/>
              <c:extLst>
                <c:ext xmlns:c15="http://schemas.microsoft.com/office/drawing/2012/chart" uri="{CE6537A1-D6FC-4f65-9D91-7224C49458BB}"/>
                <c:ext xmlns:c16="http://schemas.microsoft.com/office/drawing/2014/chart" uri="{C3380CC4-5D6E-409C-BE32-E72D297353CC}">
                  <c16:uniqueId val="{00000021-C27D-42E2-87D5-2F608CDAD395}"/>
                </c:ext>
              </c:extLst>
            </c:dLbl>
            <c:dLbl>
              <c:idx val="22"/>
              <c:delete val="1"/>
              <c:extLst>
                <c:ext xmlns:c15="http://schemas.microsoft.com/office/drawing/2012/chart" uri="{CE6537A1-D6FC-4f65-9D91-7224C49458BB}"/>
                <c:ext xmlns:c16="http://schemas.microsoft.com/office/drawing/2014/chart" uri="{C3380CC4-5D6E-409C-BE32-E72D297353CC}">
                  <c16:uniqueId val="{00000022-C27D-42E2-87D5-2F608CDAD395}"/>
                </c:ext>
              </c:extLst>
            </c:dLbl>
            <c:numFmt formatCode="#,##0.0" sourceLinked="0"/>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Taiwan!$I$3:$I$27</c:f>
              <c:numCache>
                <c:formatCode>General</c:formatCode>
                <c:ptCount val="25"/>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numCache>
            </c:numRef>
          </c:cat>
          <c:val>
            <c:numRef>
              <c:f>Taiwan!$K$3:$K$27</c:f>
              <c:numCache>
                <c:formatCode>0.00</c:formatCode>
                <c:ptCount val="25"/>
                <c:pt idx="0">
                  <c:v>11.28</c:v>
                </c:pt>
                <c:pt idx="1">
                  <c:v>11.1975</c:v>
                </c:pt>
                <c:pt idx="2">
                  <c:v>11.115</c:v>
                </c:pt>
                <c:pt idx="3">
                  <c:v>11.032500000000001</c:v>
                </c:pt>
                <c:pt idx="4">
                  <c:v>10.95</c:v>
                </c:pt>
                <c:pt idx="5">
                  <c:v>10.36</c:v>
                </c:pt>
                <c:pt idx="6">
                  <c:v>10.39</c:v>
                </c:pt>
                <c:pt idx="7">
                  <c:v>10.98</c:v>
                </c:pt>
                <c:pt idx="8">
                  <c:v>10.36</c:v>
                </c:pt>
                <c:pt idx="9">
                  <c:v>10.35</c:v>
                </c:pt>
                <c:pt idx="10">
                  <c:v>10.29</c:v>
                </c:pt>
                <c:pt idx="11">
                  <c:v>9.43</c:v>
                </c:pt>
                <c:pt idx="12">
                  <c:v>8.3800000000000008</c:v>
                </c:pt>
                <c:pt idx="13">
                  <c:v>7.96</c:v>
                </c:pt>
                <c:pt idx="14">
                  <c:v>7.85</c:v>
                </c:pt>
                <c:pt idx="15">
                  <c:v>7.68</c:v>
                </c:pt>
                <c:pt idx="16">
                  <c:v>7.4</c:v>
                </c:pt>
                <c:pt idx="17">
                  <c:v>7.68</c:v>
                </c:pt>
                <c:pt idx="18">
                  <c:v>7.69</c:v>
                </c:pt>
                <c:pt idx="19">
                  <c:v>7.54</c:v>
                </c:pt>
                <c:pt idx="20">
                  <c:v>7.39</c:v>
                </c:pt>
                <c:pt idx="21">
                  <c:v>7.51</c:v>
                </c:pt>
                <c:pt idx="22">
                  <c:v>7.63</c:v>
                </c:pt>
                <c:pt idx="23">
                  <c:v>7.62</c:v>
                </c:pt>
                <c:pt idx="24">
                  <c:v>7.62</c:v>
                </c:pt>
              </c:numCache>
            </c:numRef>
          </c:val>
          <c:smooth val="0"/>
          <c:extLst>
            <c:ext xmlns:c16="http://schemas.microsoft.com/office/drawing/2014/chart" uri="{C3380CC4-5D6E-409C-BE32-E72D297353CC}">
              <c16:uniqueId val="{00000023-C27D-42E2-87D5-2F608CDAD395}"/>
            </c:ext>
          </c:extLst>
        </c:ser>
        <c:dLbls>
          <c:showLegendKey val="0"/>
          <c:showVal val="0"/>
          <c:showCatName val="0"/>
          <c:showSerName val="0"/>
          <c:showPercent val="0"/>
          <c:showBubbleSize val="0"/>
        </c:dLbls>
        <c:smooth val="0"/>
        <c:axId val="1843769456"/>
        <c:axId val="1843768368"/>
      </c:lineChart>
      <c:valAx>
        <c:axId val="1843768368"/>
        <c:scaling>
          <c:orientation val="minMax"/>
        </c:scaling>
        <c:delete val="0"/>
        <c:axPos val="l"/>
        <c:majorGridlines/>
        <c:title>
          <c:tx>
            <c:rich>
              <a:bodyPr rot="0" vert="horz"/>
              <a:lstStyle/>
              <a:p>
                <a:pPr algn="l">
                  <a:defRPr/>
                </a:pPr>
                <a:r>
                  <a:rPr lang="en-US" sz="800" b="0"/>
                  <a:t>Tariff Rate (%)</a:t>
                </a:r>
              </a:p>
            </c:rich>
          </c:tx>
          <c:layout>
            <c:manualLayout>
              <c:xMode val="edge"/>
              <c:yMode val="edge"/>
              <c:x val="2.5000008202102436E-2"/>
              <c:y val="4.1170491386517509E-3"/>
            </c:manualLayout>
          </c:layout>
          <c:overlay val="0"/>
        </c:title>
        <c:numFmt formatCode="#,##0" sourceLinked="0"/>
        <c:majorTickMark val="none"/>
        <c:minorTickMark val="none"/>
        <c:tickLblPos val="nextTo"/>
        <c:spPr>
          <a:ln w="9525">
            <a:noFill/>
          </a:ln>
        </c:spPr>
        <c:txPr>
          <a:bodyPr/>
          <a:lstStyle/>
          <a:p>
            <a:pPr>
              <a:defRPr sz="800"/>
            </a:pPr>
            <a:endParaRPr lang="en-US"/>
          </a:p>
        </c:txPr>
        <c:crossAx val="1843769456"/>
        <c:crosses val="autoZero"/>
        <c:crossBetween val="between"/>
        <c:majorUnit val="3"/>
      </c:valAx>
      <c:catAx>
        <c:axId val="1843769456"/>
        <c:scaling>
          <c:orientation val="minMax"/>
        </c:scaling>
        <c:delete val="0"/>
        <c:axPos val="b"/>
        <c:numFmt formatCode="General" sourceLinked="1"/>
        <c:majorTickMark val="none"/>
        <c:minorTickMark val="none"/>
        <c:tickLblPos val="nextTo"/>
        <c:txPr>
          <a:bodyPr rot="-5400000" vert="horz"/>
          <a:lstStyle/>
          <a:p>
            <a:pPr>
              <a:defRPr sz="800"/>
            </a:pPr>
            <a:endParaRPr lang="en-US"/>
          </a:p>
        </c:txPr>
        <c:crossAx val="1843768368"/>
        <c:crosses val="autoZero"/>
        <c:auto val="0"/>
        <c:lblAlgn val="ctr"/>
        <c:lblOffset val="0"/>
        <c:tickLblSkip val="2"/>
        <c:tickMarkSkip val="1"/>
        <c:noMultiLvlLbl val="0"/>
      </c:catAx>
      <c:spPr>
        <a:gradFill flip="none" rotWithShape="1">
          <a:gsLst>
            <a:gs pos="0">
              <a:srgbClr val="5E9EFF"/>
            </a:gs>
            <a:gs pos="39999">
              <a:srgbClr val="85C2FF"/>
            </a:gs>
            <a:gs pos="70000">
              <a:srgbClr val="C4D6EB"/>
            </a:gs>
            <a:gs pos="100000">
              <a:srgbClr val="FFEBFA"/>
            </a:gs>
          </a:gsLst>
          <a:lin ang="2700000" scaled="0"/>
          <a:tileRect/>
        </a:gradFill>
      </c:spPr>
    </c:plotArea>
    <c:legend>
      <c:legendPos val="b"/>
      <c:layout>
        <c:manualLayout>
          <c:xMode val="edge"/>
          <c:yMode val="edge"/>
          <c:x val="0.16873505395158939"/>
          <c:y val="3.3586644692669233E-2"/>
          <c:w val="0.77364063867016619"/>
          <c:h val="0.12145211499725325"/>
        </c:manualLayout>
      </c:layout>
      <c:overlay val="0"/>
      <c:txPr>
        <a:bodyPr/>
        <a:lstStyle/>
        <a:p>
          <a:pPr>
            <a:defRPr sz="800"/>
          </a:pPr>
          <a:endParaRPr lang="en-US"/>
        </a:p>
      </c:txPr>
    </c:legend>
    <c:plotVisOnly val="1"/>
    <c:dispBlanksAs val="gap"/>
    <c:showDLblsOverMax val="0"/>
  </c:chart>
  <c:spPr>
    <a:solidFill>
      <a:srgbClr val="1F497D">
        <a:lumMod val="20000"/>
        <a:lumOff val="80000"/>
      </a:srgbClr>
    </a:solid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485023930832181E-2"/>
          <c:y val="0.17302644861700101"/>
          <c:w val="0.87512544387833868"/>
          <c:h val="0.67586838937950433"/>
        </c:manualLayout>
      </c:layout>
      <c:lineChart>
        <c:grouping val="standard"/>
        <c:varyColors val="0"/>
        <c:ser>
          <c:idx val="1"/>
          <c:order val="0"/>
          <c:tx>
            <c:strRef>
              <c:f>Vietnam!$J$18</c:f>
              <c:strCache>
                <c:ptCount val="1"/>
                <c:pt idx="0">
                  <c:v>Inputs</c:v>
                </c:pt>
              </c:strCache>
            </c:strRef>
          </c:tx>
          <c:spPr>
            <a:ln w="41275">
              <a:prstDash val="sysDot"/>
            </a:ln>
          </c:spPr>
          <c:marker>
            <c:symbol val="none"/>
          </c:marker>
          <c:dLbls>
            <c:dLbl>
              <c:idx val="0"/>
              <c:layout>
                <c:manualLayout>
                  <c:x val="-5.1745142595430602E-2"/>
                  <c:y val="7.760279965004374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CA-40A6-AA9D-7DF672A09205}"/>
                </c:ext>
              </c:extLst>
            </c:dLbl>
            <c:dLbl>
              <c:idx val="1"/>
              <c:delete val="1"/>
              <c:extLst>
                <c:ext xmlns:c15="http://schemas.microsoft.com/office/drawing/2012/chart" uri="{CE6537A1-D6FC-4f65-9D91-7224C49458BB}"/>
                <c:ext xmlns:c16="http://schemas.microsoft.com/office/drawing/2014/chart" uri="{C3380CC4-5D6E-409C-BE32-E72D297353CC}">
                  <c16:uniqueId val="{00000001-1BCA-40A6-AA9D-7DF672A09205}"/>
                </c:ext>
              </c:extLst>
            </c:dLbl>
            <c:dLbl>
              <c:idx val="2"/>
              <c:delete val="1"/>
              <c:extLst>
                <c:ext xmlns:c15="http://schemas.microsoft.com/office/drawing/2012/chart" uri="{CE6537A1-D6FC-4f65-9D91-7224C49458BB}"/>
                <c:ext xmlns:c16="http://schemas.microsoft.com/office/drawing/2014/chart" uri="{C3380CC4-5D6E-409C-BE32-E72D297353CC}">
                  <c16:uniqueId val="{00000002-1BCA-40A6-AA9D-7DF672A09205}"/>
                </c:ext>
              </c:extLst>
            </c:dLbl>
            <c:dLbl>
              <c:idx val="3"/>
              <c:layout>
                <c:manualLayout>
                  <c:x val="-6.0816642886082191E-2"/>
                  <c:y val="-4.08508311461066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CA-40A6-AA9D-7DF672A09205}"/>
                </c:ext>
              </c:extLst>
            </c:dLbl>
            <c:dLbl>
              <c:idx val="4"/>
              <c:delete val="1"/>
              <c:extLst>
                <c:ext xmlns:c15="http://schemas.microsoft.com/office/drawing/2012/chart" uri="{CE6537A1-D6FC-4f65-9D91-7224C49458BB}"/>
                <c:ext xmlns:c16="http://schemas.microsoft.com/office/drawing/2014/chart" uri="{C3380CC4-5D6E-409C-BE32-E72D297353CC}">
                  <c16:uniqueId val="{00000004-1BCA-40A6-AA9D-7DF672A09205}"/>
                </c:ext>
              </c:extLst>
            </c:dLbl>
            <c:dLbl>
              <c:idx val="5"/>
              <c:delete val="1"/>
              <c:extLst>
                <c:ext xmlns:c15="http://schemas.microsoft.com/office/drawing/2012/chart" uri="{CE6537A1-D6FC-4f65-9D91-7224C49458BB}"/>
                <c:ext xmlns:c16="http://schemas.microsoft.com/office/drawing/2014/chart" uri="{C3380CC4-5D6E-409C-BE32-E72D297353CC}">
                  <c16:uniqueId val="{00000005-1BCA-40A6-AA9D-7DF672A09205}"/>
                </c:ext>
              </c:extLst>
            </c:dLbl>
            <c:dLbl>
              <c:idx val="6"/>
              <c:layout>
                <c:manualLayout>
                  <c:x val="-6.5290915816730966E-2"/>
                  <c:y val="-4.77952755905511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CA-40A6-AA9D-7DF672A09205}"/>
                </c:ext>
              </c:extLst>
            </c:dLbl>
            <c:dLbl>
              <c:idx val="7"/>
              <c:delete val="1"/>
              <c:extLst>
                <c:ext xmlns:c15="http://schemas.microsoft.com/office/drawing/2012/chart" uri="{CE6537A1-D6FC-4f65-9D91-7224C49458BB}"/>
                <c:ext xmlns:c16="http://schemas.microsoft.com/office/drawing/2014/chart" uri="{C3380CC4-5D6E-409C-BE32-E72D297353CC}">
                  <c16:uniqueId val="{00000007-1BCA-40A6-AA9D-7DF672A09205}"/>
                </c:ext>
              </c:extLst>
            </c:dLbl>
            <c:dLbl>
              <c:idx val="8"/>
              <c:delete val="1"/>
              <c:extLst>
                <c:ext xmlns:c15="http://schemas.microsoft.com/office/drawing/2012/chart" uri="{CE6537A1-D6FC-4f65-9D91-7224C49458BB}"/>
                <c:ext xmlns:c16="http://schemas.microsoft.com/office/drawing/2014/chart" uri="{C3380CC4-5D6E-409C-BE32-E72D297353CC}">
                  <c16:uniqueId val="{00000008-1BCA-40A6-AA9D-7DF672A09205}"/>
                </c:ext>
              </c:extLst>
            </c:dLbl>
            <c:dLbl>
              <c:idx val="9"/>
              <c:layout>
                <c:manualLayout>
                  <c:x val="-3.3848050872835524E-2"/>
                  <c:y val="2.85936132983377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BCA-40A6-AA9D-7DF672A09205}"/>
                </c:ext>
              </c:extLst>
            </c:dLbl>
            <c:dLbl>
              <c:idx val="10"/>
              <c:delete val="1"/>
              <c:extLst>
                <c:ext xmlns:c15="http://schemas.microsoft.com/office/drawing/2012/chart" uri="{CE6537A1-D6FC-4f65-9D91-7224C49458BB}"/>
                <c:ext xmlns:c16="http://schemas.microsoft.com/office/drawing/2014/chart" uri="{C3380CC4-5D6E-409C-BE32-E72D297353CC}">
                  <c16:uniqueId val="{0000000A-1BCA-40A6-AA9D-7DF672A09205}"/>
                </c:ext>
              </c:extLst>
            </c:dLbl>
            <c:dLbl>
              <c:idx val="11"/>
              <c:layout>
                <c:manualLayout>
                  <c:x val="-3.8322323803484298E-2"/>
                  <c:y val="1.4704724409448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BCA-40A6-AA9D-7DF672A09205}"/>
                </c:ext>
              </c:extLst>
            </c:dLbl>
            <c:dLbl>
              <c:idx val="12"/>
              <c:delete val="1"/>
              <c:extLst>
                <c:ext xmlns:c15="http://schemas.microsoft.com/office/drawing/2012/chart" uri="{CE6537A1-D6FC-4f65-9D91-7224C49458BB}"/>
                <c:ext xmlns:c16="http://schemas.microsoft.com/office/drawing/2014/chart" uri="{C3380CC4-5D6E-409C-BE32-E72D297353CC}">
                  <c16:uniqueId val="{0000000C-1BCA-40A6-AA9D-7DF672A09205}"/>
                </c:ext>
              </c:extLst>
            </c:dLbl>
            <c:dLbl>
              <c:idx val="13"/>
              <c:layout>
                <c:manualLayout>
                  <c:x val="-4.7270869664781751E-2"/>
                  <c:y val="2.85936132983377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BCA-40A6-AA9D-7DF672A09205}"/>
                </c:ext>
              </c:extLst>
            </c:dLbl>
            <c:dLbl>
              <c:idx val="14"/>
              <c:delete val="1"/>
              <c:extLst>
                <c:ext xmlns:c15="http://schemas.microsoft.com/office/drawing/2012/chart" uri="{CE6537A1-D6FC-4f65-9D91-7224C49458BB}"/>
                <c:ext xmlns:c16="http://schemas.microsoft.com/office/drawing/2014/chart" uri="{C3380CC4-5D6E-409C-BE32-E72D297353CC}">
                  <c16:uniqueId val="{0000000E-1BCA-40A6-AA9D-7DF672A09205}"/>
                </c:ext>
              </c:extLst>
            </c:dLbl>
            <c:dLbl>
              <c:idx val="15"/>
              <c:layout>
                <c:manualLayout>
                  <c:x val="-4.2796596734133066E-2"/>
                  <c:y val="2.16491688538932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BCA-40A6-AA9D-7DF672A09205}"/>
                </c:ext>
              </c:extLst>
            </c:dLbl>
            <c:dLbl>
              <c:idx val="16"/>
              <c:delete val="1"/>
              <c:extLst>
                <c:ext xmlns:c15="http://schemas.microsoft.com/office/drawing/2012/chart" uri="{CE6537A1-D6FC-4f65-9D91-7224C49458BB}"/>
                <c:ext xmlns:c16="http://schemas.microsoft.com/office/drawing/2014/chart" uri="{C3380CC4-5D6E-409C-BE32-E72D297353CC}">
                  <c16:uniqueId val="{00000010-1BCA-40A6-AA9D-7DF672A09205}"/>
                </c:ext>
              </c:extLst>
            </c:dLbl>
            <c:dLbl>
              <c:idx val="17"/>
              <c:layout>
                <c:manualLayout>
                  <c:x val="-2.8423259173140269E-2"/>
                  <c:y val="7.760279965004374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BCA-40A6-AA9D-7DF672A09205}"/>
                </c:ext>
              </c:extLst>
            </c:dLbl>
            <c:spPr>
              <a:noFill/>
              <a:ln>
                <a:noFill/>
              </a:ln>
              <a:effectLst/>
            </c:spPr>
            <c:txPr>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Vietnam!$I$19:$I$36</c:f>
              <c:numCache>
                <c:formatCode>General</c:formatCode>
                <c:ptCount val="18"/>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Vietnam!$J$19:$J$36</c:f>
              <c:numCache>
                <c:formatCode>0.0</c:formatCode>
                <c:ptCount val="18"/>
                <c:pt idx="0">
                  <c:v>9.086666666666666</c:v>
                </c:pt>
                <c:pt idx="1">
                  <c:v>9.57</c:v>
                </c:pt>
                <c:pt idx="2">
                  <c:v>10.053333333333333</c:v>
                </c:pt>
                <c:pt idx="3">
                  <c:v>10.116666666666665</c:v>
                </c:pt>
                <c:pt idx="4">
                  <c:v>10.743333333333332</c:v>
                </c:pt>
                <c:pt idx="5">
                  <c:v>10.799999999999999</c:v>
                </c:pt>
                <c:pt idx="6">
                  <c:v>10.926666666666668</c:v>
                </c:pt>
                <c:pt idx="7">
                  <c:v>10.813333333333333</c:v>
                </c:pt>
                <c:pt idx="8">
                  <c:v>10.903333333333334</c:v>
                </c:pt>
                <c:pt idx="9">
                  <c:v>7.6133333333333342</c:v>
                </c:pt>
                <c:pt idx="10">
                  <c:v>7.29</c:v>
                </c:pt>
                <c:pt idx="11">
                  <c:v>6.5066666666666668</c:v>
                </c:pt>
                <c:pt idx="12">
                  <c:v>6.3466666666666667</c:v>
                </c:pt>
                <c:pt idx="13">
                  <c:v>6.19</c:v>
                </c:pt>
                <c:pt idx="14">
                  <c:v>6.1933333333333325</c:v>
                </c:pt>
                <c:pt idx="15">
                  <c:v>6.2833333333333341</c:v>
                </c:pt>
                <c:pt idx="16">
                  <c:v>6.11</c:v>
                </c:pt>
                <c:pt idx="17">
                  <c:v>6.4099999999999993</c:v>
                </c:pt>
              </c:numCache>
            </c:numRef>
          </c:val>
          <c:smooth val="0"/>
          <c:extLst>
            <c:ext xmlns:c16="http://schemas.microsoft.com/office/drawing/2014/chart" uri="{C3380CC4-5D6E-409C-BE32-E72D297353CC}">
              <c16:uniqueId val="{00000012-1BCA-40A6-AA9D-7DF672A09205}"/>
            </c:ext>
          </c:extLst>
        </c:ser>
        <c:ser>
          <c:idx val="2"/>
          <c:order val="1"/>
          <c:tx>
            <c:strRef>
              <c:f>Vietnam!$K$18</c:f>
              <c:strCache>
                <c:ptCount val="1"/>
                <c:pt idx="0">
                  <c:v>Consumer Goods</c:v>
                </c:pt>
              </c:strCache>
            </c:strRef>
          </c:tx>
          <c:spPr>
            <a:ln>
              <a:solidFill>
                <a:schemeClr val="tx2"/>
              </a:solidFill>
            </a:ln>
          </c:spPr>
          <c:marker>
            <c:symbol val="none"/>
          </c:marker>
          <c:dLbls>
            <c:dLbl>
              <c:idx val="0"/>
              <c:layout>
                <c:manualLayout>
                  <c:x val="-5.1868097024784662E-2"/>
                  <c:y val="4.08798118985126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BCA-40A6-AA9D-7DF672A09205}"/>
                </c:ext>
              </c:extLst>
            </c:dLbl>
            <c:dLbl>
              <c:idx val="1"/>
              <c:delete val="1"/>
              <c:extLst>
                <c:ext xmlns:c15="http://schemas.microsoft.com/office/drawing/2012/chart" uri="{CE6537A1-D6FC-4f65-9D91-7224C49458BB}"/>
                <c:ext xmlns:c16="http://schemas.microsoft.com/office/drawing/2014/chart" uri="{C3380CC4-5D6E-409C-BE32-E72D297353CC}">
                  <c16:uniqueId val="{00000014-1BCA-40A6-AA9D-7DF672A09205}"/>
                </c:ext>
              </c:extLst>
            </c:dLbl>
            <c:dLbl>
              <c:idx val="2"/>
              <c:delete val="1"/>
              <c:extLst>
                <c:ext xmlns:c15="http://schemas.microsoft.com/office/drawing/2012/chart" uri="{CE6537A1-D6FC-4f65-9D91-7224C49458BB}"/>
                <c:ext xmlns:c16="http://schemas.microsoft.com/office/drawing/2014/chart" uri="{C3380CC4-5D6E-409C-BE32-E72D297353CC}">
                  <c16:uniqueId val="{00000015-1BCA-40A6-AA9D-7DF672A09205}"/>
                </c:ext>
              </c:extLst>
            </c:dLbl>
            <c:dLbl>
              <c:idx val="3"/>
              <c:layout>
                <c:manualLayout>
                  <c:x val="-7.8713734608677269E-2"/>
                  <c:y val="2.00464785651793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BCA-40A6-AA9D-7DF672A09205}"/>
                </c:ext>
              </c:extLst>
            </c:dLbl>
            <c:dLbl>
              <c:idx val="4"/>
              <c:delete val="1"/>
              <c:extLst>
                <c:ext xmlns:c15="http://schemas.microsoft.com/office/drawing/2012/chart" uri="{CE6537A1-D6FC-4f65-9D91-7224C49458BB}"/>
                <c:ext xmlns:c16="http://schemas.microsoft.com/office/drawing/2014/chart" uri="{C3380CC4-5D6E-409C-BE32-E72D297353CC}">
                  <c16:uniqueId val="{00000017-1BCA-40A6-AA9D-7DF672A09205}"/>
                </c:ext>
              </c:extLst>
            </c:dLbl>
            <c:dLbl>
              <c:idx val="5"/>
              <c:delete val="1"/>
              <c:extLst>
                <c:ext xmlns:c15="http://schemas.microsoft.com/office/drawing/2012/chart" uri="{CE6537A1-D6FC-4f65-9D91-7224C49458BB}"/>
                <c:ext xmlns:c16="http://schemas.microsoft.com/office/drawing/2014/chart" uri="{C3380CC4-5D6E-409C-BE32-E72D297353CC}">
                  <c16:uniqueId val="{00000018-1BCA-40A6-AA9D-7DF672A09205}"/>
                </c:ext>
              </c:extLst>
            </c:dLbl>
            <c:dLbl>
              <c:idx val="6"/>
              <c:layout>
                <c:manualLayout>
                  <c:x val="-9.6610826331272354E-2"/>
                  <c:y val="-1.5209973753280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BCA-40A6-AA9D-7DF672A09205}"/>
                </c:ext>
              </c:extLst>
            </c:dLbl>
            <c:dLbl>
              <c:idx val="7"/>
              <c:layout>
                <c:manualLayout>
                  <c:x val="-4.8309112367665448E-2"/>
                  <c:y val="-3.8761482939632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BCA-40A6-AA9D-7DF672A09205}"/>
                </c:ext>
              </c:extLst>
            </c:dLbl>
            <c:dLbl>
              <c:idx val="8"/>
              <c:delete val="1"/>
              <c:extLst>
                <c:ext xmlns:c15="http://schemas.microsoft.com/office/drawing/2012/chart" uri="{CE6537A1-D6FC-4f65-9D91-7224C49458BB}"/>
                <c:ext xmlns:c16="http://schemas.microsoft.com/office/drawing/2014/chart" uri="{C3380CC4-5D6E-409C-BE32-E72D297353CC}">
                  <c16:uniqueId val="{0000001B-1BCA-40A6-AA9D-7DF672A09205}"/>
                </c:ext>
              </c:extLst>
            </c:dLbl>
            <c:dLbl>
              <c:idx val="9"/>
              <c:layout>
                <c:manualLayout>
                  <c:x val="-9.6610826331272354E-2"/>
                  <c:y val="-6.128608923884514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BCA-40A6-AA9D-7DF672A09205}"/>
                </c:ext>
              </c:extLst>
            </c:dLbl>
            <c:dLbl>
              <c:idx val="10"/>
              <c:delete val="1"/>
              <c:extLst>
                <c:ext xmlns:c15="http://schemas.microsoft.com/office/drawing/2012/chart" uri="{CE6537A1-D6FC-4f65-9D91-7224C49458BB}"/>
                <c:ext xmlns:c16="http://schemas.microsoft.com/office/drawing/2014/chart" uri="{C3380CC4-5D6E-409C-BE32-E72D297353CC}">
                  <c16:uniqueId val="{0000001D-1BCA-40A6-AA9D-7DF672A09205}"/>
                </c:ext>
              </c:extLst>
            </c:dLbl>
            <c:dLbl>
              <c:idx val="11"/>
              <c:delete val="1"/>
              <c:extLst>
                <c:ext xmlns:c15="http://schemas.microsoft.com/office/drawing/2012/chart" uri="{CE6537A1-D6FC-4f65-9D91-7224C49458BB}"/>
                <c:ext xmlns:c16="http://schemas.microsoft.com/office/drawing/2014/chart" uri="{C3380CC4-5D6E-409C-BE32-E72D297353CC}">
                  <c16:uniqueId val="{0000001E-1BCA-40A6-AA9D-7DF672A09205}"/>
                </c:ext>
              </c:extLst>
            </c:dLbl>
            <c:dLbl>
              <c:idx val="12"/>
              <c:layout>
                <c:manualLayout>
                  <c:x val="-0.12345646391516496"/>
                  <c:y val="2.85936132983377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1BCA-40A6-AA9D-7DF672A09205}"/>
                </c:ext>
              </c:extLst>
            </c:dLbl>
            <c:dLbl>
              <c:idx val="13"/>
              <c:delete val="1"/>
              <c:extLst>
                <c:ext xmlns:c15="http://schemas.microsoft.com/office/drawing/2012/chart" uri="{CE6537A1-D6FC-4f65-9D91-7224C49458BB}"/>
                <c:ext xmlns:c16="http://schemas.microsoft.com/office/drawing/2014/chart" uri="{C3380CC4-5D6E-409C-BE32-E72D297353CC}">
                  <c16:uniqueId val="{00000020-1BCA-40A6-AA9D-7DF672A09205}"/>
                </c:ext>
              </c:extLst>
            </c:dLbl>
            <c:dLbl>
              <c:idx val="14"/>
              <c:layout>
                <c:manualLayout>
                  <c:x val="-8.3188007539326037E-2"/>
                  <c:y val="5.6371391076115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1BCA-40A6-AA9D-7DF672A09205}"/>
                </c:ext>
              </c:extLst>
            </c:dLbl>
            <c:dLbl>
              <c:idx val="15"/>
              <c:delete val="1"/>
              <c:extLst>
                <c:ext xmlns:c15="http://schemas.microsoft.com/office/drawing/2012/chart" uri="{CE6537A1-D6FC-4f65-9D91-7224C49458BB}"/>
                <c:ext xmlns:c16="http://schemas.microsoft.com/office/drawing/2014/chart" uri="{C3380CC4-5D6E-409C-BE32-E72D297353CC}">
                  <c16:uniqueId val="{00000022-1BCA-40A6-AA9D-7DF672A09205}"/>
                </c:ext>
              </c:extLst>
            </c:dLbl>
            <c:dLbl>
              <c:idx val="16"/>
              <c:delete val="1"/>
              <c:extLst>
                <c:ext xmlns:c15="http://schemas.microsoft.com/office/drawing/2012/chart" uri="{CE6537A1-D6FC-4f65-9D91-7224C49458BB}"/>
                <c:ext xmlns:c16="http://schemas.microsoft.com/office/drawing/2014/chart" uri="{C3380CC4-5D6E-409C-BE32-E72D297353CC}">
                  <c16:uniqueId val="{00000023-1BCA-40A6-AA9D-7DF672A09205}"/>
                </c:ext>
              </c:extLst>
            </c:dLbl>
            <c:dLbl>
              <c:idx val="17"/>
              <c:layout>
                <c:manualLayout>
                  <c:x val="-5.5145942327678839E-2"/>
                  <c:y val="3.5538057742782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1BCA-40A6-AA9D-7DF672A09205}"/>
                </c:ext>
              </c:extLst>
            </c:dLbl>
            <c:spPr>
              <a:noFill/>
              <a:ln>
                <a:noFill/>
              </a:ln>
              <a:effectLst/>
            </c:spPr>
            <c:txPr>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Vietnam!$I$19:$I$36</c:f>
              <c:numCache>
                <c:formatCode>General</c:formatCode>
                <c:ptCount val="18"/>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Vietnam!$K$19:$K$36</c:f>
              <c:numCache>
                <c:formatCode>0.0</c:formatCode>
                <c:ptCount val="18"/>
                <c:pt idx="0">
                  <c:v>26.1</c:v>
                </c:pt>
                <c:pt idx="1">
                  <c:v>27.18</c:v>
                </c:pt>
                <c:pt idx="2">
                  <c:v>28.26</c:v>
                </c:pt>
                <c:pt idx="3">
                  <c:v>29</c:v>
                </c:pt>
                <c:pt idx="4">
                  <c:v>29.99</c:v>
                </c:pt>
                <c:pt idx="5">
                  <c:v>29.99</c:v>
                </c:pt>
                <c:pt idx="6">
                  <c:v>29.95</c:v>
                </c:pt>
                <c:pt idx="7">
                  <c:v>30.21</c:v>
                </c:pt>
                <c:pt idx="8">
                  <c:v>30.41</c:v>
                </c:pt>
                <c:pt idx="9">
                  <c:v>20.34</c:v>
                </c:pt>
                <c:pt idx="10">
                  <c:v>19.29</c:v>
                </c:pt>
                <c:pt idx="11">
                  <c:v>18.39</c:v>
                </c:pt>
                <c:pt idx="12">
                  <c:v>17.96</c:v>
                </c:pt>
                <c:pt idx="13">
                  <c:v>17.53</c:v>
                </c:pt>
                <c:pt idx="14">
                  <c:v>17.43</c:v>
                </c:pt>
                <c:pt idx="15">
                  <c:v>17.440000000000001</c:v>
                </c:pt>
                <c:pt idx="16">
                  <c:v>17.43</c:v>
                </c:pt>
                <c:pt idx="17">
                  <c:v>17.59</c:v>
                </c:pt>
              </c:numCache>
            </c:numRef>
          </c:val>
          <c:smooth val="0"/>
          <c:extLst>
            <c:ext xmlns:c16="http://schemas.microsoft.com/office/drawing/2014/chart" uri="{C3380CC4-5D6E-409C-BE32-E72D297353CC}">
              <c16:uniqueId val="{00000025-1BCA-40A6-AA9D-7DF672A09205}"/>
            </c:ext>
          </c:extLst>
        </c:ser>
        <c:dLbls>
          <c:showLegendKey val="0"/>
          <c:showVal val="0"/>
          <c:showCatName val="0"/>
          <c:showSerName val="0"/>
          <c:showPercent val="0"/>
          <c:showBubbleSize val="0"/>
        </c:dLbls>
        <c:smooth val="0"/>
        <c:axId val="1843808080"/>
        <c:axId val="1843810800"/>
      </c:lineChart>
      <c:catAx>
        <c:axId val="1843808080"/>
        <c:scaling>
          <c:orientation val="minMax"/>
        </c:scaling>
        <c:delete val="0"/>
        <c:axPos val="b"/>
        <c:numFmt formatCode="General" sourceLinked="1"/>
        <c:majorTickMark val="none"/>
        <c:minorTickMark val="none"/>
        <c:tickLblPos val="nextTo"/>
        <c:txPr>
          <a:bodyPr rot="-5400000" vert="horz"/>
          <a:lstStyle/>
          <a:p>
            <a:pPr>
              <a:defRPr sz="800"/>
            </a:pPr>
            <a:endParaRPr lang="en-US"/>
          </a:p>
        </c:txPr>
        <c:crossAx val="1843810800"/>
        <c:crosses val="autoZero"/>
        <c:auto val="1"/>
        <c:lblAlgn val="ctr"/>
        <c:lblOffset val="0"/>
        <c:tickLblSkip val="2"/>
        <c:noMultiLvlLbl val="0"/>
      </c:catAx>
      <c:valAx>
        <c:axId val="1843810800"/>
        <c:scaling>
          <c:orientation val="minMax"/>
        </c:scaling>
        <c:delete val="0"/>
        <c:axPos val="l"/>
        <c:majorGridlines/>
        <c:title>
          <c:tx>
            <c:rich>
              <a:bodyPr rot="0" vert="horz"/>
              <a:lstStyle/>
              <a:p>
                <a:pPr>
                  <a:defRPr/>
                </a:pPr>
                <a:r>
                  <a:rPr lang="en-US" sz="800" b="0"/>
                  <a:t>Tariff Rate (%)</a:t>
                </a:r>
              </a:p>
            </c:rich>
          </c:tx>
          <c:layout>
            <c:manualLayout>
              <c:xMode val="edge"/>
              <c:yMode val="edge"/>
              <c:x val="1.6985138004246343E-2"/>
              <c:y val="9.3932969917223435E-4"/>
            </c:manualLayout>
          </c:layout>
          <c:overlay val="0"/>
        </c:title>
        <c:numFmt formatCode="#,##0" sourceLinked="0"/>
        <c:majorTickMark val="none"/>
        <c:minorTickMark val="none"/>
        <c:tickLblPos val="nextTo"/>
        <c:spPr>
          <a:ln w="9525">
            <a:noFill/>
          </a:ln>
        </c:spPr>
        <c:txPr>
          <a:bodyPr/>
          <a:lstStyle/>
          <a:p>
            <a:pPr>
              <a:defRPr sz="800"/>
            </a:pPr>
            <a:endParaRPr lang="en-US"/>
          </a:p>
        </c:txPr>
        <c:crossAx val="1843808080"/>
        <c:crosses val="autoZero"/>
        <c:crossBetween val="between"/>
        <c:majorUnit val="5"/>
      </c:valAx>
      <c:spPr>
        <a:gradFill flip="none" rotWithShape="1">
          <a:gsLst>
            <a:gs pos="0">
              <a:srgbClr val="5E9EFF"/>
            </a:gs>
            <a:gs pos="39999">
              <a:srgbClr val="85C2FF"/>
            </a:gs>
            <a:gs pos="70000">
              <a:srgbClr val="C4D6EB"/>
            </a:gs>
            <a:gs pos="100000">
              <a:srgbClr val="FFEBFA"/>
            </a:gs>
          </a:gsLst>
          <a:lin ang="2700000" scaled="0"/>
          <a:tileRect/>
        </a:gradFill>
      </c:spPr>
    </c:plotArea>
    <c:legend>
      <c:legendPos val="b"/>
      <c:layout>
        <c:manualLayout>
          <c:xMode val="edge"/>
          <c:yMode val="edge"/>
          <c:x val="0.18975831146106792"/>
          <c:y val="5.267880577427797E-2"/>
          <c:w val="0.80589749198016913"/>
          <c:h val="8.0907861365231717E-2"/>
        </c:manualLayout>
      </c:layout>
      <c:overlay val="0"/>
      <c:txPr>
        <a:bodyPr/>
        <a:lstStyle/>
        <a:p>
          <a:pPr>
            <a:defRPr sz="900"/>
          </a:pPr>
          <a:endParaRPr lang="en-US"/>
        </a:p>
      </c:txPr>
    </c:legend>
    <c:plotVisOnly val="1"/>
    <c:dispBlanksAs val="gap"/>
    <c:showDLblsOverMax val="0"/>
  </c:chart>
  <c:spPr>
    <a:solidFill>
      <a:srgbClr val="1F497D">
        <a:lumMod val="20000"/>
        <a:lumOff val="80000"/>
      </a:srgbClr>
    </a:solidFill>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661684238622718E-2"/>
          <c:y val="0.17551124044277075"/>
          <c:w val="0.87504782241202905"/>
          <c:h val="0.66777627934629713"/>
        </c:manualLayout>
      </c:layout>
      <c:lineChart>
        <c:grouping val="standard"/>
        <c:varyColors val="0"/>
        <c:ser>
          <c:idx val="2"/>
          <c:order val="0"/>
          <c:tx>
            <c:strRef>
              <c:f>India!$P$4</c:f>
              <c:strCache>
                <c:ptCount val="1"/>
                <c:pt idx="0">
                  <c:v>Inputs</c:v>
                </c:pt>
              </c:strCache>
            </c:strRef>
          </c:tx>
          <c:spPr>
            <a:ln w="41275">
              <a:solidFill>
                <a:srgbClr val="C00000"/>
              </a:solidFill>
              <a:prstDash val="sysDot"/>
            </a:ln>
          </c:spPr>
          <c:marker>
            <c:symbol val="none"/>
          </c:marker>
          <c:dLbls>
            <c:dLbl>
              <c:idx val="0"/>
              <c:layout>
                <c:manualLayout>
                  <c:x val="-6.1559322033898307E-2"/>
                  <c:y val="-2.98368138765263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5A-4512-BC76-2964D2BB7ECE}"/>
                </c:ext>
              </c:extLst>
            </c:dLbl>
            <c:dLbl>
              <c:idx val="1"/>
              <c:delete val="1"/>
              <c:extLst>
                <c:ext xmlns:c15="http://schemas.microsoft.com/office/drawing/2012/chart" uri="{CE6537A1-D6FC-4f65-9D91-7224C49458BB}"/>
                <c:ext xmlns:c16="http://schemas.microsoft.com/office/drawing/2014/chart" uri="{C3380CC4-5D6E-409C-BE32-E72D297353CC}">
                  <c16:uniqueId val="{00000001-145A-4512-BC76-2964D2BB7ECE}"/>
                </c:ext>
              </c:extLst>
            </c:dLbl>
            <c:dLbl>
              <c:idx val="2"/>
              <c:delete val="1"/>
              <c:extLst>
                <c:ext xmlns:c15="http://schemas.microsoft.com/office/drawing/2012/chart" uri="{CE6537A1-D6FC-4f65-9D91-7224C49458BB}"/>
                <c:ext xmlns:c16="http://schemas.microsoft.com/office/drawing/2014/chart" uri="{C3380CC4-5D6E-409C-BE32-E72D297353CC}">
                  <c16:uniqueId val="{00000002-145A-4512-BC76-2964D2BB7ECE}"/>
                </c:ext>
              </c:extLst>
            </c:dLbl>
            <c:dLbl>
              <c:idx val="3"/>
              <c:delete val="1"/>
              <c:extLst>
                <c:ext xmlns:c15="http://schemas.microsoft.com/office/drawing/2012/chart" uri="{CE6537A1-D6FC-4f65-9D91-7224C49458BB}"/>
                <c:ext xmlns:c16="http://schemas.microsoft.com/office/drawing/2014/chart" uri="{C3380CC4-5D6E-409C-BE32-E72D297353CC}">
                  <c16:uniqueId val="{00000003-145A-4512-BC76-2964D2BB7ECE}"/>
                </c:ext>
              </c:extLst>
            </c:dLbl>
            <c:dLbl>
              <c:idx val="4"/>
              <c:layout>
                <c:manualLayout>
                  <c:x val="-7.9638418079096052E-2"/>
                  <c:y val="-2.2590437064932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5A-4512-BC76-2964D2BB7ECE}"/>
                </c:ext>
              </c:extLst>
            </c:dLbl>
            <c:dLbl>
              <c:idx val="5"/>
              <c:delete val="1"/>
              <c:extLst>
                <c:ext xmlns:c15="http://schemas.microsoft.com/office/drawing/2012/chart" uri="{CE6537A1-D6FC-4f65-9D91-7224C49458BB}"/>
                <c:ext xmlns:c16="http://schemas.microsoft.com/office/drawing/2014/chart" uri="{C3380CC4-5D6E-409C-BE32-E72D297353CC}">
                  <c16:uniqueId val="{00000005-145A-4512-BC76-2964D2BB7ECE}"/>
                </c:ext>
              </c:extLst>
            </c:dLbl>
            <c:dLbl>
              <c:idx val="6"/>
              <c:delete val="1"/>
              <c:extLst>
                <c:ext xmlns:c15="http://schemas.microsoft.com/office/drawing/2012/chart" uri="{CE6537A1-D6FC-4f65-9D91-7224C49458BB}"/>
                <c:ext xmlns:c16="http://schemas.microsoft.com/office/drawing/2014/chart" uri="{C3380CC4-5D6E-409C-BE32-E72D297353CC}">
                  <c16:uniqueId val="{00000006-145A-4512-BC76-2964D2BB7ECE}"/>
                </c:ext>
              </c:extLst>
            </c:dLbl>
            <c:dLbl>
              <c:idx val="7"/>
              <c:delete val="1"/>
              <c:extLst>
                <c:ext xmlns:c15="http://schemas.microsoft.com/office/drawing/2012/chart" uri="{CE6537A1-D6FC-4f65-9D91-7224C49458BB}"/>
                <c:ext xmlns:c16="http://schemas.microsoft.com/office/drawing/2014/chart" uri="{C3380CC4-5D6E-409C-BE32-E72D297353CC}">
                  <c16:uniqueId val="{00000007-145A-4512-BC76-2964D2BB7ECE}"/>
                </c:ext>
              </c:extLst>
            </c:dLbl>
            <c:dLbl>
              <c:idx val="8"/>
              <c:layout>
                <c:manualLayout>
                  <c:x val="-9.7717514124293789E-2"/>
                  <c:y val="6.395070181444710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45A-4512-BC76-2964D2BB7ECE}"/>
                </c:ext>
              </c:extLst>
            </c:dLbl>
            <c:dLbl>
              <c:idx val="9"/>
              <c:delete val="1"/>
              <c:extLst>
                <c:ext xmlns:c15="http://schemas.microsoft.com/office/drawing/2012/chart" uri="{CE6537A1-D6FC-4f65-9D91-7224C49458BB}"/>
                <c:ext xmlns:c16="http://schemas.microsoft.com/office/drawing/2014/chart" uri="{C3380CC4-5D6E-409C-BE32-E72D297353CC}">
                  <c16:uniqueId val="{00000009-145A-4512-BC76-2964D2BB7ECE}"/>
                </c:ext>
              </c:extLst>
            </c:dLbl>
            <c:dLbl>
              <c:idx val="10"/>
              <c:layout>
                <c:manualLayout>
                  <c:x val="-7.0598870056497176E-2"/>
                  <c:y val="2.81342006162273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45A-4512-BC76-2964D2BB7ECE}"/>
                </c:ext>
              </c:extLst>
            </c:dLbl>
            <c:dLbl>
              <c:idx val="11"/>
              <c:delete val="1"/>
              <c:extLst>
                <c:ext xmlns:c15="http://schemas.microsoft.com/office/drawing/2012/chart" uri="{CE6537A1-D6FC-4f65-9D91-7224C49458BB}"/>
                <c:ext xmlns:c16="http://schemas.microsoft.com/office/drawing/2014/chart" uri="{C3380CC4-5D6E-409C-BE32-E72D297353CC}">
                  <c16:uniqueId val="{0000000B-145A-4512-BC76-2964D2BB7ECE}"/>
                </c:ext>
              </c:extLst>
            </c:dLbl>
            <c:dLbl>
              <c:idx val="12"/>
              <c:delete val="1"/>
              <c:extLst>
                <c:ext xmlns:c15="http://schemas.microsoft.com/office/drawing/2012/chart" uri="{CE6537A1-D6FC-4f65-9D91-7224C49458BB}"/>
                <c:ext xmlns:c16="http://schemas.microsoft.com/office/drawing/2014/chart" uri="{C3380CC4-5D6E-409C-BE32-E72D297353CC}">
                  <c16:uniqueId val="{0000000C-145A-4512-BC76-2964D2BB7ECE}"/>
                </c:ext>
              </c:extLst>
            </c:dLbl>
            <c:dLbl>
              <c:idx val="13"/>
              <c:delete val="1"/>
              <c:extLst>
                <c:ext xmlns:c15="http://schemas.microsoft.com/office/drawing/2012/chart" uri="{CE6537A1-D6FC-4f65-9D91-7224C49458BB}"/>
                <c:ext xmlns:c16="http://schemas.microsoft.com/office/drawing/2014/chart" uri="{C3380CC4-5D6E-409C-BE32-E72D297353CC}">
                  <c16:uniqueId val="{0000000D-145A-4512-BC76-2964D2BB7ECE}"/>
                </c:ext>
              </c:extLst>
            </c:dLbl>
            <c:dLbl>
              <c:idx val="14"/>
              <c:delete val="1"/>
              <c:extLst>
                <c:ext xmlns:c15="http://schemas.microsoft.com/office/drawing/2012/chart" uri="{CE6537A1-D6FC-4f65-9D91-7224C49458BB}"/>
                <c:ext xmlns:c16="http://schemas.microsoft.com/office/drawing/2014/chart" uri="{C3380CC4-5D6E-409C-BE32-E72D297353CC}">
                  <c16:uniqueId val="{0000000E-145A-4512-BC76-2964D2BB7ECE}"/>
                </c:ext>
              </c:extLst>
            </c:dLbl>
            <c:dLbl>
              <c:idx val="15"/>
              <c:layout>
                <c:manualLayout>
                  <c:x val="-7.9638418079096052E-2"/>
                  <c:y val="2.81342006162273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45A-4512-BC76-2964D2BB7ECE}"/>
                </c:ext>
              </c:extLst>
            </c:dLbl>
            <c:dLbl>
              <c:idx val="16"/>
              <c:delete val="1"/>
              <c:extLst>
                <c:ext xmlns:c15="http://schemas.microsoft.com/office/drawing/2012/chart" uri="{CE6537A1-D6FC-4f65-9D91-7224C49458BB}"/>
                <c:ext xmlns:c16="http://schemas.microsoft.com/office/drawing/2014/chart" uri="{C3380CC4-5D6E-409C-BE32-E72D297353CC}">
                  <c16:uniqueId val="{00000010-145A-4512-BC76-2964D2BB7ECE}"/>
                </c:ext>
              </c:extLst>
            </c:dLbl>
            <c:dLbl>
              <c:idx val="17"/>
              <c:delete val="1"/>
              <c:extLst>
                <c:ext xmlns:c15="http://schemas.microsoft.com/office/drawing/2012/chart" uri="{CE6537A1-D6FC-4f65-9D91-7224C49458BB}"/>
                <c:ext xmlns:c16="http://schemas.microsoft.com/office/drawing/2014/chart" uri="{C3380CC4-5D6E-409C-BE32-E72D297353CC}">
                  <c16:uniqueId val="{00000011-145A-4512-BC76-2964D2BB7ECE}"/>
                </c:ext>
              </c:extLst>
            </c:dLbl>
            <c:dLbl>
              <c:idx val="18"/>
              <c:delete val="1"/>
              <c:extLst>
                <c:ext xmlns:c15="http://schemas.microsoft.com/office/drawing/2012/chart" uri="{CE6537A1-D6FC-4f65-9D91-7224C49458BB}"/>
                <c:ext xmlns:c16="http://schemas.microsoft.com/office/drawing/2014/chart" uri="{C3380CC4-5D6E-409C-BE32-E72D297353CC}">
                  <c16:uniqueId val="{00000012-145A-4512-BC76-2964D2BB7ECE}"/>
                </c:ext>
              </c:extLst>
            </c:dLbl>
            <c:dLbl>
              <c:idx val="19"/>
              <c:layout>
                <c:manualLayout>
                  <c:x val="-5.6318163619378088E-2"/>
                  <c:y val="2.08878238046331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45A-4512-BC76-2964D2BB7ECE}"/>
                </c:ext>
              </c:extLst>
            </c:dLbl>
            <c:dLbl>
              <c:idx val="20"/>
              <c:delete val="1"/>
              <c:extLst>
                <c:ext xmlns:c15="http://schemas.microsoft.com/office/drawing/2012/chart" uri="{CE6537A1-D6FC-4f65-9D91-7224C49458BB}"/>
                <c:ext xmlns:c16="http://schemas.microsoft.com/office/drawing/2014/chart" uri="{C3380CC4-5D6E-409C-BE32-E72D297353CC}">
                  <c16:uniqueId val="{00000014-145A-4512-BC76-2964D2BB7ECE}"/>
                </c:ext>
              </c:extLst>
            </c:dLbl>
            <c:spPr>
              <a:noFill/>
              <a:ln>
                <a:noFill/>
              </a:ln>
              <a:effectLst/>
            </c:spPr>
            <c:txPr>
              <a:bodyPr/>
              <a:lstStyle/>
              <a:p>
                <a:pPr>
                  <a:defRPr sz="8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India!$O$5:$O$24</c:f>
              <c:numCache>
                <c:formatCode>General</c:formatCode>
                <c:ptCount val="20"/>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numCache>
            </c:numRef>
          </c:cat>
          <c:val>
            <c:numRef>
              <c:f>India!$P$5:$P$24</c:f>
              <c:numCache>
                <c:formatCode>0.00</c:formatCode>
                <c:ptCount val="20"/>
                <c:pt idx="0">
                  <c:v>25.546666666666667</c:v>
                </c:pt>
                <c:pt idx="1">
                  <c:v>27.234999999999999</c:v>
                </c:pt>
                <c:pt idx="2">
                  <c:v>28.923333333333332</c:v>
                </c:pt>
                <c:pt idx="3">
                  <c:v>29.916666666666668</c:v>
                </c:pt>
                <c:pt idx="4">
                  <c:v>29.446666666666669</c:v>
                </c:pt>
                <c:pt idx="5">
                  <c:v>26.876666666666665</c:v>
                </c:pt>
                <c:pt idx="6">
                  <c:v>25.336666666666662</c:v>
                </c:pt>
                <c:pt idx="7">
                  <c:v>27.11</c:v>
                </c:pt>
                <c:pt idx="8">
                  <c:v>18.083333333333332</c:v>
                </c:pt>
                <c:pt idx="9">
                  <c:v>14.993333333333332</c:v>
                </c:pt>
                <c:pt idx="10">
                  <c:v>16.383333333333333</c:v>
                </c:pt>
                <c:pt idx="11">
                  <c:v>11.803333333333335</c:v>
                </c:pt>
                <c:pt idx="12">
                  <c:v>12.026666666666669</c:v>
                </c:pt>
                <c:pt idx="13">
                  <c:v>11.226666666666667</c:v>
                </c:pt>
                <c:pt idx="14">
                  <c:v>11.409999999999998</c:v>
                </c:pt>
                <c:pt idx="15">
                  <c:v>11.703333333333333</c:v>
                </c:pt>
                <c:pt idx="16">
                  <c:v>11.636666666666665</c:v>
                </c:pt>
                <c:pt idx="17">
                  <c:v>11.521666666666667</c:v>
                </c:pt>
                <c:pt idx="18">
                  <c:v>11.406666666666666</c:v>
                </c:pt>
                <c:pt idx="19">
                  <c:v>11.693333333333333</c:v>
                </c:pt>
              </c:numCache>
            </c:numRef>
          </c:val>
          <c:smooth val="0"/>
          <c:extLst>
            <c:ext xmlns:c16="http://schemas.microsoft.com/office/drawing/2014/chart" uri="{C3380CC4-5D6E-409C-BE32-E72D297353CC}">
              <c16:uniqueId val="{00000015-145A-4512-BC76-2964D2BB7ECE}"/>
            </c:ext>
          </c:extLst>
        </c:ser>
        <c:ser>
          <c:idx val="0"/>
          <c:order val="1"/>
          <c:tx>
            <c:strRef>
              <c:f>India!$Q$4</c:f>
              <c:strCache>
                <c:ptCount val="1"/>
                <c:pt idx="0">
                  <c:v>Consumer Goods</c:v>
                </c:pt>
              </c:strCache>
            </c:strRef>
          </c:tx>
          <c:spPr>
            <a:ln>
              <a:solidFill>
                <a:schemeClr val="tx2"/>
              </a:solidFill>
            </a:ln>
          </c:spPr>
          <c:marker>
            <c:symbol val="none"/>
          </c:marker>
          <c:dLbls>
            <c:dLbl>
              <c:idx val="0"/>
              <c:layout>
                <c:manualLayout>
                  <c:x val="9.7799511002444987E-3"/>
                  <c:y val="3.7959667852906352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45A-4512-BC76-2964D2BB7ECE}"/>
                </c:ext>
              </c:extLst>
            </c:dLbl>
            <c:dLbl>
              <c:idx val="1"/>
              <c:delete val="1"/>
              <c:extLst>
                <c:ext xmlns:c15="http://schemas.microsoft.com/office/drawing/2012/chart" uri="{CE6537A1-D6FC-4f65-9D91-7224C49458BB}"/>
                <c:ext xmlns:c16="http://schemas.microsoft.com/office/drawing/2014/chart" uri="{C3380CC4-5D6E-409C-BE32-E72D297353CC}">
                  <c16:uniqueId val="{00000017-145A-4512-BC76-2964D2BB7ECE}"/>
                </c:ext>
              </c:extLst>
            </c:dLbl>
            <c:dLbl>
              <c:idx val="2"/>
              <c:delete val="1"/>
              <c:extLst>
                <c:ext xmlns:c15="http://schemas.microsoft.com/office/drawing/2012/chart" uri="{CE6537A1-D6FC-4f65-9D91-7224C49458BB}"/>
                <c:ext xmlns:c16="http://schemas.microsoft.com/office/drawing/2014/chart" uri="{C3380CC4-5D6E-409C-BE32-E72D297353CC}">
                  <c16:uniqueId val="{00000018-145A-4512-BC76-2964D2BB7ECE}"/>
                </c:ext>
              </c:extLst>
            </c:dLbl>
            <c:dLbl>
              <c:idx val="3"/>
              <c:delete val="1"/>
              <c:extLst>
                <c:ext xmlns:c15="http://schemas.microsoft.com/office/drawing/2012/chart" uri="{CE6537A1-D6FC-4f65-9D91-7224C49458BB}"/>
                <c:ext xmlns:c16="http://schemas.microsoft.com/office/drawing/2014/chart" uri="{C3380CC4-5D6E-409C-BE32-E72D297353CC}">
                  <c16:uniqueId val="{00000019-145A-4512-BC76-2964D2BB7ECE}"/>
                </c:ext>
              </c:extLst>
            </c:dLbl>
            <c:dLbl>
              <c:idx val="4"/>
              <c:layout>
                <c:manualLayout>
                  <c:x val="-4.5999911028070641E-2"/>
                  <c:y val="-2.36471528015519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45A-4512-BC76-2964D2BB7ECE}"/>
                </c:ext>
              </c:extLst>
            </c:dLbl>
            <c:dLbl>
              <c:idx val="5"/>
              <c:delete val="1"/>
              <c:extLst>
                <c:ext xmlns:c15="http://schemas.microsoft.com/office/drawing/2012/chart" uri="{CE6537A1-D6FC-4f65-9D91-7224C49458BB}"/>
                <c:ext xmlns:c16="http://schemas.microsoft.com/office/drawing/2014/chart" uri="{C3380CC4-5D6E-409C-BE32-E72D297353CC}">
                  <c16:uniqueId val="{0000001B-145A-4512-BC76-2964D2BB7ECE}"/>
                </c:ext>
              </c:extLst>
            </c:dLbl>
            <c:dLbl>
              <c:idx val="6"/>
              <c:delete val="1"/>
              <c:extLst>
                <c:ext xmlns:c15="http://schemas.microsoft.com/office/drawing/2012/chart" uri="{CE6537A1-D6FC-4f65-9D91-7224C49458BB}"/>
                <c:ext xmlns:c16="http://schemas.microsoft.com/office/drawing/2014/chart" uri="{C3380CC4-5D6E-409C-BE32-E72D297353CC}">
                  <c16:uniqueId val="{0000001C-145A-4512-BC76-2964D2BB7ECE}"/>
                </c:ext>
              </c:extLst>
            </c:dLbl>
            <c:dLbl>
              <c:idx val="7"/>
              <c:delete val="1"/>
              <c:extLst>
                <c:ext xmlns:c15="http://schemas.microsoft.com/office/drawing/2012/chart" uri="{CE6537A1-D6FC-4f65-9D91-7224C49458BB}"/>
                <c:ext xmlns:c16="http://schemas.microsoft.com/office/drawing/2014/chart" uri="{C3380CC4-5D6E-409C-BE32-E72D297353CC}">
                  <c16:uniqueId val="{0000001D-145A-4512-BC76-2964D2BB7ECE}"/>
                </c:ext>
              </c:extLst>
            </c:dLbl>
            <c:dLbl>
              <c:idx val="8"/>
              <c:layout>
                <c:manualLayout>
                  <c:x val="-9.7717514124293789E-2"/>
                  <c:y val="-1.36414469930389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145A-4512-BC76-2964D2BB7ECE}"/>
                </c:ext>
              </c:extLst>
            </c:dLbl>
            <c:dLbl>
              <c:idx val="9"/>
              <c:delete val="1"/>
              <c:extLst>
                <c:ext xmlns:c15="http://schemas.microsoft.com/office/drawing/2012/chart" uri="{CE6537A1-D6FC-4f65-9D91-7224C49458BB}"/>
                <c:ext xmlns:c16="http://schemas.microsoft.com/office/drawing/2014/chart" uri="{C3380CC4-5D6E-409C-BE32-E72D297353CC}">
                  <c16:uniqueId val="{0000001F-145A-4512-BC76-2964D2BB7ECE}"/>
                </c:ext>
              </c:extLst>
            </c:dLbl>
            <c:dLbl>
              <c:idx val="10"/>
              <c:layout>
                <c:manualLayout>
                  <c:x val="-3.4440677966101695E-2"/>
                  <c:y val="8.5130663014949218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145A-4512-BC76-2964D2BB7ECE}"/>
                </c:ext>
              </c:extLst>
            </c:dLbl>
            <c:dLbl>
              <c:idx val="11"/>
              <c:delete val="1"/>
              <c:extLst>
                <c:ext xmlns:c15="http://schemas.microsoft.com/office/drawing/2012/chart" uri="{CE6537A1-D6FC-4f65-9D91-7224C49458BB}"/>
                <c:ext xmlns:c16="http://schemas.microsoft.com/office/drawing/2014/chart" uri="{C3380CC4-5D6E-409C-BE32-E72D297353CC}">
                  <c16:uniqueId val="{00000021-145A-4512-BC76-2964D2BB7ECE}"/>
                </c:ext>
              </c:extLst>
            </c:dLbl>
            <c:dLbl>
              <c:idx val="12"/>
              <c:delete val="1"/>
              <c:extLst>
                <c:ext xmlns:c15="http://schemas.microsoft.com/office/drawing/2012/chart" uri="{CE6537A1-D6FC-4f65-9D91-7224C49458BB}"/>
                <c:ext xmlns:c16="http://schemas.microsoft.com/office/drawing/2014/chart" uri="{C3380CC4-5D6E-409C-BE32-E72D297353CC}">
                  <c16:uniqueId val="{00000022-145A-4512-BC76-2964D2BB7ECE}"/>
                </c:ext>
              </c:extLst>
            </c:dLbl>
            <c:dLbl>
              <c:idx val="13"/>
              <c:delete val="1"/>
              <c:extLst>
                <c:ext xmlns:c15="http://schemas.microsoft.com/office/drawing/2012/chart" uri="{CE6537A1-D6FC-4f65-9D91-7224C49458BB}"/>
                <c:ext xmlns:c16="http://schemas.microsoft.com/office/drawing/2014/chart" uri="{C3380CC4-5D6E-409C-BE32-E72D297353CC}">
                  <c16:uniqueId val="{00000023-145A-4512-BC76-2964D2BB7ECE}"/>
                </c:ext>
              </c:extLst>
            </c:dLbl>
            <c:dLbl>
              <c:idx val="14"/>
              <c:delete val="1"/>
              <c:extLst>
                <c:ext xmlns:c15="http://schemas.microsoft.com/office/drawing/2012/chart" uri="{CE6537A1-D6FC-4f65-9D91-7224C49458BB}"/>
                <c:ext xmlns:c16="http://schemas.microsoft.com/office/drawing/2014/chart" uri="{C3380CC4-5D6E-409C-BE32-E72D297353CC}">
                  <c16:uniqueId val="{00000024-145A-4512-BC76-2964D2BB7ECE}"/>
                </c:ext>
              </c:extLst>
            </c:dLbl>
            <c:dLbl>
              <c:idx val="15"/>
              <c:layout>
                <c:manualLayout>
                  <c:x val="-7.9638418079096052E-2"/>
                  <c:y val="8.5130663014942572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145A-4512-BC76-2964D2BB7ECE}"/>
                </c:ext>
              </c:extLst>
            </c:dLbl>
            <c:dLbl>
              <c:idx val="16"/>
              <c:delete val="1"/>
              <c:extLst>
                <c:ext xmlns:c15="http://schemas.microsoft.com/office/drawing/2012/chart" uri="{CE6537A1-D6FC-4f65-9D91-7224C49458BB}"/>
                <c:ext xmlns:c16="http://schemas.microsoft.com/office/drawing/2014/chart" uri="{C3380CC4-5D6E-409C-BE32-E72D297353CC}">
                  <c16:uniqueId val="{00000026-145A-4512-BC76-2964D2BB7ECE}"/>
                </c:ext>
              </c:extLst>
            </c:dLbl>
            <c:dLbl>
              <c:idx val="17"/>
              <c:delete val="1"/>
              <c:extLst>
                <c:ext xmlns:c15="http://schemas.microsoft.com/office/drawing/2012/chart" uri="{CE6537A1-D6FC-4f65-9D91-7224C49458BB}"/>
                <c:ext xmlns:c16="http://schemas.microsoft.com/office/drawing/2014/chart" uri="{C3380CC4-5D6E-409C-BE32-E72D297353CC}">
                  <c16:uniqueId val="{00000027-145A-4512-BC76-2964D2BB7ECE}"/>
                </c:ext>
              </c:extLst>
            </c:dLbl>
            <c:dLbl>
              <c:idx val="18"/>
              <c:delete val="1"/>
              <c:extLst>
                <c:ext xmlns:c15="http://schemas.microsoft.com/office/drawing/2012/chart" uri="{CE6537A1-D6FC-4f65-9D91-7224C49458BB}"/>
                <c:ext xmlns:c16="http://schemas.microsoft.com/office/drawing/2014/chart" uri="{C3380CC4-5D6E-409C-BE32-E72D297353CC}">
                  <c16:uniqueId val="{00000028-145A-4512-BC76-2964D2BB7ECE}"/>
                </c:ext>
              </c:extLst>
            </c:dLbl>
            <c:dLbl>
              <c:idx val="19"/>
              <c:layout>
                <c:manualLayout>
                  <c:x val="-2.0159971528982606E-2"/>
                  <c:y val="8.5130663014955864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145A-4512-BC76-2964D2BB7ECE}"/>
                </c:ext>
              </c:extLst>
            </c:dLbl>
            <c:dLbl>
              <c:idx val="20"/>
              <c:delete val="1"/>
              <c:extLst>
                <c:ext xmlns:c15="http://schemas.microsoft.com/office/drawing/2012/chart" uri="{CE6537A1-D6FC-4f65-9D91-7224C49458BB}"/>
                <c:ext xmlns:c16="http://schemas.microsoft.com/office/drawing/2014/chart" uri="{C3380CC4-5D6E-409C-BE32-E72D297353CC}">
                  <c16:uniqueId val="{0000002A-145A-4512-BC76-2964D2BB7ECE}"/>
                </c:ext>
              </c:extLst>
            </c:dLbl>
            <c:spPr>
              <a:noFill/>
              <a:ln>
                <a:noFill/>
              </a:ln>
              <a:effectLst/>
            </c:spPr>
            <c:txPr>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India!$O$5:$O$24</c:f>
              <c:numCache>
                <c:formatCode>General</c:formatCode>
                <c:ptCount val="20"/>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numCache>
            </c:numRef>
          </c:cat>
          <c:val>
            <c:numRef>
              <c:f>India!$Q$5:$Q$24</c:f>
              <c:numCache>
                <c:formatCode>0.00</c:formatCode>
                <c:ptCount val="20"/>
                <c:pt idx="0">
                  <c:v>36.729999999999997</c:v>
                </c:pt>
                <c:pt idx="1">
                  <c:v>37.215000000000003</c:v>
                </c:pt>
                <c:pt idx="2" formatCode="General">
                  <c:v>37.700000000000003</c:v>
                </c:pt>
                <c:pt idx="3" formatCode="General">
                  <c:v>37.86</c:v>
                </c:pt>
                <c:pt idx="4" formatCode="General">
                  <c:v>35.99</c:v>
                </c:pt>
                <c:pt idx="5" formatCode="General">
                  <c:v>31.58</c:v>
                </c:pt>
                <c:pt idx="6" formatCode="General">
                  <c:v>27.95</c:v>
                </c:pt>
                <c:pt idx="7" formatCode="General">
                  <c:v>31.52</c:v>
                </c:pt>
                <c:pt idx="8">
                  <c:v>19.52</c:v>
                </c:pt>
                <c:pt idx="9">
                  <c:v>19.489999999999998</c:v>
                </c:pt>
                <c:pt idx="10">
                  <c:v>17.739999999999998</c:v>
                </c:pt>
                <c:pt idx="11">
                  <c:v>14.76</c:v>
                </c:pt>
                <c:pt idx="12">
                  <c:v>14.6</c:v>
                </c:pt>
                <c:pt idx="13">
                  <c:v>14.66</c:v>
                </c:pt>
                <c:pt idx="14">
                  <c:v>14.83</c:v>
                </c:pt>
                <c:pt idx="15">
                  <c:v>15.27</c:v>
                </c:pt>
                <c:pt idx="16">
                  <c:v>15.31</c:v>
                </c:pt>
                <c:pt idx="17">
                  <c:v>15.115</c:v>
                </c:pt>
                <c:pt idx="18">
                  <c:v>14.92</c:v>
                </c:pt>
                <c:pt idx="19">
                  <c:v>14.99</c:v>
                </c:pt>
              </c:numCache>
            </c:numRef>
          </c:val>
          <c:smooth val="0"/>
          <c:extLst>
            <c:ext xmlns:c16="http://schemas.microsoft.com/office/drawing/2014/chart" uri="{C3380CC4-5D6E-409C-BE32-E72D297353CC}">
              <c16:uniqueId val="{0000002B-145A-4512-BC76-2964D2BB7ECE}"/>
            </c:ext>
          </c:extLst>
        </c:ser>
        <c:dLbls>
          <c:showLegendKey val="0"/>
          <c:showVal val="1"/>
          <c:showCatName val="0"/>
          <c:showSerName val="0"/>
          <c:showPercent val="0"/>
          <c:showBubbleSize val="0"/>
        </c:dLbls>
        <c:smooth val="0"/>
        <c:axId val="1843817328"/>
        <c:axId val="1843801008"/>
      </c:lineChart>
      <c:valAx>
        <c:axId val="1843801008"/>
        <c:scaling>
          <c:orientation val="minMax"/>
        </c:scaling>
        <c:delete val="0"/>
        <c:axPos val="l"/>
        <c:majorGridlines/>
        <c:title>
          <c:tx>
            <c:rich>
              <a:bodyPr rot="0" vert="horz"/>
              <a:lstStyle/>
              <a:p>
                <a:pPr>
                  <a:defRPr/>
                </a:pPr>
                <a:r>
                  <a:rPr lang="en-US" sz="800" b="0"/>
                  <a:t>Tariff Rate (%)</a:t>
                </a:r>
              </a:p>
            </c:rich>
          </c:tx>
          <c:layout>
            <c:manualLayout>
              <c:xMode val="edge"/>
              <c:yMode val="edge"/>
              <c:x val="2.0387359836901122E-2"/>
              <c:y val="2.4368006630750027E-3"/>
            </c:manualLayout>
          </c:layout>
          <c:overlay val="0"/>
        </c:title>
        <c:numFmt formatCode="0" sourceLinked="0"/>
        <c:majorTickMark val="none"/>
        <c:minorTickMark val="none"/>
        <c:tickLblPos val="nextTo"/>
        <c:spPr>
          <a:ln w="9525">
            <a:noFill/>
          </a:ln>
        </c:spPr>
        <c:txPr>
          <a:bodyPr/>
          <a:lstStyle/>
          <a:p>
            <a:pPr>
              <a:defRPr sz="800"/>
            </a:pPr>
            <a:endParaRPr lang="en-US"/>
          </a:p>
        </c:txPr>
        <c:crossAx val="1843817328"/>
        <c:crosses val="autoZero"/>
        <c:crossBetween val="between"/>
        <c:majorUnit val="5"/>
      </c:valAx>
      <c:catAx>
        <c:axId val="1843817328"/>
        <c:scaling>
          <c:orientation val="minMax"/>
        </c:scaling>
        <c:delete val="0"/>
        <c:axPos val="b"/>
        <c:numFmt formatCode="General" sourceLinked="1"/>
        <c:majorTickMark val="none"/>
        <c:minorTickMark val="none"/>
        <c:tickLblPos val="nextTo"/>
        <c:txPr>
          <a:bodyPr rot="-5400000" vert="horz"/>
          <a:lstStyle/>
          <a:p>
            <a:pPr>
              <a:defRPr sz="800"/>
            </a:pPr>
            <a:endParaRPr lang="en-US"/>
          </a:p>
        </c:txPr>
        <c:crossAx val="1843801008"/>
        <c:crosses val="autoZero"/>
        <c:auto val="0"/>
        <c:lblAlgn val="ctr"/>
        <c:lblOffset val="0"/>
        <c:tickLblSkip val="2"/>
        <c:tickMarkSkip val="1"/>
        <c:noMultiLvlLbl val="0"/>
      </c:catAx>
      <c:spPr>
        <a:gradFill flip="none" rotWithShape="1">
          <a:gsLst>
            <a:gs pos="0">
              <a:srgbClr val="5E9EFF"/>
            </a:gs>
            <a:gs pos="39999">
              <a:srgbClr val="85C2FF"/>
            </a:gs>
            <a:gs pos="70000">
              <a:srgbClr val="C4D6EB"/>
            </a:gs>
            <a:gs pos="100000">
              <a:srgbClr val="FFEBFA"/>
            </a:gs>
          </a:gsLst>
          <a:lin ang="2700000" scaled="0"/>
          <a:tileRect/>
        </a:gradFill>
      </c:spPr>
    </c:plotArea>
    <c:legend>
      <c:legendPos val="b"/>
      <c:layout>
        <c:manualLayout>
          <c:xMode val="edge"/>
          <c:yMode val="edge"/>
          <c:x val="0.20311367119378532"/>
          <c:y val="2.5677165354330792E-2"/>
          <c:w val="0.79688632880621468"/>
          <c:h val="9.3750656167978993E-2"/>
        </c:manualLayout>
      </c:layout>
      <c:overlay val="0"/>
      <c:txPr>
        <a:bodyPr/>
        <a:lstStyle/>
        <a:p>
          <a:pPr>
            <a:defRPr sz="900"/>
          </a:pPr>
          <a:endParaRPr lang="en-US"/>
        </a:p>
      </c:txPr>
    </c:legend>
    <c:plotVisOnly val="1"/>
    <c:dispBlanksAs val="gap"/>
    <c:showDLblsOverMax val="0"/>
  </c:chart>
  <c:spPr>
    <a:solidFill>
      <a:srgbClr val="1F497D">
        <a:lumMod val="20000"/>
        <a:lumOff val="80000"/>
      </a:srgbClr>
    </a:solidFill>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58521976874022"/>
          <c:y val="0.10038611840186644"/>
          <c:w val="0.86319830665752872"/>
          <c:h val="0.68014064908553096"/>
        </c:manualLayout>
      </c:layout>
      <c:lineChart>
        <c:grouping val="standard"/>
        <c:varyColors val="0"/>
        <c:ser>
          <c:idx val="0"/>
          <c:order val="0"/>
          <c:tx>
            <c:strRef>
              <c:f>Sheet1!$A$2</c:f>
              <c:strCache>
                <c:ptCount val="1"/>
                <c:pt idx="0">
                  <c:v>Average Tariff on Output (Consumer Goods)</c:v>
                </c:pt>
              </c:strCache>
            </c:strRef>
          </c:tx>
          <c:spPr>
            <a:ln w="76200">
              <a:prstDash val="sysDot"/>
            </a:ln>
          </c:spPr>
          <c:marker>
            <c:symbol val="none"/>
          </c:marker>
          <c:dLbls>
            <c:dLbl>
              <c:idx val="4"/>
              <c:layout>
                <c:manualLayout>
                  <c:x val="-3.9944716212798985E-2"/>
                  <c:y val="-5.13824301374092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08-4787-9B63-DD72D7FBF04D}"/>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FY17</c:v>
                </c:pt>
                <c:pt idx="1">
                  <c:v>FY20</c:v>
                </c:pt>
                <c:pt idx="2">
                  <c:v>FY25</c:v>
                </c:pt>
                <c:pt idx="3">
                  <c:v>FY30</c:v>
                </c:pt>
                <c:pt idx="4">
                  <c:v>FY41</c:v>
                </c:pt>
              </c:strCache>
            </c:strRef>
          </c:cat>
          <c:val>
            <c:numRef>
              <c:f>Sheet1!$B$2:$F$2</c:f>
              <c:numCache>
                <c:formatCode>General</c:formatCode>
                <c:ptCount val="5"/>
                <c:pt idx="0">
                  <c:v>45</c:v>
                </c:pt>
                <c:pt idx="1">
                  <c:v>25</c:v>
                </c:pt>
                <c:pt idx="2">
                  <c:v>10</c:v>
                </c:pt>
                <c:pt idx="3">
                  <c:v>5</c:v>
                </c:pt>
                <c:pt idx="4">
                  <c:v>5</c:v>
                </c:pt>
              </c:numCache>
            </c:numRef>
          </c:val>
          <c:smooth val="0"/>
          <c:extLst>
            <c:ext xmlns:c16="http://schemas.microsoft.com/office/drawing/2014/chart" uri="{C3380CC4-5D6E-409C-BE32-E72D297353CC}">
              <c16:uniqueId val="{00000001-6408-4787-9B63-DD72D7FBF04D}"/>
            </c:ext>
          </c:extLst>
        </c:ser>
        <c:ser>
          <c:idx val="1"/>
          <c:order val="1"/>
          <c:tx>
            <c:strRef>
              <c:f>Sheet1!$A$3</c:f>
              <c:strCache>
                <c:ptCount val="1"/>
                <c:pt idx="0">
                  <c:v>Average Tariff on Input (%)</c:v>
                </c:pt>
              </c:strCache>
            </c:strRef>
          </c:tx>
          <c:spPr>
            <a:ln w="25400"/>
          </c:spPr>
          <c:marker>
            <c:symbol val="none"/>
          </c:marker>
          <c:dLbls>
            <c:dLbl>
              <c:idx val="2"/>
              <c:layout>
                <c:manualLayout>
                  <c:x val="-3.6208442694663168E-2"/>
                  <c:y val="3.28820355788859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08-4787-9B63-DD72D7FBF04D}"/>
                </c:ext>
              </c:extLst>
            </c:dLbl>
            <c:dLbl>
              <c:idx val="3"/>
              <c:layout>
                <c:manualLayout>
                  <c:x val="-3.3430664916885386E-2"/>
                  <c:y val="4.2141294838145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08-4787-9B63-DD72D7FBF04D}"/>
                </c:ext>
              </c:extLst>
            </c:dLbl>
            <c:dLbl>
              <c:idx val="4"/>
              <c:layout>
                <c:manualLayout>
                  <c:x val="-3.6208442694663168E-2"/>
                  <c:y val="3.751166520851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08-4787-9B63-DD72D7FBF04D}"/>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FY17</c:v>
                </c:pt>
                <c:pt idx="1">
                  <c:v>FY20</c:v>
                </c:pt>
                <c:pt idx="2">
                  <c:v>FY25</c:v>
                </c:pt>
                <c:pt idx="3">
                  <c:v>FY30</c:v>
                </c:pt>
                <c:pt idx="4">
                  <c:v>FY41</c:v>
                </c:pt>
              </c:strCache>
            </c:strRef>
          </c:cat>
          <c:val>
            <c:numRef>
              <c:f>Sheet1!$B$3:$F$3</c:f>
              <c:numCache>
                <c:formatCode>General</c:formatCode>
                <c:ptCount val="5"/>
                <c:pt idx="0">
                  <c:v>13</c:v>
                </c:pt>
                <c:pt idx="1">
                  <c:v>10</c:v>
                </c:pt>
                <c:pt idx="2">
                  <c:v>5</c:v>
                </c:pt>
                <c:pt idx="3">
                  <c:v>5</c:v>
                </c:pt>
                <c:pt idx="4">
                  <c:v>5</c:v>
                </c:pt>
              </c:numCache>
            </c:numRef>
          </c:val>
          <c:smooth val="0"/>
          <c:extLst>
            <c:ext xmlns:c16="http://schemas.microsoft.com/office/drawing/2014/chart" uri="{C3380CC4-5D6E-409C-BE32-E72D297353CC}">
              <c16:uniqueId val="{00000005-6408-4787-9B63-DD72D7FBF04D}"/>
            </c:ext>
          </c:extLst>
        </c:ser>
        <c:dLbls>
          <c:dLblPos val="t"/>
          <c:showLegendKey val="0"/>
          <c:showVal val="1"/>
          <c:showCatName val="0"/>
          <c:showSerName val="0"/>
          <c:showPercent val="0"/>
          <c:showBubbleSize val="0"/>
        </c:dLbls>
        <c:smooth val="0"/>
        <c:axId val="1843764560"/>
        <c:axId val="1843765104"/>
      </c:lineChart>
      <c:catAx>
        <c:axId val="1843764560"/>
        <c:scaling>
          <c:orientation val="minMax"/>
        </c:scaling>
        <c:delete val="0"/>
        <c:axPos val="b"/>
        <c:numFmt formatCode="General" sourceLinked="0"/>
        <c:majorTickMark val="out"/>
        <c:minorTickMark val="none"/>
        <c:tickLblPos val="nextTo"/>
        <c:crossAx val="1843765104"/>
        <c:crosses val="autoZero"/>
        <c:auto val="1"/>
        <c:lblAlgn val="ctr"/>
        <c:lblOffset val="100"/>
        <c:noMultiLvlLbl val="0"/>
      </c:catAx>
      <c:valAx>
        <c:axId val="1843765104"/>
        <c:scaling>
          <c:orientation val="minMax"/>
        </c:scaling>
        <c:delete val="0"/>
        <c:axPos val="l"/>
        <c:minorGridlines/>
        <c:title>
          <c:tx>
            <c:rich>
              <a:bodyPr rot="0" vert="horz"/>
              <a:lstStyle/>
              <a:p>
                <a:pPr>
                  <a:defRPr/>
                </a:pPr>
                <a:r>
                  <a:rPr lang="en-US" baseline="0"/>
                  <a:t> </a:t>
                </a:r>
                <a:r>
                  <a:rPr lang="en-US" sz="1100" baseline="0"/>
                  <a:t>Tariff Rate (%)</a:t>
                </a:r>
                <a:endParaRPr lang="en-US" sz="1100"/>
              </a:p>
            </c:rich>
          </c:tx>
          <c:layout>
            <c:manualLayout>
              <c:xMode val="edge"/>
              <c:yMode val="edge"/>
              <c:x val="1.4254167425660593E-2"/>
              <c:y val="2.9059700870724494E-3"/>
            </c:manualLayout>
          </c:layout>
          <c:overlay val="0"/>
        </c:title>
        <c:numFmt formatCode="General" sourceLinked="1"/>
        <c:majorTickMark val="out"/>
        <c:minorTickMark val="none"/>
        <c:tickLblPos val="nextTo"/>
        <c:crossAx val="1843764560"/>
        <c:crosses val="autoZero"/>
        <c:crossBetween val="between"/>
        <c:majorUnit val="10"/>
      </c:valAx>
    </c:plotArea>
    <c:legend>
      <c:legendPos val="b"/>
      <c:layout>
        <c:manualLayout>
          <c:xMode val="edge"/>
          <c:yMode val="edge"/>
          <c:x val="0.11122044341697636"/>
          <c:y val="0.82786951631046124"/>
          <c:w val="0.76427868876801219"/>
          <c:h val="0.1467336582927134"/>
        </c:manualLayout>
      </c:layout>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85259429907506"/>
          <c:y val="6.8218246912684299E-2"/>
          <c:w val="0.83912411603571402"/>
          <c:h val="0.77785454237575147"/>
        </c:manualLayout>
      </c:layout>
      <c:lineChart>
        <c:grouping val="standard"/>
        <c:varyColors val="0"/>
        <c:ser>
          <c:idx val="0"/>
          <c:order val="0"/>
          <c:tx>
            <c:strRef>
              <c:f>Sheet1!$B$1</c:f>
              <c:strCache>
                <c:ptCount val="1"/>
                <c:pt idx="0">
                  <c:v>Global FDI Flows</c:v>
                </c:pt>
              </c:strCache>
            </c:strRef>
          </c:tx>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0-904F-465B-8DC6-5D81A66DB02E}"/>
                </c:ext>
              </c:extLst>
            </c:dLbl>
            <c:dLbl>
              <c:idx val="3"/>
              <c:delete val="1"/>
              <c:extLst>
                <c:ext xmlns:c15="http://schemas.microsoft.com/office/drawing/2012/chart" uri="{CE6537A1-D6FC-4f65-9D91-7224C49458BB}"/>
                <c:ext xmlns:c16="http://schemas.microsoft.com/office/drawing/2014/chart" uri="{C3380CC4-5D6E-409C-BE32-E72D297353CC}">
                  <c16:uniqueId val="{00000001-904F-465B-8DC6-5D81A66DB02E}"/>
                </c:ext>
              </c:extLst>
            </c:dLbl>
            <c:dLbl>
              <c:idx val="5"/>
              <c:delete val="1"/>
              <c:extLst>
                <c:ext xmlns:c15="http://schemas.microsoft.com/office/drawing/2012/chart" uri="{CE6537A1-D6FC-4f65-9D91-7224C49458BB}"/>
                <c:ext xmlns:c16="http://schemas.microsoft.com/office/drawing/2014/chart" uri="{C3380CC4-5D6E-409C-BE32-E72D297353CC}">
                  <c16:uniqueId val="{00000002-904F-465B-8DC6-5D81A66DB02E}"/>
                </c:ext>
              </c:extLst>
            </c:dLbl>
            <c:dLbl>
              <c:idx val="7"/>
              <c:delete val="1"/>
              <c:extLst>
                <c:ext xmlns:c15="http://schemas.microsoft.com/office/drawing/2012/chart" uri="{CE6537A1-D6FC-4f65-9D91-7224C49458BB}"/>
                <c:ext xmlns:c16="http://schemas.microsoft.com/office/drawing/2014/chart" uri="{C3380CC4-5D6E-409C-BE32-E72D297353CC}">
                  <c16:uniqueId val="{00000003-904F-465B-8DC6-5D81A66DB02E}"/>
                </c:ext>
              </c:extLst>
            </c:dLbl>
            <c:dLbl>
              <c:idx val="8"/>
              <c:delete val="1"/>
              <c:extLst>
                <c:ext xmlns:c15="http://schemas.microsoft.com/office/drawing/2012/chart" uri="{CE6537A1-D6FC-4f65-9D91-7224C49458BB}"/>
                <c:ext xmlns:c16="http://schemas.microsoft.com/office/drawing/2014/chart" uri="{C3380CC4-5D6E-409C-BE32-E72D297353CC}">
                  <c16:uniqueId val="{00000004-904F-465B-8DC6-5D81A66DB02E}"/>
                </c:ext>
              </c:extLst>
            </c:dLbl>
            <c:dLbl>
              <c:idx val="10"/>
              <c:delete val="1"/>
              <c:extLst>
                <c:ext xmlns:c15="http://schemas.microsoft.com/office/drawing/2012/chart" uri="{CE6537A1-D6FC-4f65-9D91-7224C49458BB}"/>
                <c:ext xmlns:c16="http://schemas.microsoft.com/office/drawing/2014/chart" uri="{C3380CC4-5D6E-409C-BE32-E72D297353CC}">
                  <c16:uniqueId val="{00000005-904F-465B-8DC6-5D81A66DB02E}"/>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Sheet1!$A$2:$A$13</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Sheet1!$B$2:$B$13</c:f>
              <c:numCache>
                <c:formatCode>0.0</c:formatCode>
                <c:ptCount val="12"/>
                <c:pt idx="0">
                  <c:v>958.51599999999996</c:v>
                </c:pt>
                <c:pt idx="1">
                  <c:v>1411.171</c:v>
                </c:pt>
                <c:pt idx="2">
                  <c:v>1909.2339999999999</c:v>
                </c:pt>
                <c:pt idx="3">
                  <c:v>1499.133</c:v>
                </c:pt>
                <c:pt idx="4">
                  <c:v>1190.0060000000001</c:v>
                </c:pt>
                <c:pt idx="5">
                  <c:v>1383.779</c:v>
                </c:pt>
                <c:pt idx="6">
                  <c:v>1591.146</c:v>
                </c:pt>
                <c:pt idx="7">
                  <c:v>1592.598</c:v>
                </c:pt>
                <c:pt idx="8">
                  <c:v>1443.23</c:v>
                </c:pt>
                <c:pt idx="9">
                  <c:v>1323.8630000000001</c:v>
                </c:pt>
                <c:pt idx="10">
                  <c:v>1774.001</c:v>
                </c:pt>
                <c:pt idx="11">
                  <c:v>1746.423</c:v>
                </c:pt>
              </c:numCache>
            </c:numRef>
          </c:val>
          <c:smooth val="0"/>
          <c:extLst>
            <c:ext xmlns:c16="http://schemas.microsoft.com/office/drawing/2014/chart" uri="{C3380CC4-5D6E-409C-BE32-E72D297353CC}">
              <c16:uniqueId val="{00000006-904F-465B-8DC6-5D81A66DB02E}"/>
            </c:ext>
          </c:extLst>
        </c:ser>
        <c:dLbls>
          <c:showLegendKey val="0"/>
          <c:showVal val="1"/>
          <c:showCatName val="0"/>
          <c:showSerName val="0"/>
          <c:showPercent val="0"/>
          <c:showBubbleSize val="0"/>
        </c:dLbls>
        <c:smooth val="0"/>
        <c:axId val="1843799376"/>
        <c:axId val="1843802640"/>
      </c:lineChart>
      <c:catAx>
        <c:axId val="1843799376"/>
        <c:scaling>
          <c:orientation val="minMax"/>
        </c:scaling>
        <c:delete val="0"/>
        <c:axPos val="b"/>
        <c:numFmt formatCode="General" sourceLinked="0"/>
        <c:majorTickMark val="out"/>
        <c:minorTickMark val="none"/>
        <c:tickLblPos val="nextTo"/>
        <c:txPr>
          <a:bodyPr/>
          <a:lstStyle/>
          <a:p>
            <a:pPr>
              <a:defRPr>
                <a:latin typeface="+mn-lt"/>
              </a:defRPr>
            </a:pPr>
            <a:endParaRPr lang="en-US"/>
          </a:p>
        </c:txPr>
        <c:crossAx val="1843802640"/>
        <c:crosses val="autoZero"/>
        <c:auto val="1"/>
        <c:lblAlgn val="ctr"/>
        <c:lblOffset val="100"/>
        <c:noMultiLvlLbl val="0"/>
      </c:catAx>
      <c:valAx>
        <c:axId val="1843802640"/>
        <c:scaling>
          <c:orientation val="minMax"/>
        </c:scaling>
        <c:delete val="0"/>
        <c:axPos val="l"/>
        <c:title>
          <c:tx>
            <c:rich>
              <a:bodyPr rot="-5400000" vert="horz"/>
              <a:lstStyle/>
              <a:p>
                <a:pPr>
                  <a:defRPr/>
                </a:pPr>
                <a:r>
                  <a:rPr lang="en-US"/>
                  <a:t>US$ Billions</a:t>
                </a:r>
              </a:p>
            </c:rich>
          </c:tx>
          <c:overlay val="0"/>
        </c:title>
        <c:numFmt formatCode="0" sourceLinked="0"/>
        <c:majorTickMark val="out"/>
        <c:minorTickMark val="none"/>
        <c:tickLblPos val="nextTo"/>
        <c:txPr>
          <a:bodyPr/>
          <a:lstStyle/>
          <a:p>
            <a:pPr>
              <a:defRPr>
                <a:latin typeface="+mn-lt"/>
              </a:defRPr>
            </a:pPr>
            <a:endParaRPr lang="en-US"/>
          </a:p>
        </c:txPr>
        <c:crossAx val="1843799376"/>
        <c:crosses val="autoZero"/>
        <c:crossBetween val="between"/>
      </c:valAx>
    </c:plotArea>
    <c:plotVisOnly val="1"/>
    <c:dispBlanksAs val="gap"/>
    <c:showDLblsOverMax val="0"/>
  </c:chart>
  <c:txPr>
    <a:bodyPr/>
    <a:lstStyle/>
    <a:p>
      <a:pPr>
        <a:defRPr sz="1000">
          <a:latin typeface="+mn-lt"/>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81443242831161"/>
          <c:y val="3.9180061170039693E-2"/>
          <c:w val="0.8646150662702432"/>
          <c:h val="0.72945188420790463"/>
        </c:manualLayout>
      </c:layout>
      <c:barChart>
        <c:barDir val="col"/>
        <c:grouping val="clustered"/>
        <c:varyColors val="0"/>
        <c:ser>
          <c:idx val="0"/>
          <c:order val="0"/>
          <c:tx>
            <c:strRef>
              <c:f>Sheet2!$B$1</c:f>
              <c:strCache>
                <c:ptCount val="1"/>
                <c:pt idx="0">
                  <c:v>FDI Inflows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Sheet2!$A$2:$A$9</c:f>
              <c:strCache>
                <c:ptCount val="8"/>
                <c:pt idx="0">
                  <c:v>World</c:v>
                </c:pt>
                <c:pt idx="1">
                  <c:v>Developed Economies</c:v>
                </c:pt>
                <c:pt idx="2">
                  <c:v>Developing Economies</c:v>
                </c:pt>
                <c:pt idx="3">
                  <c:v>Africa</c:v>
                </c:pt>
                <c:pt idx="4">
                  <c:v>LAC</c:v>
                </c:pt>
                <c:pt idx="5">
                  <c:v>West Asia</c:v>
                </c:pt>
                <c:pt idx="6">
                  <c:v>South and East Asia</c:v>
                </c:pt>
                <c:pt idx="7">
                  <c:v>South east Europe and CIS</c:v>
                </c:pt>
              </c:strCache>
            </c:strRef>
          </c:cat>
          <c:val>
            <c:numRef>
              <c:f>Sheet2!$B$2:$B$9</c:f>
              <c:numCache>
                <c:formatCode>0</c:formatCode>
                <c:ptCount val="8"/>
                <c:pt idx="0">
                  <c:v>1746.423</c:v>
                </c:pt>
                <c:pt idx="1">
                  <c:v>1032.373</c:v>
                </c:pt>
                <c:pt idx="2">
                  <c:v>646.03</c:v>
                </c:pt>
                <c:pt idx="3">
                  <c:v>59.372999999999998</c:v>
                </c:pt>
                <c:pt idx="4">
                  <c:v>142.072</c:v>
                </c:pt>
                <c:pt idx="5">
                  <c:v>49.725000000000001</c:v>
                </c:pt>
                <c:pt idx="6">
                  <c:v>414.86799999999999</c:v>
                </c:pt>
                <c:pt idx="7">
                  <c:v>77</c:v>
                </c:pt>
              </c:numCache>
            </c:numRef>
          </c:val>
          <c:extLst>
            <c:ext xmlns:c16="http://schemas.microsoft.com/office/drawing/2014/chart" uri="{C3380CC4-5D6E-409C-BE32-E72D297353CC}">
              <c16:uniqueId val="{00000000-277D-4A44-9A5B-41B34B5C63F8}"/>
            </c:ext>
          </c:extLst>
        </c:ser>
        <c:dLbls>
          <c:showLegendKey val="0"/>
          <c:showVal val="1"/>
          <c:showCatName val="0"/>
          <c:showSerName val="0"/>
          <c:showPercent val="0"/>
          <c:showBubbleSize val="0"/>
        </c:dLbls>
        <c:gapWidth val="150"/>
        <c:axId val="1843820048"/>
        <c:axId val="1843800464"/>
      </c:barChart>
      <c:catAx>
        <c:axId val="1843820048"/>
        <c:scaling>
          <c:orientation val="minMax"/>
        </c:scaling>
        <c:delete val="0"/>
        <c:axPos val="b"/>
        <c:numFmt formatCode="General" sourceLinked="0"/>
        <c:majorTickMark val="out"/>
        <c:minorTickMark val="none"/>
        <c:tickLblPos val="nextTo"/>
        <c:txPr>
          <a:bodyPr/>
          <a:lstStyle/>
          <a:p>
            <a:pPr>
              <a:defRPr sz="850"/>
            </a:pPr>
            <a:endParaRPr lang="en-US"/>
          </a:p>
        </c:txPr>
        <c:crossAx val="1843800464"/>
        <c:crosses val="autoZero"/>
        <c:auto val="1"/>
        <c:lblAlgn val="ctr"/>
        <c:lblOffset val="100"/>
        <c:noMultiLvlLbl val="0"/>
      </c:catAx>
      <c:valAx>
        <c:axId val="1843800464"/>
        <c:scaling>
          <c:orientation val="minMax"/>
        </c:scaling>
        <c:delete val="0"/>
        <c:axPos val="l"/>
        <c:title>
          <c:tx>
            <c:rich>
              <a:bodyPr rot="-5400000" vert="horz"/>
              <a:lstStyle/>
              <a:p>
                <a:pPr>
                  <a:defRPr b="0"/>
                </a:pPr>
                <a:r>
                  <a:rPr lang="en-US" b="0"/>
                  <a:t>US$</a:t>
                </a:r>
                <a:r>
                  <a:rPr lang="en-US" b="0" baseline="0"/>
                  <a:t> Billions</a:t>
                </a:r>
                <a:endParaRPr lang="en-US" b="0"/>
              </a:p>
            </c:rich>
          </c:tx>
          <c:layout>
            <c:manualLayout>
              <c:xMode val="edge"/>
              <c:yMode val="edge"/>
              <c:x val="1.1065006915629323E-2"/>
              <c:y val="0.26371228389839702"/>
            </c:manualLayout>
          </c:layout>
          <c:overlay val="0"/>
        </c:title>
        <c:numFmt formatCode="0" sourceLinked="1"/>
        <c:majorTickMark val="out"/>
        <c:minorTickMark val="none"/>
        <c:tickLblPos val="nextTo"/>
        <c:txPr>
          <a:bodyPr/>
          <a:lstStyle/>
          <a:p>
            <a:pPr>
              <a:defRPr sz="900" baseline="0"/>
            </a:pPr>
            <a:endParaRPr lang="en-US"/>
          </a:p>
        </c:txPr>
        <c:crossAx val="184382004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Projected employment share (%)</a:t>
            </a:r>
          </a:p>
        </c:rich>
      </c:tx>
      <c:overlay val="0"/>
    </c:title>
    <c:autoTitleDeleted val="0"/>
    <c:plotArea>
      <c:layout>
        <c:manualLayout>
          <c:layoutTarget val="inner"/>
          <c:xMode val="edge"/>
          <c:yMode val="edge"/>
          <c:x val="8.3724628171478743E-2"/>
          <c:y val="0.11719298245614049"/>
          <c:w val="0.86022681539807611"/>
          <c:h val="0.69417081088548194"/>
        </c:manualLayout>
      </c:layout>
      <c:barChart>
        <c:barDir val="bar"/>
        <c:grouping val="stacked"/>
        <c:varyColors val="0"/>
        <c:ser>
          <c:idx val="0"/>
          <c:order val="0"/>
          <c:tx>
            <c:strRef>
              <c:f>Sheet3!$B$43</c:f>
              <c:strCache>
                <c:ptCount val="1"/>
                <c:pt idx="0">
                  <c:v>Agriculture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Sheet3!$C$42:$G$42</c:f>
              <c:numCache>
                <c:formatCode>General</c:formatCode>
                <c:ptCount val="5"/>
                <c:pt idx="0">
                  <c:v>2020</c:v>
                </c:pt>
                <c:pt idx="1">
                  <c:v>2025</c:v>
                </c:pt>
                <c:pt idx="2">
                  <c:v>2030</c:v>
                </c:pt>
                <c:pt idx="3">
                  <c:v>2035</c:v>
                </c:pt>
                <c:pt idx="4">
                  <c:v>2041</c:v>
                </c:pt>
              </c:numCache>
            </c:numRef>
          </c:cat>
          <c:val>
            <c:numRef>
              <c:f>Sheet3!$C$43:$G$43</c:f>
              <c:numCache>
                <c:formatCode>0.0</c:formatCode>
                <c:ptCount val="5"/>
                <c:pt idx="0">
                  <c:v>39.200000000000003</c:v>
                </c:pt>
                <c:pt idx="1">
                  <c:v>33.366336633663359</c:v>
                </c:pt>
                <c:pt idx="2">
                  <c:v>24.762499999999992</c:v>
                </c:pt>
                <c:pt idx="3">
                  <c:v>22.8</c:v>
                </c:pt>
                <c:pt idx="4">
                  <c:v>19.100000000000001</c:v>
                </c:pt>
              </c:numCache>
            </c:numRef>
          </c:val>
          <c:extLst>
            <c:ext xmlns:c16="http://schemas.microsoft.com/office/drawing/2014/chart" uri="{C3380CC4-5D6E-409C-BE32-E72D297353CC}">
              <c16:uniqueId val="{00000000-06C5-4F01-BB9B-567FCF50E62C}"/>
            </c:ext>
          </c:extLst>
        </c:ser>
        <c:ser>
          <c:idx val="1"/>
          <c:order val="1"/>
          <c:tx>
            <c:strRef>
              <c:f>Sheet3!$B$44</c:f>
              <c:strCache>
                <c:ptCount val="1"/>
                <c:pt idx="0">
                  <c:v>Industry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Sheet3!$C$42:$G$42</c:f>
              <c:numCache>
                <c:formatCode>General</c:formatCode>
                <c:ptCount val="5"/>
                <c:pt idx="0">
                  <c:v>2020</c:v>
                </c:pt>
                <c:pt idx="1">
                  <c:v>2025</c:v>
                </c:pt>
                <c:pt idx="2">
                  <c:v>2030</c:v>
                </c:pt>
                <c:pt idx="3">
                  <c:v>2035</c:v>
                </c:pt>
                <c:pt idx="4">
                  <c:v>2041</c:v>
                </c:pt>
              </c:numCache>
            </c:numRef>
          </c:cat>
          <c:val>
            <c:numRef>
              <c:f>Sheet3!$C$44:$G$44</c:f>
              <c:numCache>
                <c:formatCode>0.0</c:formatCode>
                <c:ptCount val="5"/>
                <c:pt idx="0">
                  <c:v>19.5</c:v>
                </c:pt>
                <c:pt idx="1">
                  <c:v>24.865435356200528</c:v>
                </c:pt>
                <c:pt idx="2">
                  <c:v>28.270449172576829</c:v>
                </c:pt>
                <c:pt idx="3">
                  <c:v>28.601698513800436</c:v>
                </c:pt>
                <c:pt idx="4">
                  <c:v>24.33908045977012</c:v>
                </c:pt>
              </c:numCache>
            </c:numRef>
          </c:val>
          <c:extLst>
            <c:ext xmlns:c16="http://schemas.microsoft.com/office/drawing/2014/chart" uri="{C3380CC4-5D6E-409C-BE32-E72D297353CC}">
              <c16:uniqueId val="{00000001-06C5-4F01-BB9B-567FCF50E62C}"/>
            </c:ext>
          </c:extLst>
        </c:ser>
        <c:ser>
          <c:idx val="2"/>
          <c:order val="2"/>
          <c:tx>
            <c:strRef>
              <c:f>Sheet3!$B$45</c:f>
              <c:strCache>
                <c:ptCount val="1"/>
                <c:pt idx="0">
                  <c:v>Services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Sheet3!$C$42:$G$42</c:f>
              <c:numCache>
                <c:formatCode>General</c:formatCode>
                <c:ptCount val="5"/>
                <c:pt idx="0">
                  <c:v>2020</c:v>
                </c:pt>
                <c:pt idx="1">
                  <c:v>2025</c:v>
                </c:pt>
                <c:pt idx="2">
                  <c:v>2030</c:v>
                </c:pt>
                <c:pt idx="3">
                  <c:v>2035</c:v>
                </c:pt>
                <c:pt idx="4">
                  <c:v>2041</c:v>
                </c:pt>
              </c:numCache>
            </c:numRef>
          </c:cat>
          <c:val>
            <c:numRef>
              <c:f>Sheet3!$C$45:$G$45</c:f>
              <c:numCache>
                <c:formatCode>0.0</c:formatCode>
                <c:ptCount val="5"/>
                <c:pt idx="0">
                  <c:v>41.3</c:v>
                </c:pt>
                <c:pt idx="1">
                  <c:v>41.768228010136113</c:v>
                </c:pt>
                <c:pt idx="2">
                  <c:v>46.967050827423165</c:v>
                </c:pt>
                <c:pt idx="3">
                  <c:v>48.598301486199581</c:v>
                </c:pt>
                <c:pt idx="4">
                  <c:v>56.560919540229889</c:v>
                </c:pt>
              </c:numCache>
            </c:numRef>
          </c:val>
          <c:extLst>
            <c:ext xmlns:c16="http://schemas.microsoft.com/office/drawing/2014/chart" uri="{C3380CC4-5D6E-409C-BE32-E72D297353CC}">
              <c16:uniqueId val="{00000002-06C5-4F01-BB9B-567FCF50E62C}"/>
            </c:ext>
          </c:extLst>
        </c:ser>
        <c:dLbls>
          <c:showLegendKey val="0"/>
          <c:showVal val="0"/>
          <c:showCatName val="0"/>
          <c:showSerName val="0"/>
          <c:showPercent val="0"/>
          <c:showBubbleSize val="0"/>
        </c:dLbls>
        <c:gapWidth val="150"/>
        <c:overlap val="100"/>
        <c:axId val="1634349680"/>
        <c:axId val="1634364368"/>
      </c:barChart>
      <c:catAx>
        <c:axId val="1634349680"/>
        <c:scaling>
          <c:orientation val="minMax"/>
        </c:scaling>
        <c:delete val="0"/>
        <c:axPos val="l"/>
        <c:numFmt formatCode="General" sourceLinked="1"/>
        <c:majorTickMark val="out"/>
        <c:minorTickMark val="none"/>
        <c:tickLblPos val="nextTo"/>
        <c:crossAx val="1634364368"/>
        <c:crosses val="autoZero"/>
        <c:auto val="1"/>
        <c:lblAlgn val="ctr"/>
        <c:lblOffset val="100"/>
        <c:noMultiLvlLbl val="0"/>
      </c:catAx>
      <c:valAx>
        <c:axId val="1634364368"/>
        <c:scaling>
          <c:orientation val="minMax"/>
          <c:max val="100"/>
        </c:scaling>
        <c:delete val="0"/>
        <c:axPos val="b"/>
        <c:majorGridlines/>
        <c:numFmt formatCode="0.0" sourceLinked="1"/>
        <c:majorTickMark val="out"/>
        <c:minorTickMark val="none"/>
        <c:tickLblPos val="nextTo"/>
        <c:crossAx val="1634349680"/>
        <c:crosses val="autoZero"/>
        <c:crossBetween val="between"/>
      </c:valAx>
    </c:plotArea>
    <c:legend>
      <c:legendPos val="b"/>
      <c:overlay val="0"/>
    </c:legend>
    <c:plotVisOnly val="1"/>
    <c:dispBlanksAs val="gap"/>
    <c:showDLblsOverMax val="0"/>
  </c:chart>
  <c:spPr>
    <a:ln>
      <a:solidFill>
        <a:sysClr val="windowText" lastClr="000000"/>
      </a:solidFill>
    </a:ln>
  </c:spPr>
  <c:txPr>
    <a:bodyPr/>
    <a:lstStyle/>
    <a:p>
      <a:pPr>
        <a:defRPr sz="800" b="1">
          <a:latin typeface="+mn-lt"/>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78155474468147E-2"/>
          <c:y val="5.0921347008745683E-2"/>
          <c:w val="0.88487783539252718"/>
          <c:h val="0.67959380623273624"/>
        </c:manualLayout>
      </c:layout>
      <c:barChart>
        <c:barDir val="col"/>
        <c:grouping val="clustered"/>
        <c:varyColors val="0"/>
        <c:ser>
          <c:idx val="0"/>
          <c:order val="0"/>
          <c:tx>
            <c:strRef>
              <c:f>Sheet3!$B$1</c:f>
              <c:strCache>
                <c:ptCount val="1"/>
                <c:pt idx="0">
                  <c:v>FDI Inflows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Sheet3!$A$2:$A$10</c:f>
              <c:strCache>
                <c:ptCount val="9"/>
                <c:pt idx="0">
                  <c:v>China</c:v>
                </c:pt>
                <c:pt idx="1">
                  <c:v>Hongkong</c:v>
                </c:pt>
                <c:pt idx="2">
                  <c:v>India</c:v>
                </c:pt>
                <c:pt idx="3">
                  <c:v>Indonesia</c:v>
                </c:pt>
                <c:pt idx="4">
                  <c:v>Malaysia</c:v>
                </c:pt>
                <c:pt idx="5">
                  <c:v>Singapore</c:v>
                </c:pt>
                <c:pt idx="6">
                  <c:v>Thailand</c:v>
                </c:pt>
                <c:pt idx="7">
                  <c:v>Vietnam</c:v>
                </c:pt>
                <c:pt idx="8">
                  <c:v>Bangladesh</c:v>
                </c:pt>
              </c:strCache>
            </c:strRef>
          </c:cat>
          <c:val>
            <c:numRef>
              <c:f>Sheet3!$B$2:$B$10</c:f>
              <c:numCache>
                <c:formatCode>0</c:formatCode>
                <c:ptCount val="9"/>
                <c:pt idx="0">
                  <c:v>133.69999999999999</c:v>
                </c:pt>
                <c:pt idx="1">
                  <c:v>108.126</c:v>
                </c:pt>
                <c:pt idx="2">
                  <c:v>44.485999999999997</c:v>
                </c:pt>
                <c:pt idx="3">
                  <c:v>2.6579999999999999</c:v>
                </c:pt>
                <c:pt idx="4">
                  <c:v>9.9260000000000002</c:v>
                </c:pt>
                <c:pt idx="5">
                  <c:v>61.597000000000001</c:v>
                </c:pt>
                <c:pt idx="6">
                  <c:v>1.554</c:v>
                </c:pt>
                <c:pt idx="7">
                  <c:v>12.6</c:v>
                </c:pt>
                <c:pt idx="8">
                  <c:v>2.3330000000000002</c:v>
                </c:pt>
              </c:numCache>
            </c:numRef>
          </c:val>
          <c:extLst>
            <c:ext xmlns:c16="http://schemas.microsoft.com/office/drawing/2014/chart" uri="{C3380CC4-5D6E-409C-BE32-E72D297353CC}">
              <c16:uniqueId val="{00000000-379B-4A31-918E-3E7607BF71E2}"/>
            </c:ext>
          </c:extLst>
        </c:ser>
        <c:dLbls>
          <c:showLegendKey val="0"/>
          <c:showVal val="1"/>
          <c:showCatName val="0"/>
          <c:showSerName val="0"/>
          <c:showPercent val="0"/>
          <c:showBubbleSize val="0"/>
        </c:dLbls>
        <c:gapWidth val="150"/>
        <c:axId val="1843820592"/>
        <c:axId val="1843821136"/>
      </c:barChart>
      <c:catAx>
        <c:axId val="1843820592"/>
        <c:scaling>
          <c:orientation val="minMax"/>
        </c:scaling>
        <c:delete val="0"/>
        <c:axPos val="b"/>
        <c:numFmt formatCode="General" sourceLinked="0"/>
        <c:majorTickMark val="out"/>
        <c:minorTickMark val="none"/>
        <c:tickLblPos val="nextTo"/>
        <c:txPr>
          <a:bodyPr/>
          <a:lstStyle/>
          <a:p>
            <a:pPr>
              <a:defRPr sz="850"/>
            </a:pPr>
            <a:endParaRPr lang="en-US"/>
          </a:p>
        </c:txPr>
        <c:crossAx val="1843821136"/>
        <c:crosses val="autoZero"/>
        <c:auto val="1"/>
        <c:lblAlgn val="ctr"/>
        <c:lblOffset val="100"/>
        <c:noMultiLvlLbl val="0"/>
      </c:catAx>
      <c:valAx>
        <c:axId val="1843821136"/>
        <c:scaling>
          <c:orientation val="minMax"/>
        </c:scaling>
        <c:delete val="0"/>
        <c:axPos val="l"/>
        <c:title>
          <c:tx>
            <c:rich>
              <a:bodyPr rot="-5400000" vert="horz"/>
              <a:lstStyle/>
              <a:p>
                <a:pPr>
                  <a:defRPr/>
                </a:pPr>
                <a:r>
                  <a:rPr lang="en-US"/>
                  <a:t>Billion US$</a:t>
                </a:r>
              </a:p>
            </c:rich>
          </c:tx>
          <c:layout>
            <c:manualLayout>
              <c:xMode val="edge"/>
              <c:yMode val="edge"/>
              <c:x val="0"/>
              <c:y val="0.30142821769920275"/>
            </c:manualLayout>
          </c:layout>
          <c:overlay val="0"/>
        </c:title>
        <c:numFmt formatCode="0" sourceLinked="1"/>
        <c:majorTickMark val="out"/>
        <c:minorTickMark val="none"/>
        <c:tickLblPos val="nextTo"/>
        <c:crossAx val="1843820592"/>
        <c:crosses val="autoZero"/>
        <c:crossBetween val="between"/>
      </c:valAx>
    </c:plotArea>
    <c:plotVisOnly val="1"/>
    <c:dispBlanksAs val="gap"/>
    <c:showDLblsOverMax val="0"/>
  </c:chart>
  <c:txPr>
    <a:bodyPr/>
    <a:lstStyle/>
    <a:p>
      <a:pPr>
        <a:defRPr sz="900"/>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84333989501313"/>
          <c:y val="0.17977462597585767"/>
          <c:w val="0.83746268044619432"/>
          <c:h val="0.66582430551885707"/>
        </c:manualLayout>
      </c:layout>
      <c:lineChart>
        <c:grouping val="standard"/>
        <c:varyColors val="0"/>
        <c:ser>
          <c:idx val="0"/>
          <c:order val="0"/>
          <c:tx>
            <c:strRef>
              <c:f>'[Bangladesh FDI database_Sep 2016_updated Jan2017.xlsx]Inflows by Area'!$B$4</c:f>
              <c:strCache>
                <c:ptCount val="1"/>
                <c:pt idx="0">
                  <c:v>(Million USD)</c:v>
                </c:pt>
              </c:strCache>
            </c:strRef>
          </c:tx>
          <c:marker>
            <c:symbol val="none"/>
          </c:marker>
          <c:cat>
            <c:numRef>
              <c:f>'[Bangladesh FDI database_Sep 2016_updated Jan2017.xlsx]Inflows by Area'!$C$3:$W$3</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'[Bangladesh FDI database_Sep 2016_updated Jan2017.xlsx]Inflows by Area'!$C$4:$W$4</c:f>
              <c:numCache>
                <c:formatCode>General</c:formatCode>
                <c:ptCount val="21"/>
              </c:numCache>
            </c:numRef>
          </c:val>
          <c:smooth val="0"/>
          <c:extLst>
            <c:ext xmlns:c16="http://schemas.microsoft.com/office/drawing/2014/chart" uri="{C3380CC4-5D6E-409C-BE32-E72D297353CC}">
              <c16:uniqueId val="{00000000-C272-4B55-81C6-66A7C4A29360}"/>
            </c:ext>
          </c:extLst>
        </c:ser>
        <c:ser>
          <c:idx val="1"/>
          <c:order val="1"/>
          <c:tx>
            <c:strRef>
              <c:f>'[Bangladesh FDI database_Sep 2016_updated Jan2017.xlsx]Inflows by Area'!$B$5</c:f>
              <c:strCache>
                <c:ptCount val="1"/>
                <c:pt idx="0">
                  <c:v>EPZ</c:v>
                </c:pt>
              </c:strCache>
            </c:strRef>
          </c:tx>
          <c:marker>
            <c:symbol val="none"/>
          </c:marker>
          <c:cat>
            <c:numRef>
              <c:f>'[Bangladesh FDI database_Sep 2016_updated Jan2017.xlsx]Inflows by Area'!$C$3:$W$3</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'[Bangladesh FDI database_Sep 2016_updated Jan2017.xlsx]Inflows by Area'!$C$5:$W$5</c:f>
              <c:numCache>
                <c:formatCode>General</c:formatCode>
                <c:ptCount val="21"/>
                <c:pt idx="0">
                  <c:v>42.31</c:v>
                </c:pt>
                <c:pt idx="1">
                  <c:v>69.25</c:v>
                </c:pt>
                <c:pt idx="2">
                  <c:v>88.31</c:v>
                </c:pt>
                <c:pt idx="3">
                  <c:v>154.43</c:v>
                </c:pt>
                <c:pt idx="4">
                  <c:v>81.2</c:v>
                </c:pt>
                <c:pt idx="5">
                  <c:v>56.1</c:v>
                </c:pt>
                <c:pt idx="6">
                  <c:v>87.5</c:v>
                </c:pt>
                <c:pt idx="7">
                  <c:v>59.3</c:v>
                </c:pt>
                <c:pt idx="8">
                  <c:v>42.7</c:v>
                </c:pt>
                <c:pt idx="9">
                  <c:v>110.8</c:v>
                </c:pt>
                <c:pt idx="10">
                  <c:v>71.099999999999994</c:v>
                </c:pt>
                <c:pt idx="11">
                  <c:v>105.4</c:v>
                </c:pt>
                <c:pt idx="12">
                  <c:v>118.6</c:v>
                </c:pt>
                <c:pt idx="13">
                  <c:v>141.9</c:v>
                </c:pt>
                <c:pt idx="14">
                  <c:v>118.2</c:v>
                </c:pt>
                <c:pt idx="15">
                  <c:v>228.1</c:v>
                </c:pt>
                <c:pt idx="16">
                  <c:v>251.47</c:v>
                </c:pt>
                <c:pt idx="17">
                  <c:v>352.07</c:v>
                </c:pt>
                <c:pt idx="18">
                  <c:v>406.41</c:v>
                </c:pt>
                <c:pt idx="19">
                  <c:v>406.66</c:v>
                </c:pt>
                <c:pt idx="20">
                  <c:v>416.77</c:v>
                </c:pt>
              </c:numCache>
            </c:numRef>
          </c:val>
          <c:smooth val="0"/>
          <c:extLst>
            <c:ext xmlns:c16="http://schemas.microsoft.com/office/drawing/2014/chart" uri="{C3380CC4-5D6E-409C-BE32-E72D297353CC}">
              <c16:uniqueId val="{00000001-C272-4B55-81C6-66A7C4A29360}"/>
            </c:ext>
          </c:extLst>
        </c:ser>
        <c:ser>
          <c:idx val="2"/>
          <c:order val="2"/>
          <c:tx>
            <c:strRef>
              <c:f>'[Bangladesh FDI database_Sep 2016_updated Jan2017.xlsx]Inflows by Area'!$B$6</c:f>
              <c:strCache>
                <c:ptCount val="1"/>
                <c:pt idx="0">
                  <c:v>Non-EPZ</c:v>
                </c:pt>
              </c:strCache>
            </c:strRef>
          </c:tx>
          <c:marker>
            <c:symbol val="none"/>
          </c:marker>
          <c:cat>
            <c:numRef>
              <c:f>'[Bangladesh FDI database_Sep 2016_updated Jan2017.xlsx]Inflows by Area'!$C$3:$W$3</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'[Bangladesh FDI database_Sep 2016_updated Jan2017.xlsx]Inflows by Area'!$C$6:$W$6</c:f>
              <c:numCache>
                <c:formatCode>General</c:formatCode>
                <c:ptCount val="21"/>
                <c:pt idx="0">
                  <c:v>189.3</c:v>
                </c:pt>
                <c:pt idx="1">
                  <c:v>506.1</c:v>
                </c:pt>
                <c:pt idx="2">
                  <c:v>488.2</c:v>
                </c:pt>
                <c:pt idx="3">
                  <c:v>154.69999999999999</c:v>
                </c:pt>
                <c:pt idx="4">
                  <c:v>497.4</c:v>
                </c:pt>
                <c:pt idx="5">
                  <c:v>298.39999999999998</c:v>
                </c:pt>
                <c:pt idx="6">
                  <c:v>247.9</c:v>
                </c:pt>
                <c:pt idx="7">
                  <c:v>290.89999999999998</c:v>
                </c:pt>
                <c:pt idx="8">
                  <c:v>417.7</c:v>
                </c:pt>
                <c:pt idx="9">
                  <c:v>734.4</c:v>
                </c:pt>
                <c:pt idx="10">
                  <c:v>721.4</c:v>
                </c:pt>
                <c:pt idx="11">
                  <c:v>560.9</c:v>
                </c:pt>
                <c:pt idx="12">
                  <c:v>967.7</c:v>
                </c:pt>
                <c:pt idx="13">
                  <c:v>558.29999999999995</c:v>
                </c:pt>
                <c:pt idx="14">
                  <c:v>795.2</c:v>
                </c:pt>
                <c:pt idx="15">
                  <c:v>908.4</c:v>
                </c:pt>
                <c:pt idx="16">
                  <c:v>1041.0900000000001</c:v>
                </c:pt>
                <c:pt idx="17">
                  <c:v>1247.0900000000001</c:v>
                </c:pt>
                <c:pt idx="18">
                  <c:v>1144.8699999999999</c:v>
                </c:pt>
                <c:pt idx="19">
                  <c:v>1828.7299999999998</c:v>
                </c:pt>
                <c:pt idx="20">
                  <c:v>1915.95</c:v>
                </c:pt>
              </c:numCache>
            </c:numRef>
          </c:val>
          <c:smooth val="0"/>
          <c:extLst>
            <c:ext xmlns:c16="http://schemas.microsoft.com/office/drawing/2014/chart" uri="{C3380CC4-5D6E-409C-BE32-E72D297353CC}">
              <c16:uniqueId val="{00000002-C272-4B55-81C6-66A7C4A29360}"/>
            </c:ext>
          </c:extLst>
        </c:ser>
        <c:ser>
          <c:idx val="3"/>
          <c:order val="3"/>
          <c:tx>
            <c:strRef>
              <c:f>'[Bangladesh FDI database_Sep 2016_updated Jan2017.xlsx]Inflows by Area'!$B$7</c:f>
              <c:strCache>
                <c:ptCount val="1"/>
                <c:pt idx="0">
                  <c:v>Total</c:v>
                </c:pt>
              </c:strCache>
            </c:strRef>
          </c:tx>
          <c:marker>
            <c:symbol val="none"/>
          </c:marker>
          <c:cat>
            <c:numRef>
              <c:f>'[Bangladesh FDI database_Sep 2016_updated Jan2017.xlsx]Inflows by Area'!$C$3:$W$3</c:f>
              <c:numCache>
                <c:formatCode>General</c:formatCode>
                <c:ptCount val="2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numCache>
            </c:numRef>
          </c:cat>
          <c:val>
            <c:numRef>
              <c:f>'[Bangladesh FDI database_Sep 2016_updated Jan2017.xlsx]Inflows by Area'!$C$7:$W$7</c:f>
              <c:numCache>
                <c:formatCode>0.0</c:formatCode>
                <c:ptCount val="21"/>
                <c:pt idx="0">
                  <c:v>231.61</c:v>
                </c:pt>
                <c:pt idx="1">
                  <c:v>575.35</c:v>
                </c:pt>
                <c:pt idx="2">
                  <c:v>576.51</c:v>
                </c:pt>
                <c:pt idx="3">
                  <c:v>309.13</c:v>
                </c:pt>
                <c:pt idx="4">
                  <c:v>578.6</c:v>
                </c:pt>
                <c:pt idx="5">
                  <c:v>354.5</c:v>
                </c:pt>
                <c:pt idx="6">
                  <c:v>335.4</c:v>
                </c:pt>
                <c:pt idx="7">
                  <c:v>350.2</c:v>
                </c:pt>
                <c:pt idx="8">
                  <c:v>460.4</c:v>
                </c:pt>
                <c:pt idx="9">
                  <c:v>845.19999999999993</c:v>
                </c:pt>
                <c:pt idx="10">
                  <c:v>792.5</c:v>
                </c:pt>
                <c:pt idx="11">
                  <c:v>666.3</c:v>
                </c:pt>
                <c:pt idx="12">
                  <c:v>1086.3</c:v>
                </c:pt>
                <c:pt idx="13">
                  <c:v>700.19999999999993</c:v>
                </c:pt>
                <c:pt idx="14">
                  <c:v>913.40000000000009</c:v>
                </c:pt>
                <c:pt idx="15">
                  <c:v>1136.5</c:v>
                </c:pt>
                <c:pt idx="16">
                  <c:v>1292.5600000000002</c:v>
                </c:pt>
                <c:pt idx="17">
                  <c:v>1599.16</c:v>
                </c:pt>
                <c:pt idx="18">
                  <c:v>1551.28</c:v>
                </c:pt>
                <c:pt idx="19">
                  <c:v>2235.39</c:v>
                </c:pt>
                <c:pt idx="20">
                  <c:v>2332.7200000000003</c:v>
                </c:pt>
              </c:numCache>
            </c:numRef>
          </c:val>
          <c:smooth val="0"/>
          <c:extLst>
            <c:ext xmlns:c16="http://schemas.microsoft.com/office/drawing/2014/chart" uri="{C3380CC4-5D6E-409C-BE32-E72D297353CC}">
              <c16:uniqueId val="{00000003-C272-4B55-81C6-66A7C4A29360}"/>
            </c:ext>
          </c:extLst>
        </c:ser>
        <c:dLbls>
          <c:showLegendKey val="0"/>
          <c:showVal val="0"/>
          <c:showCatName val="0"/>
          <c:showSerName val="0"/>
          <c:showPercent val="0"/>
          <c:showBubbleSize val="0"/>
        </c:dLbls>
        <c:smooth val="0"/>
        <c:axId val="1843803728"/>
        <c:axId val="1843807536"/>
      </c:lineChart>
      <c:catAx>
        <c:axId val="1843803728"/>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1843807536"/>
        <c:crosses val="autoZero"/>
        <c:auto val="1"/>
        <c:lblAlgn val="ctr"/>
        <c:lblOffset val="100"/>
        <c:noMultiLvlLbl val="0"/>
      </c:catAx>
      <c:valAx>
        <c:axId val="1843807536"/>
        <c:scaling>
          <c:orientation val="minMax"/>
        </c:scaling>
        <c:delete val="0"/>
        <c:axPos val="l"/>
        <c:title>
          <c:tx>
            <c:rich>
              <a:bodyPr rot="-5400000" vert="horz"/>
              <a:lstStyle/>
              <a:p>
                <a:pPr>
                  <a:defRPr/>
                </a:pPr>
                <a:r>
                  <a:rPr lang="en-US"/>
                  <a:t>US$</a:t>
                </a:r>
                <a:r>
                  <a:rPr lang="en-US" baseline="0"/>
                  <a:t> Millions</a:t>
                </a:r>
                <a:endParaRPr lang="en-US"/>
              </a:p>
            </c:rich>
          </c:tx>
          <c:overlay val="0"/>
        </c:title>
        <c:numFmt formatCode="General" sourceLinked="1"/>
        <c:majorTickMark val="out"/>
        <c:minorTickMark val="none"/>
        <c:tickLblPos val="nextTo"/>
        <c:crossAx val="1843803728"/>
        <c:crosses val="autoZero"/>
        <c:crossBetween val="between"/>
      </c:valAx>
    </c:plotArea>
    <c:legend>
      <c:legendPos val="t"/>
      <c:legendEntry>
        <c:idx val="0"/>
        <c:delete val="1"/>
      </c:legendEntry>
      <c:layout>
        <c:manualLayout>
          <c:xMode val="edge"/>
          <c:yMode val="edge"/>
          <c:x val="0.30366141079801234"/>
          <c:y val="0.10235944290164539"/>
          <c:w val="0.39267699707959058"/>
          <c:h val="6.529397508471381E-2"/>
        </c:manualLayout>
      </c:layou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942220764071152E-2"/>
          <c:y val="4.8555372110744219E-2"/>
          <c:w val="0.89548293476302476"/>
          <c:h val="0.4746602059357965"/>
        </c:manualLayout>
      </c:layout>
      <c:barChart>
        <c:barDir val="col"/>
        <c:grouping val="clustered"/>
        <c:varyColors val="0"/>
        <c:ser>
          <c:idx val="0"/>
          <c:order val="0"/>
          <c:tx>
            <c:strRef>
              <c:f>Sheet5!$B$11</c:f>
              <c:strCache>
                <c:ptCount val="1"/>
                <c:pt idx="0">
                  <c:v>Sectoral shares in FDI Stock</c:v>
                </c:pt>
              </c:strCache>
            </c:strRef>
          </c:tx>
          <c:spPr>
            <a:solidFill>
              <a:srgbClr val="9BBB59"/>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Sheet5!$A$12:$A$17</c:f>
              <c:strCache>
                <c:ptCount val="6"/>
                <c:pt idx="0">
                  <c:v>Agri. &amp; Fishing</c:v>
                </c:pt>
                <c:pt idx="1">
                  <c:v>Power, Gas &amp;Petroleum</c:v>
                </c:pt>
                <c:pt idx="2">
                  <c:v>Manufacuring*</c:v>
                </c:pt>
                <c:pt idx="3">
                  <c:v>Banking and Finance</c:v>
                </c:pt>
                <c:pt idx="4">
                  <c:v>Communications**</c:v>
                </c:pt>
                <c:pt idx="5">
                  <c:v>Other Sectors</c:v>
                </c:pt>
              </c:strCache>
            </c:strRef>
          </c:cat>
          <c:val>
            <c:numRef>
              <c:f>Sheet5!$B$12:$B$17</c:f>
              <c:numCache>
                <c:formatCode>General</c:formatCode>
                <c:ptCount val="6"/>
                <c:pt idx="0">
                  <c:v>2</c:v>
                </c:pt>
                <c:pt idx="1">
                  <c:v>33</c:v>
                </c:pt>
                <c:pt idx="2">
                  <c:v>26</c:v>
                </c:pt>
                <c:pt idx="3">
                  <c:v>15</c:v>
                </c:pt>
                <c:pt idx="4">
                  <c:v>10</c:v>
                </c:pt>
                <c:pt idx="5">
                  <c:v>14</c:v>
                </c:pt>
              </c:numCache>
            </c:numRef>
          </c:val>
          <c:extLst>
            <c:ext xmlns:c16="http://schemas.microsoft.com/office/drawing/2014/chart" uri="{C3380CC4-5D6E-409C-BE32-E72D297353CC}">
              <c16:uniqueId val="{00000000-BB84-4A30-BA0E-C5D832333312}"/>
            </c:ext>
          </c:extLst>
        </c:ser>
        <c:dLbls>
          <c:showLegendKey val="0"/>
          <c:showVal val="0"/>
          <c:showCatName val="0"/>
          <c:showSerName val="0"/>
          <c:showPercent val="0"/>
          <c:showBubbleSize val="0"/>
        </c:dLbls>
        <c:gapWidth val="150"/>
        <c:axId val="1843804272"/>
        <c:axId val="1843816784"/>
      </c:barChart>
      <c:catAx>
        <c:axId val="1843804272"/>
        <c:scaling>
          <c:orientation val="minMax"/>
        </c:scaling>
        <c:delete val="0"/>
        <c:axPos val="b"/>
        <c:numFmt formatCode="General" sourceLinked="0"/>
        <c:majorTickMark val="out"/>
        <c:minorTickMark val="none"/>
        <c:tickLblPos val="nextTo"/>
        <c:txPr>
          <a:bodyPr/>
          <a:lstStyle/>
          <a:p>
            <a:pPr>
              <a:defRPr sz="800"/>
            </a:pPr>
            <a:endParaRPr lang="en-US"/>
          </a:p>
        </c:txPr>
        <c:crossAx val="1843816784"/>
        <c:crosses val="autoZero"/>
        <c:auto val="1"/>
        <c:lblAlgn val="ctr"/>
        <c:lblOffset val="100"/>
        <c:noMultiLvlLbl val="0"/>
      </c:catAx>
      <c:valAx>
        <c:axId val="1843816784"/>
        <c:scaling>
          <c:orientation val="minMax"/>
        </c:scaling>
        <c:delete val="0"/>
        <c:axPos val="l"/>
        <c:title>
          <c:tx>
            <c:rich>
              <a:bodyPr rot="-5400000" vert="horz"/>
              <a:lstStyle/>
              <a:p>
                <a:pPr>
                  <a:defRPr sz="900"/>
                </a:pPr>
                <a:r>
                  <a:rPr lang="en-US" sz="900"/>
                  <a:t>Percentage</a:t>
                </a:r>
                <a:r>
                  <a:rPr lang="en-US" sz="900" baseline="0"/>
                  <a:t> of 2016  Stock </a:t>
                </a:r>
                <a:endParaRPr lang="en-US" sz="900"/>
              </a:p>
            </c:rich>
          </c:tx>
          <c:layout>
            <c:manualLayout>
              <c:xMode val="edge"/>
              <c:yMode val="edge"/>
              <c:x val="1.6353799930852802E-3"/>
              <c:y val="6.9848879247755125E-2"/>
            </c:manualLayout>
          </c:layout>
          <c:overlay val="0"/>
        </c:title>
        <c:numFmt formatCode="General" sourceLinked="1"/>
        <c:majorTickMark val="out"/>
        <c:minorTickMark val="none"/>
        <c:tickLblPos val="nextTo"/>
        <c:crossAx val="1843804272"/>
        <c:crosses val="autoZero"/>
        <c:crossBetween val="between"/>
      </c:valAx>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4746324185205"/>
          <c:y val="4.7150275585920116E-2"/>
          <c:w val="0.86529753707334744"/>
          <c:h val="0.74910632915010478"/>
        </c:manualLayout>
      </c:layout>
      <c:lineChart>
        <c:grouping val="standard"/>
        <c:varyColors val="0"/>
        <c:ser>
          <c:idx val="0"/>
          <c:order val="0"/>
          <c:tx>
            <c:strRef>
              <c:f>Sheet3!$B$2</c:f>
              <c:strCache>
                <c:ptCount val="1"/>
                <c:pt idx="0">
                  <c:v>Total Exports</c:v>
                </c:pt>
              </c:strCache>
            </c:strRef>
          </c:tx>
          <c:marker>
            <c:symbol val="diamond"/>
            <c:size val="5"/>
            <c:spPr>
              <a:solidFill>
                <a:schemeClr val="accent2">
                  <a:lumMod val="75000"/>
                </a:schemeClr>
              </a:solidFill>
            </c:spPr>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11-4213-9D90-CC6CEFAB09B3}"/>
                </c:ext>
              </c:extLst>
            </c:dLbl>
            <c:dLbl>
              <c:idx val="11"/>
              <c:layout>
                <c:manualLayout>
                  <c:x val="0"/>
                  <c:y val="-1.86154707020707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11-4213-9D90-CC6CEFAB09B3}"/>
                </c:ext>
              </c:extLst>
            </c:dLbl>
            <c:dLbl>
              <c:idx val="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11-4213-9D90-CC6CEFAB09B3}"/>
                </c:ext>
              </c:extLst>
            </c:dLbl>
            <c:dLbl>
              <c:idx val="2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11-4213-9D90-CC6CEFAB09B3}"/>
                </c:ext>
              </c:extLst>
            </c:dLbl>
            <c:dLbl>
              <c:idx val="27"/>
              <c:layout>
                <c:manualLayout>
                  <c:x val="-5.4982805967409487E-3"/>
                  <c:y val="2.3269338377588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11-4213-9D90-CC6CEFAB09B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Sheet3!$A$3:$A$30</c:f>
              <c:strCache>
                <c:ptCount val="28"/>
                <c:pt idx="0">
                  <c:v>FY90</c:v>
                </c:pt>
                <c:pt idx="1">
                  <c:v>FY91</c:v>
                </c:pt>
                <c:pt idx="2">
                  <c:v>FY92</c:v>
                </c:pt>
                <c:pt idx="3">
                  <c:v>FY93</c:v>
                </c:pt>
                <c:pt idx="4">
                  <c:v>FY94</c:v>
                </c:pt>
                <c:pt idx="5">
                  <c:v>FY95</c:v>
                </c:pt>
                <c:pt idx="6">
                  <c:v>FY96</c:v>
                </c:pt>
                <c:pt idx="7">
                  <c:v>FY97</c:v>
                </c:pt>
                <c:pt idx="8">
                  <c:v>FY98</c:v>
                </c:pt>
                <c:pt idx="9">
                  <c:v>FY99</c:v>
                </c:pt>
                <c:pt idx="10">
                  <c:v>FY00</c:v>
                </c:pt>
                <c:pt idx="11">
                  <c:v>FY01</c:v>
                </c:pt>
                <c:pt idx="12">
                  <c:v>FY02</c:v>
                </c:pt>
                <c:pt idx="13">
                  <c:v>FY03</c:v>
                </c:pt>
                <c:pt idx="14">
                  <c:v>FY04</c:v>
                </c:pt>
                <c:pt idx="15">
                  <c:v>FY05</c:v>
                </c:pt>
                <c:pt idx="16">
                  <c:v>FY06</c:v>
                </c:pt>
                <c:pt idx="17">
                  <c:v>FY07</c:v>
                </c:pt>
                <c:pt idx="18">
                  <c:v>FY08</c:v>
                </c:pt>
                <c:pt idx="19">
                  <c:v>FY09</c:v>
                </c:pt>
                <c:pt idx="20">
                  <c:v>FY10</c:v>
                </c:pt>
                <c:pt idx="21">
                  <c:v>FY11</c:v>
                </c:pt>
                <c:pt idx="22">
                  <c:v>FY12</c:v>
                </c:pt>
                <c:pt idx="23">
                  <c:v>FY13</c:v>
                </c:pt>
                <c:pt idx="24">
                  <c:v>FY14</c:v>
                </c:pt>
                <c:pt idx="25">
                  <c:v>FY15</c:v>
                </c:pt>
                <c:pt idx="26">
                  <c:v>FY16</c:v>
                </c:pt>
                <c:pt idx="27">
                  <c:v>FY17</c:v>
                </c:pt>
              </c:strCache>
            </c:strRef>
          </c:cat>
          <c:val>
            <c:numRef>
              <c:f>Sheet3!$B$3:$B$30</c:f>
              <c:numCache>
                <c:formatCode>0.0</c:formatCode>
                <c:ptCount val="28"/>
                <c:pt idx="0">
                  <c:v>1.5237049999999999</c:v>
                </c:pt>
                <c:pt idx="1">
                  <c:v>1.717552</c:v>
                </c:pt>
                <c:pt idx="2">
                  <c:v>1.9939210000000001</c:v>
                </c:pt>
                <c:pt idx="3">
                  <c:v>2.3828930000000001</c:v>
                </c:pt>
                <c:pt idx="4">
                  <c:v>2.5339009999999997</c:v>
                </c:pt>
                <c:pt idx="5">
                  <c:v>3.4725600000000001</c:v>
                </c:pt>
                <c:pt idx="6">
                  <c:v>3.8824200000000002</c:v>
                </c:pt>
                <c:pt idx="7">
                  <c:v>4.4182799999999993</c:v>
                </c:pt>
                <c:pt idx="8">
                  <c:v>5.1612</c:v>
                </c:pt>
                <c:pt idx="9">
                  <c:v>5.3128599999999997</c:v>
                </c:pt>
                <c:pt idx="10">
                  <c:v>5.7522000000000002</c:v>
                </c:pt>
                <c:pt idx="11">
                  <c:v>6.4672999999999998</c:v>
                </c:pt>
                <c:pt idx="12">
                  <c:v>5.9860899999999999</c:v>
                </c:pt>
                <c:pt idx="13">
                  <c:v>6.5450799999999996</c:v>
                </c:pt>
                <c:pt idx="14">
                  <c:v>7.5985000000000005</c:v>
                </c:pt>
                <c:pt idx="15">
                  <c:v>8.5932399999999998</c:v>
                </c:pt>
                <c:pt idx="16">
                  <c:v>10.523410000000002</c:v>
                </c:pt>
                <c:pt idx="17">
                  <c:v>12.177900000000001</c:v>
                </c:pt>
                <c:pt idx="18">
                  <c:v>14.107019999999999</c:v>
                </c:pt>
                <c:pt idx="19">
                  <c:v>15.541229999999999</c:v>
                </c:pt>
                <c:pt idx="20">
                  <c:v>16.200930000000003</c:v>
                </c:pt>
                <c:pt idx="21">
                  <c:v>22.91929</c:v>
                </c:pt>
                <c:pt idx="22">
                  <c:v>24.287720000000004</c:v>
                </c:pt>
                <c:pt idx="23">
                  <c:v>27.027000000000001</c:v>
                </c:pt>
                <c:pt idx="24">
                  <c:v>30.187000000000001</c:v>
                </c:pt>
                <c:pt idx="25">
                  <c:v>31.209</c:v>
                </c:pt>
                <c:pt idx="26">
                  <c:v>34.257179999999998</c:v>
                </c:pt>
                <c:pt idx="27">
                  <c:v>34.835089999999994</c:v>
                </c:pt>
              </c:numCache>
            </c:numRef>
          </c:val>
          <c:smooth val="0"/>
          <c:extLst>
            <c:ext xmlns:c16="http://schemas.microsoft.com/office/drawing/2014/chart" uri="{C3380CC4-5D6E-409C-BE32-E72D297353CC}">
              <c16:uniqueId val="{00000005-B411-4213-9D90-CC6CEFAB09B3}"/>
            </c:ext>
          </c:extLst>
        </c:ser>
        <c:dLbls>
          <c:showLegendKey val="0"/>
          <c:showVal val="0"/>
          <c:showCatName val="0"/>
          <c:showSerName val="0"/>
          <c:showPercent val="0"/>
          <c:showBubbleSize val="0"/>
        </c:dLbls>
        <c:marker val="1"/>
        <c:smooth val="0"/>
        <c:axId val="1634351312"/>
        <c:axId val="1634350768"/>
      </c:lineChart>
      <c:catAx>
        <c:axId val="1634351312"/>
        <c:scaling>
          <c:orientation val="minMax"/>
        </c:scaling>
        <c:delete val="0"/>
        <c:axPos val="b"/>
        <c:numFmt formatCode="General" sourceLinked="0"/>
        <c:majorTickMark val="out"/>
        <c:minorTickMark val="none"/>
        <c:tickLblPos val="nextTo"/>
        <c:crossAx val="1634350768"/>
        <c:crosses val="autoZero"/>
        <c:auto val="1"/>
        <c:lblAlgn val="ctr"/>
        <c:lblOffset val="100"/>
        <c:tickLblSkip val="3"/>
        <c:noMultiLvlLbl val="0"/>
      </c:catAx>
      <c:valAx>
        <c:axId val="1634350768"/>
        <c:scaling>
          <c:orientation val="minMax"/>
        </c:scaling>
        <c:delete val="0"/>
        <c:axPos val="l"/>
        <c:majorGridlines>
          <c:spPr>
            <a:ln>
              <a:solidFill>
                <a:schemeClr val="bg1"/>
              </a:solidFill>
            </a:ln>
          </c:spPr>
        </c:majorGridlines>
        <c:title>
          <c:tx>
            <c:rich>
              <a:bodyPr rot="-5400000" vert="horz"/>
              <a:lstStyle/>
              <a:p>
                <a:pPr>
                  <a:defRPr/>
                </a:pPr>
                <a:r>
                  <a:rPr lang="en-US"/>
                  <a:t>Billion US$</a:t>
                </a:r>
              </a:p>
            </c:rich>
          </c:tx>
          <c:overlay val="0"/>
        </c:title>
        <c:numFmt formatCode="0" sourceLinked="0"/>
        <c:majorTickMark val="out"/>
        <c:minorTickMark val="none"/>
        <c:tickLblPos val="nextTo"/>
        <c:crossAx val="1634351312"/>
        <c:crosses val="autoZero"/>
        <c:crossBetween val="between"/>
      </c:valAx>
      <c:spPr>
        <a:solidFill>
          <a:schemeClr val="tx2">
            <a:lumMod val="20000"/>
            <a:lumOff val="80000"/>
          </a:schemeClr>
        </a:solidFill>
      </c:spPr>
    </c:plotArea>
    <c:legend>
      <c:legendPos val="r"/>
      <c:layout>
        <c:manualLayout>
          <c:xMode val="edge"/>
          <c:yMode val="edge"/>
          <c:x val="0.24360663526330736"/>
          <c:y val="0.90307642640128138"/>
          <c:w val="0.5175477568615181"/>
          <c:h val="8.4155486085485315E-2"/>
        </c:manualLayout>
      </c:layout>
      <c:overlay val="0"/>
    </c:legend>
    <c:plotVisOnly val="1"/>
    <c:dispBlanksAs val="gap"/>
    <c:showDLblsOverMax val="0"/>
  </c:chart>
  <c:spPr>
    <a:solidFill>
      <a:schemeClr val="tx2">
        <a:lumMod val="20000"/>
        <a:lumOff val="8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88159813356663"/>
          <c:y val="8.9553805774278211E-2"/>
          <c:w val="0.8487416156313794"/>
          <c:h val="0.70058960629921252"/>
        </c:manualLayout>
      </c:layout>
      <c:lineChart>
        <c:grouping val="standard"/>
        <c:varyColors val="0"/>
        <c:ser>
          <c:idx val="0"/>
          <c:order val="0"/>
          <c:tx>
            <c:strRef>
              <c:f>'[TRADE GDP Ratio (corrected).xlsx]Trade-GDP Ratios'!$D$4</c:f>
              <c:strCache>
                <c:ptCount val="1"/>
                <c:pt idx="0">
                  <c:v>Trade-GDP ratio</c:v>
                </c:pt>
              </c:strCache>
            </c:strRef>
          </c:tx>
          <c:marker>
            <c:symbol val="none"/>
          </c:marker>
          <c:cat>
            <c:strRef>
              <c:f>'[TRADE GDP Ratio (corrected).xlsx]Trade-GDP Ratios'!$C$5:$C$22</c:f>
              <c:strCache>
                <c:ptCount val="18"/>
                <c:pt idx="0">
                  <c:v>FY00</c:v>
                </c:pt>
                <c:pt idx="1">
                  <c:v>FY01</c:v>
                </c:pt>
                <c:pt idx="2">
                  <c:v>FY02</c:v>
                </c:pt>
                <c:pt idx="3">
                  <c:v>FY03 </c:v>
                </c:pt>
                <c:pt idx="4">
                  <c:v>FY04</c:v>
                </c:pt>
                <c:pt idx="5">
                  <c:v>FY05 </c:v>
                </c:pt>
                <c:pt idx="6">
                  <c:v>FY06 </c:v>
                </c:pt>
                <c:pt idx="7">
                  <c:v>FY07</c:v>
                </c:pt>
                <c:pt idx="8">
                  <c:v>FY08</c:v>
                </c:pt>
                <c:pt idx="9">
                  <c:v>FY09</c:v>
                </c:pt>
                <c:pt idx="10">
                  <c:v>FY10</c:v>
                </c:pt>
                <c:pt idx="11">
                  <c:v>FY11</c:v>
                </c:pt>
                <c:pt idx="12">
                  <c:v>FY12</c:v>
                </c:pt>
                <c:pt idx="13">
                  <c:v>FY13</c:v>
                </c:pt>
                <c:pt idx="14">
                  <c:v>FY14</c:v>
                </c:pt>
                <c:pt idx="15">
                  <c:v>FY15</c:v>
                </c:pt>
                <c:pt idx="16">
                  <c:v>FY16</c:v>
                </c:pt>
                <c:pt idx="17">
                  <c:v>FY17</c:v>
                </c:pt>
              </c:strCache>
            </c:strRef>
          </c:cat>
          <c:val>
            <c:numRef>
              <c:f>'[TRADE GDP Ratio (corrected).xlsx]Trade-GDP Ratios'!$D$5:$D$22</c:f>
              <c:numCache>
                <c:formatCode>0.0</c:formatCode>
                <c:ptCount val="18"/>
                <c:pt idx="0">
                  <c:v>28.261477062153368</c:v>
                </c:pt>
                <c:pt idx="1">
                  <c:v>31.704583776080149</c:v>
                </c:pt>
                <c:pt idx="2">
                  <c:v>28.763432736573556</c:v>
                </c:pt>
                <c:pt idx="3">
                  <c:v>29.386176130936029</c:v>
                </c:pt>
                <c:pt idx="4">
                  <c:v>30.839392770892957</c:v>
                </c:pt>
                <c:pt idx="5">
                  <c:v>34.050017398965437</c:v>
                </c:pt>
                <c:pt idx="6">
                  <c:v>33.137121138954711</c:v>
                </c:pt>
                <c:pt idx="7">
                  <c:v>34.764697139703792</c:v>
                </c:pt>
                <c:pt idx="8">
                  <c:v>36.659079706726224</c:v>
                </c:pt>
                <c:pt idx="9">
                  <c:v>34.952411069340741</c:v>
                </c:pt>
                <c:pt idx="10">
                  <c:v>32.608568424328503</c:v>
                </c:pt>
                <c:pt idx="11">
                  <c:v>41.392174360535506</c:v>
                </c:pt>
                <c:pt idx="12">
                  <c:v>43.186172436798948</c:v>
                </c:pt>
                <c:pt idx="13">
                  <c:v>40.096229600027762</c:v>
                </c:pt>
                <c:pt idx="14">
                  <c:v>38.613179204723998</c:v>
                </c:pt>
                <c:pt idx="15">
                  <c:v>35.289583317665063</c:v>
                </c:pt>
                <c:pt idx="16">
                  <c:v>33.488834242416175</c:v>
                </c:pt>
                <c:pt idx="17">
                  <c:v>31.685889006125951</c:v>
                </c:pt>
              </c:numCache>
            </c:numRef>
          </c:val>
          <c:smooth val="0"/>
          <c:extLst>
            <c:ext xmlns:c16="http://schemas.microsoft.com/office/drawing/2014/chart" uri="{C3380CC4-5D6E-409C-BE32-E72D297353CC}">
              <c16:uniqueId val="{00000000-444C-4396-A797-51E40F1E241F}"/>
            </c:ext>
          </c:extLst>
        </c:ser>
        <c:ser>
          <c:idx val="1"/>
          <c:order val="1"/>
          <c:tx>
            <c:strRef>
              <c:f>'[TRADE GDP Ratio (corrected).xlsx]Trade-GDP Ratios'!$E$4</c:f>
              <c:strCache>
                <c:ptCount val="1"/>
                <c:pt idx="0">
                  <c:v>Export-GDP ratio</c:v>
                </c:pt>
              </c:strCache>
            </c:strRef>
          </c:tx>
          <c:marker>
            <c:symbol val="none"/>
          </c:marker>
          <c:cat>
            <c:strRef>
              <c:f>'[TRADE GDP Ratio (corrected).xlsx]Trade-GDP Ratios'!$C$5:$C$22</c:f>
              <c:strCache>
                <c:ptCount val="18"/>
                <c:pt idx="0">
                  <c:v>FY00</c:v>
                </c:pt>
                <c:pt idx="1">
                  <c:v>FY01</c:v>
                </c:pt>
                <c:pt idx="2">
                  <c:v>FY02</c:v>
                </c:pt>
                <c:pt idx="3">
                  <c:v>FY03 </c:v>
                </c:pt>
                <c:pt idx="4">
                  <c:v>FY04</c:v>
                </c:pt>
                <c:pt idx="5">
                  <c:v>FY05 </c:v>
                </c:pt>
                <c:pt idx="6">
                  <c:v>FY06 </c:v>
                </c:pt>
                <c:pt idx="7">
                  <c:v>FY07</c:v>
                </c:pt>
                <c:pt idx="8">
                  <c:v>FY08</c:v>
                </c:pt>
                <c:pt idx="9">
                  <c:v>FY09</c:v>
                </c:pt>
                <c:pt idx="10">
                  <c:v>FY10</c:v>
                </c:pt>
                <c:pt idx="11">
                  <c:v>FY11</c:v>
                </c:pt>
                <c:pt idx="12">
                  <c:v>FY12</c:v>
                </c:pt>
                <c:pt idx="13">
                  <c:v>FY13</c:v>
                </c:pt>
                <c:pt idx="14">
                  <c:v>FY14</c:v>
                </c:pt>
                <c:pt idx="15">
                  <c:v>FY15</c:v>
                </c:pt>
                <c:pt idx="16">
                  <c:v>FY16</c:v>
                </c:pt>
                <c:pt idx="17">
                  <c:v>FY17</c:v>
                </c:pt>
              </c:strCache>
            </c:strRef>
          </c:cat>
          <c:val>
            <c:numRef>
              <c:f>'[TRADE GDP Ratio (corrected).xlsx]Trade-GDP Ratios'!$E$5:$E$22</c:f>
              <c:numCache>
                <c:formatCode>0.0</c:formatCode>
                <c:ptCount val="18"/>
                <c:pt idx="0">
                  <c:v>12.206279253721869</c:v>
                </c:pt>
                <c:pt idx="1">
                  <c:v>13.763772942415281</c:v>
                </c:pt>
                <c:pt idx="2">
                  <c:v>12.583451330808726</c:v>
                </c:pt>
                <c:pt idx="3">
                  <c:v>12.614097739748361</c:v>
                </c:pt>
                <c:pt idx="4">
                  <c:v>13.442167589568729</c:v>
                </c:pt>
                <c:pt idx="5">
                  <c:v>14.357780673053224</c:v>
                </c:pt>
                <c:pt idx="6">
                  <c:v>14.639036190049696</c:v>
                </c:pt>
                <c:pt idx="7">
                  <c:v>15.289889678004554</c:v>
                </c:pt>
                <c:pt idx="8">
                  <c:v>15.396514932345784</c:v>
                </c:pt>
                <c:pt idx="9">
                  <c:v>15.172859114490185</c:v>
                </c:pt>
                <c:pt idx="10">
                  <c:v>14.056216795498452</c:v>
                </c:pt>
                <c:pt idx="11">
                  <c:v>17.817756084980076</c:v>
                </c:pt>
                <c:pt idx="12">
                  <c:v>18.217143699227826</c:v>
                </c:pt>
                <c:pt idx="13">
                  <c:v>17.711729241706227</c:v>
                </c:pt>
                <c:pt idx="14">
                  <c:v>17.46000310789578</c:v>
                </c:pt>
                <c:pt idx="15">
                  <c:v>15.991501153646565</c:v>
                </c:pt>
                <c:pt idx="16">
                  <c:v>15.46634770755484</c:v>
                </c:pt>
                <c:pt idx="17">
                  <c:v>14.092101518377007</c:v>
                </c:pt>
              </c:numCache>
            </c:numRef>
          </c:val>
          <c:smooth val="0"/>
          <c:extLst>
            <c:ext xmlns:c16="http://schemas.microsoft.com/office/drawing/2014/chart" uri="{C3380CC4-5D6E-409C-BE32-E72D297353CC}">
              <c16:uniqueId val="{00000001-444C-4396-A797-51E40F1E241F}"/>
            </c:ext>
          </c:extLst>
        </c:ser>
        <c:ser>
          <c:idx val="2"/>
          <c:order val="2"/>
          <c:tx>
            <c:strRef>
              <c:f>'[TRADE GDP Ratio (corrected).xlsx]Trade-GDP Ratios'!$F$4</c:f>
              <c:strCache>
                <c:ptCount val="1"/>
                <c:pt idx="0">
                  <c:v>Import-GDP ratio</c:v>
                </c:pt>
              </c:strCache>
            </c:strRef>
          </c:tx>
          <c:marker>
            <c:symbol val="none"/>
          </c:marker>
          <c:cat>
            <c:strRef>
              <c:f>'[TRADE GDP Ratio (corrected).xlsx]Trade-GDP Ratios'!$C$5:$C$22</c:f>
              <c:strCache>
                <c:ptCount val="18"/>
                <c:pt idx="0">
                  <c:v>FY00</c:v>
                </c:pt>
                <c:pt idx="1">
                  <c:v>FY01</c:v>
                </c:pt>
                <c:pt idx="2">
                  <c:v>FY02</c:v>
                </c:pt>
                <c:pt idx="3">
                  <c:v>FY03 </c:v>
                </c:pt>
                <c:pt idx="4">
                  <c:v>FY04</c:v>
                </c:pt>
                <c:pt idx="5">
                  <c:v>FY05 </c:v>
                </c:pt>
                <c:pt idx="6">
                  <c:v>FY06 </c:v>
                </c:pt>
                <c:pt idx="7">
                  <c:v>FY07</c:v>
                </c:pt>
                <c:pt idx="8">
                  <c:v>FY08</c:v>
                </c:pt>
                <c:pt idx="9">
                  <c:v>FY09</c:v>
                </c:pt>
                <c:pt idx="10">
                  <c:v>FY10</c:v>
                </c:pt>
                <c:pt idx="11">
                  <c:v>FY11</c:v>
                </c:pt>
                <c:pt idx="12">
                  <c:v>FY12</c:v>
                </c:pt>
                <c:pt idx="13">
                  <c:v>FY13</c:v>
                </c:pt>
                <c:pt idx="14">
                  <c:v>FY14</c:v>
                </c:pt>
                <c:pt idx="15">
                  <c:v>FY15</c:v>
                </c:pt>
                <c:pt idx="16">
                  <c:v>FY16</c:v>
                </c:pt>
                <c:pt idx="17">
                  <c:v>FY17</c:v>
                </c:pt>
              </c:strCache>
            </c:strRef>
          </c:cat>
          <c:val>
            <c:numRef>
              <c:f>'[TRADE GDP Ratio (corrected).xlsx]Trade-GDP Ratios'!$F$5:$F$22</c:f>
              <c:numCache>
                <c:formatCode>0.0</c:formatCode>
                <c:ptCount val="18"/>
                <c:pt idx="0">
                  <c:v>16.055197808431497</c:v>
                </c:pt>
                <c:pt idx="1">
                  <c:v>17.94081083366487</c:v>
                </c:pt>
                <c:pt idx="2">
                  <c:v>16.179981405764828</c:v>
                </c:pt>
                <c:pt idx="3">
                  <c:v>16.772078391187669</c:v>
                </c:pt>
                <c:pt idx="4">
                  <c:v>17.397225181324227</c:v>
                </c:pt>
                <c:pt idx="5">
                  <c:v>19.692236725912213</c:v>
                </c:pt>
                <c:pt idx="6">
                  <c:v>18.498084948905017</c:v>
                </c:pt>
                <c:pt idx="7">
                  <c:v>19.474807461699235</c:v>
                </c:pt>
                <c:pt idx="8">
                  <c:v>21.26256477438044</c:v>
                </c:pt>
                <c:pt idx="9">
                  <c:v>19.779551954850557</c:v>
                </c:pt>
                <c:pt idx="10">
                  <c:v>18.552351628830049</c:v>
                </c:pt>
                <c:pt idx="11">
                  <c:v>23.574418275555431</c:v>
                </c:pt>
                <c:pt idx="12">
                  <c:v>24.969028737571122</c:v>
                </c:pt>
                <c:pt idx="13">
                  <c:v>22.384500358321535</c:v>
                </c:pt>
                <c:pt idx="14">
                  <c:v>21.153176096828219</c:v>
                </c:pt>
                <c:pt idx="15">
                  <c:v>19.298082164018499</c:v>
                </c:pt>
                <c:pt idx="16">
                  <c:v>18.022486534861336</c:v>
                </c:pt>
                <c:pt idx="17">
                  <c:v>17.593787487748944</c:v>
                </c:pt>
              </c:numCache>
            </c:numRef>
          </c:val>
          <c:smooth val="0"/>
          <c:extLst>
            <c:ext xmlns:c16="http://schemas.microsoft.com/office/drawing/2014/chart" uri="{C3380CC4-5D6E-409C-BE32-E72D297353CC}">
              <c16:uniqueId val="{00000002-444C-4396-A797-51E40F1E241F}"/>
            </c:ext>
          </c:extLst>
        </c:ser>
        <c:dLbls>
          <c:showLegendKey val="0"/>
          <c:showVal val="0"/>
          <c:showCatName val="0"/>
          <c:showSerName val="0"/>
          <c:showPercent val="0"/>
          <c:showBubbleSize val="0"/>
        </c:dLbls>
        <c:smooth val="0"/>
        <c:axId val="1634357840"/>
        <c:axId val="1634340432"/>
      </c:lineChart>
      <c:catAx>
        <c:axId val="1634357840"/>
        <c:scaling>
          <c:orientation val="minMax"/>
        </c:scaling>
        <c:delete val="0"/>
        <c:axPos val="b"/>
        <c:numFmt formatCode="General" sourceLinked="0"/>
        <c:majorTickMark val="none"/>
        <c:minorTickMark val="none"/>
        <c:tickLblPos val="nextTo"/>
        <c:txPr>
          <a:bodyPr rot="-5400000" vert="horz"/>
          <a:lstStyle/>
          <a:p>
            <a:pPr>
              <a:defRPr sz="800"/>
            </a:pPr>
            <a:endParaRPr lang="en-US"/>
          </a:p>
        </c:txPr>
        <c:crossAx val="1634340432"/>
        <c:crosses val="autoZero"/>
        <c:auto val="1"/>
        <c:lblAlgn val="ctr"/>
        <c:lblOffset val="100"/>
        <c:tickLblSkip val="1"/>
        <c:noMultiLvlLbl val="0"/>
      </c:catAx>
      <c:valAx>
        <c:axId val="1634340432"/>
        <c:scaling>
          <c:orientation val="minMax"/>
        </c:scaling>
        <c:delete val="0"/>
        <c:axPos val="l"/>
        <c:majorGridlines/>
        <c:title>
          <c:tx>
            <c:rich>
              <a:bodyPr rot="-5400000" vert="horz"/>
              <a:lstStyle/>
              <a:p>
                <a:pPr>
                  <a:defRPr/>
                </a:pPr>
                <a:r>
                  <a:rPr lang="en-US"/>
                  <a:t>as % of GDP</a:t>
                </a:r>
              </a:p>
            </c:rich>
          </c:tx>
          <c:overlay val="0"/>
        </c:title>
        <c:numFmt formatCode="0.0" sourceLinked="1"/>
        <c:majorTickMark val="none"/>
        <c:minorTickMark val="none"/>
        <c:tickLblPos val="nextTo"/>
        <c:spPr>
          <a:ln w="9525">
            <a:noFill/>
          </a:ln>
        </c:spPr>
        <c:txPr>
          <a:bodyPr/>
          <a:lstStyle/>
          <a:p>
            <a:pPr>
              <a:defRPr sz="800"/>
            </a:pPr>
            <a:endParaRPr lang="en-US"/>
          </a:p>
        </c:txPr>
        <c:crossAx val="1634357840"/>
        <c:crosses val="autoZero"/>
        <c:crossBetween val="between"/>
      </c:valA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plotArea>
    <c:legend>
      <c:legendPos val="b"/>
      <c:layout>
        <c:manualLayout>
          <c:xMode val="edge"/>
          <c:yMode val="edge"/>
          <c:x val="0.05"/>
          <c:y val="0.90581823613511725"/>
          <c:w val="0.89999980557995263"/>
          <c:h val="9.418180192675446E-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085739282589675E-2"/>
          <c:y val="5.1400554097404488E-2"/>
          <c:w val="0.86227602799650038"/>
          <c:h val="0.74779636920384951"/>
        </c:manualLayout>
      </c:layout>
      <c:barChart>
        <c:barDir val="col"/>
        <c:grouping val="clustered"/>
        <c:varyColors val="0"/>
        <c:ser>
          <c:idx val="0"/>
          <c:order val="0"/>
          <c:tx>
            <c:strRef>
              <c:f>Sheet1!$L$2</c:f>
              <c:strCache>
                <c:ptCount val="1"/>
                <c:pt idx="0">
                  <c:v>RMG Exports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Sheet1!$K$3:$K$6</c:f>
              <c:strCache>
                <c:ptCount val="4"/>
                <c:pt idx="0">
                  <c:v>FY91-FY00</c:v>
                </c:pt>
                <c:pt idx="1">
                  <c:v>FY01-FY10</c:v>
                </c:pt>
                <c:pt idx="2">
                  <c:v>FY11</c:v>
                </c:pt>
                <c:pt idx="3">
                  <c:v>FY12-FY17</c:v>
                </c:pt>
              </c:strCache>
            </c:strRef>
          </c:cat>
          <c:val>
            <c:numRef>
              <c:f>Sheet1!$L$3:$L$6</c:f>
              <c:numCache>
                <c:formatCode>0.0</c:formatCode>
                <c:ptCount val="4"/>
                <c:pt idx="0">
                  <c:v>22.111014566578579</c:v>
                </c:pt>
                <c:pt idx="1">
                  <c:v>11.422693992528384</c:v>
                </c:pt>
                <c:pt idx="2">
                  <c:v>43.342724522365614</c:v>
                </c:pt>
                <c:pt idx="3">
                  <c:v>7.9319680971080819</c:v>
                </c:pt>
              </c:numCache>
            </c:numRef>
          </c:val>
          <c:extLst>
            <c:ext xmlns:c16="http://schemas.microsoft.com/office/drawing/2014/chart" uri="{C3380CC4-5D6E-409C-BE32-E72D297353CC}">
              <c16:uniqueId val="{00000000-EF73-4CED-8164-F9A1E06A0185}"/>
            </c:ext>
          </c:extLst>
        </c:ser>
        <c:ser>
          <c:idx val="1"/>
          <c:order val="1"/>
          <c:tx>
            <c:strRef>
              <c:f>Sheet1!$M$2</c:f>
              <c:strCache>
                <c:ptCount val="1"/>
                <c:pt idx="0">
                  <c:v>Non-RMG Exports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Sheet1!$K$3:$K$6</c:f>
              <c:strCache>
                <c:ptCount val="4"/>
                <c:pt idx="0">
                  <c:v>FY91-FY00</c:v>
                </c:pt>
                <c:pt idx="1">
                  <c:v>FY01-FY10</c:v>
                </c:pt>
                <c:pt idx="2">
                  <c:v>FY11</c:v>
                </c:pt>
                <c:pt idx="3">
                  <c:v>FY12-FY17</c:v>
                </c:pt>
              </c:strCache>
            </c:strRef>
          </c:cat>
          <c:val>
            <c:numRef>
              <c:f>Sheet1!$M$3:$M$6</c:f>
              <c:numCache>
                <c:formatCode>0.0</c:formatCode>
                <c:ptCount val="4"/>
                <c:pt idx="0">
                  <c:v>4.2408286206928887</c:v>
                </c:pt>
                <c:pt idx="1">
                  <c:v>10.762222233827988</c:v>
                </c:pt>
                <c:pt idx="2">
                  <c:v>35.145811956580395</c:v>
                </c:pt>
                <c:pt idx="3">
                  <c:v>4.9796085846178615</c:v>
                </c:pt>
              </c:numCache>
            </c:numRef>
          </c:val>
          <c:extLst>
            <c:ext xmlns:c16="http://schemas.microsoft.com/office/drawing/2014/chart" uri="{C3380CC4-5D6E-409C-BE32-E72D297353CC}">
              <c16:uniqueId val="{00000001-EF73-4CED-8164-F9A1E06A0185}"/>
            </c:ext>
          </c:extLst>
        </c:ser>
        <c:dLbls>
          <c:showLegendKey val="0"/>
          <c:showVal val="0"/>
          <c:showCatName val="0"/>
          <c:showSerName val="0"/>
          <c:showPercent val="0"/>
          <c:showBubbleSize val="0"/>
        </c:dLbls>
        <c:gapWidth val="150"/>
        <c:axId val="1634344784"/>
        <c:axId val="1634361104"/>
      </c:barChart>
      <c:catAx>
        <c:axId val="1634344784"/>
        <c:scaling>
          <c:orientation val="minMax"/>
        </c:scaling>
        <c:delete val="0"/>
        <c:axPos val="b"/>
        <c:numFmt formatCode="General" sourceLinked="1"/>
        <c:majorTickMark val="out"/>
        <c:minorTickMark val="none"/>
        <c:tickLblPos val="nextTo"/>
        <c:crossAx val="1634361104"/>
        <c:crosses val="autoZero"/>
        <c:auto val="1"/>
        <c:lblAlgn val="ctr"/>
        <c:lblOffset val="100"/>
        <c:noMultiLvlLbl val="0"/>
      </c:catAx>
      <c:valAx>
        <c:axId val="1634361104"/>
        <c:scaling>
          <c:orientation val="minMax"/>
        </c:scaling>
        <c:delete val="0"/>
        <c:axPos val="l"/>
        <c:majorGridlines>
          <c:spPr>
            <a:ln>
              <a:solidFill>
                <a:schemeClr val="bg1"/>
              </a:solidFill>
            </a:ln>
          </c:spPr>
        </c:majorGridlines>
        <c:title>
          <c:tx>
            <c:rich>
              <a:bodyPr rot="-5400000" vert="horz"/>
              <a:lstStyle/>
              <a:p>
                <a:pPr>
                  <a:defRPr/>
                </a:pPr>
                <a:r>
                  <a:rPr lang="en-US"/>
                  <a:t>Growth in Exports(%)</a:t>
                </a:r>
              </a:p>
            </c:rich>
          </c:tx>
          <c:overlay val="0"/>
        </c:title>
        <c:numFmt formatCode="0" sourceLinked="0"/>
        <c:majorTickMark val="out"/>
        <c:minorTickMark val="none"/>
        <c:tickLblPos val="nextTo"/>
        <c:crossAx val="1634344784"/>
        <c:crosses val="autoZero"/>
        <c:crossBetween val="between"/>
      </c:valAx>
      <c:spPr>
        <a:solidFill>
          <a:schemeClr val="tx2">
            <a:lumMod val="20000"/>
            <a:lumOff val="80000"/>
          </a:schemeClr>
        </a:solidFill>
      </c:spPr>
    </c:plotArea>
    <c:legend>
      <c:legendPos val="r"/>
      <c:layout>
        <c:manualLayout>
          <c:xMode val="edge"/>
          <c:yMode val="edge"/>
          <c:x val="0.13869510061242346"/>
          <c:y val="0.89313466025080201"/>
          <c:w val="0.7085271216097988"/>
          <c:h val="0.10261956838728492"/>
        </c:manualLayout>
      </c:layout>
      <c:overlay val="0"/>
    </c:legend>
    <c:plotVisOnly val="1"/>
    <c:dispBlanksAs val="gap"/>
    <c:showDLblsOverMax val="0"/>
  </c:chart>
  <c:spPr>
    <a:solidFill>
      <a:schemeClr val="tx2">
        <a:lumMod val="20000"/>
        <a:lumOff val="80000"/>
      </a:schemeClr>
    </a:solidFill>
  </c:spPr>
  <c:txPr>
    <a:bodyPr/>
    <a:lstStyle/>
    <a:p>
      <a:pPr>
        <a:defRPr lang="en-US"/>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100"/>
            </a:pPr>
            <a:r>
              <a:rPr lang="en-US" sz="1100"/>
              <a:t>Export Concentration Ratio 2015 </a:t>
            </a:r>
          </a:p>
        </c:rich>
      </c:tx>
      <c:layout>
        <c:manualLayout>
          <c:xMode val="edge"/>
          <c:yMode val="edge"/>
          <c:x val="0.28478455818022747"/>
          <c:y val="0"/>
        </c:manualLayout>
      </c:layout>
      <c:overlay val="0"/>
    </c:title>
    <c:autoTitleDeleted val="0"/>
    <c:plotArea>
      <c:layout>
        <c:manualLayout>
          <c:layoutTarget val="inner"/>
          <c:xMode val="edge"/>
          <c:yMode val="edge"/>
          <c:x val="0.17657261592300963"/>
          <c:y val="0.14417784050811575"/>
          <c:w val="0.78583027121609794"/>
          <c:h val="0.6790285565045372"/>
        </c:manualLayout>
      </c:layout>
      <c:barChart>
        <c:barDir val="bar"/>
        <c:grouping val="clustered"/>
        <c:varyColors val="0"/>
        <c:ser>
          <c:idx val="0"/>
          <c:order val="0"/>
          <c:tx>
            <c:strRef>
              <c:f>[ECR.xlsx]Sheet1!$B$1:$B$2</c:f>
              <c:strCache>
                <c:ptCount val="1"/>
                <c:pt idx="0">
                  <c:v>Export Concentration Ratio 2015 ECR</c:v>
                </c:pt>
              </c:strCache>
            </c:strRef>
          </c:tx>
          <c:spPr>
            <a:solidFill>
              <a:schemeClr val="accent5">
                <a:lumMod val="75000"/>
              </a:schemeClr>
            </a:solidFill>
            <a:ln>
              <a:solidFill>
                <a:schemeClr val="accent1"/>
              </a:solidFill>
            </a:ln>
          </c:spPr>
          <c:invertIfNegative val="0"/>
          <c:dPt>
            <c:idx val="0"/>
            <c:invertIfNegative val="0"/>
            <c:bubble3D val="0"/>
            <c:extLst>
              <c:ext xmlns:c16="http://schemas.microsoft.com/office/drawing/2014/chart" uri="{C3380CC4-5D6E-409C-BE32-E72D297353CC}">
                <c16:uniqueId val="{00000000-B292-4348-BC04-234B16D969D6}"/>
              </c:ext>
            </c:extLst>
          </c:dPt>
          <c:dPt>
            <c:idx val="1"/>
            <c:invertIfNegative val="0"/>
            <c:bubble3D val="0"/>
            <c:extLst>
              <c:ext xmlns:c16="http://schemas.microsoft.com/office/drawing/2014/chart" uri="{C3380CC4-5D6E-409C-BE32-E72D297353CC}">
                <c16:uniqueId val="{00000001-B292-4348-BC04-234B16D969D6}"/>
              </c:ext>
            </c:extLst>
          </c:dPt>
          <c:dPt>
            <c:idx val="2"/>
            <c:invertIfNegative val="0"/>
            <c:bubble3D val="0"/>
            <c:extLst>
              <c:ext xmlns:c16="http://schemas.microsoft.com/office/drawing/2014/chart" uri="{C3380CC4-5D6E-409C-BE32-E72D297353CC}">
                <c16:uniqueId val="{00000002-B292-4348-BC04-234B16D969D6}"/>
              </c:ext>
            </c:extLst>
          </c:dPt>
          <c:dPt>
            <c:idx val="3"/>
            <c:invertIfNegative val="0"/>
            <c:bubble3D val="0"/>
            <c:extLst>
              <c:ext xmlns:c16="http://schemas.microsoft.com/office/drawing/2014/chart" uri="{C3380CC4-5D6E-409C-BE32-E72D297353CC}">
                <c16:uniqueId val="{00000003-B292-4348-BC04-234B16D969D6}"/>
              </c:ext>
            </c:extLst>
          </c:dPt>
          <c:dPt>
            <c:idx val="4"/>
            <c:invertIfNegative val="0"/>
            <c:bubble3D val="0"/>
            <c:extLst>
              <c:ext xmlns:c16="http://schemas.microsoft.com/office/drawing/2014/chart" uri="{C3380CC4-5D6E-409C-BE32-E72D297353CC}">
                <c16:uniqueId val="{00000004-B292-4348-BC04-234B16D969D6}"/>
              </c:ext>
            </c:extLst>
          </c:dPt>
          <c:dPt>
            <c:idx val="5"/>
            <c:invertIfNegative val="0"/>
            <c:bubble3D val="0"/>
            <c:extLst>
              <c:ext xmlns:c16="http://schemas.microsoft.com/office/drawing/2014/chart" uri="{C3380CC4-5D6E-409C-BE32-E72D297353CC}">
                <c16:uniqueId val="{00000005-B292-4348-BC04-234B16D969D6}"/>
              </c:ext>
            </c:extLst>
          </c:dPt>
          <c:dPt>
            <c:idx val="6"/>
            <c:invertIfNegative val="0"/>
            <c:bubble3D val="0"/>
            <c:extLst>
              <c:ext xmlns:c16="http://schemas.microsoft.com/office/drawing/2014/chart" uri="{C3380CC4-5D6E-409C-BE32-E72D297353CC}">
                <c16:uniqueId val="{00000006-B292-4348-BC04-234B16D969D6}"/>
              </c:ext>
            </c:extLst>
          </c:dPt>
          <c:cat>
            <c:strRef>
              <c:f>[ECR.xlsx]Sheet1!$A$3:$A$9</c:f>
              <c:strCache>
                <c:ptCount val="7"/>
                <c:pt idx="0">
                  <c:v>Bangladesh</c:v>
                </c:pt>
                <c:pt idx="1">
                  <c:v>India</c:v>
                </c:pt>
                <c:pt idx="2">
                  <c:v>Srilanka</c:v>
                </c:pt>
                <c:pt idx="3">
                  <c:v> Vietnam</c:v>
                </c:pt>
                <c:pt idx="4">
                  <c:v>Thailand</c:v>
                </c:pt>
                <c:pt idx="5">
                  <c:v>Malaysia</c:v>
                </c:pt>
                <c:pt idx="6">
                  <c:v>Korea Rep.</c:v>
                </c:pt>
              </c:strCache>
            </c:strRef>
          </c:cat>
          <c:val>
            <c:numRef>
              <c:f>[ECR.xlsx]Sheet1!$B$3:$B$9</c:f>
              <c:numCache>
                <c:formatCode>General</c:formatCode>
                <c:ptCount val="7"/>
                <c:pt idx="0">
                  <c:v>0.82899999999999996</c:v>
                </c:pt>
                <c:pt idx="1">
                  <c:v>0.439</c:v>
                </c:pt>
                <c:pt idx="2">
                  <c:v>0.55900000000000005</c:v>
                </c:pt>
                <c:pt idx="3">
                  <c:v>0.48399999999999999</c:v>
                </c:pt>
                <c:pt idx="4">
                  <c:v>0.40100000000000002</c:v>
                </c:pt>
                <c:pt idx="5">
                  <c:v>0.51800000000000002</c:v>
                </c:pt>
                <c:pt idx="6">
                  <c:v>0.52700000000000002</c:v>
                </c:pt>
              </c:numCache>
            </c:numRef>
          </c:val>
          <c:extLst>
            <c:ext xmlns:c16="http://schemas.microsoft.com/office/drawing/2014/chart" uri="{C3380CC4-5D6E-409C-BE32-E72D297353CC}">
              <c16:uniqueId val="{00000007-B292-4348-BC04-234B16D969D6}"/>
            </c:ext>
          </c:extLst>
        </c:ser>
        <c:dLbls>
          <c:showLegendKey val="0"/>
          <c:showVal val="0"/>
          <c:showCatName val="0"/>
          <c:showSerName val="0"/>
          <c:showPercent val="0"/>
          <c:showBubbleSize val="0"/>
        </c:dLbls>
        <c:gapWidth val="150"/>
        <c:axId val="1634354032"/>
        <c:axId val="1634354576"/>
      </c:barChart>
      <c:catAx>
        <c:axId val="1634354032"/>
        <c:scaling>
          <c:orientation val="minMax"/>
        </c:scaling>
        <c:delete val="0"/>
        <c:axPos val="l"/>
        <c:numFmt formatCode="General" sourceLinked="0"/>
        <c:majorTickMark val="none"/>
        <c:minorTickMark val="none"/>
        <c:tickLblPos val="nextTo"/>
        <c:txPr>
          <a:bodyPr/>
          <a:lstStyle/>
          <a:p>
            <a:pPr>
              <a:defRPr b="1"/>
            </a:pPr>
            <a:endParaRPr lang="en-US"/>
          </a:p>
        </c:txPr>
        <c:crossAx val="1634354576"/>
        <c:crosses val="autoZero"/>
        <c:auto val="1"/>
        <c:lblAlgn val="ctr"/>
        <c:lblOffset val="100"/>
        <c:noMultiLvlLbl val="0"/>
      </c:catAx>
      <c:valAx>
        <c:axId val="1634354576"/>
        <c:scaling>
          <c:orientation val="minMax"/>
        </c:scaling>
        <c:delete val="0"/>
        <c:axPos val="b"/>
        <c:majorGridlines/>
        <c:numFmt formatCode="General" sourceLinked="1"/>
        <c:majorTickMark val="none"/>
        <c:minorTickMark val="none"/>
        <c:tickLblPos val="nextTo"/>
        <c:txPr>
          <a:bodyPr/>
          <a:lstStyle/>
          <a:p>
            <a:pPr>
              <a:defRPr b="1"/>
            </a:pPr>
            <a:endParaRPr lang="en-US"/>
          </a:p>
        </c:txPr>
        <c:crossAx val="1634354032"/>
        <c:crosses val="autoZero"/>
        <c:crossBetween val="between"/>
      </c:valAx>
      <c:spPr>
        <a:solidFill>
          <a:schemeClr val="bg2">
            <a:lumMod val="90000"/>
          </a:schemeClr>
        </a:solidFill>
      </c:spPr>
    </c:plotArea>
    <c:plotVisOnly val="1"/>
    <c:dispBlanksAs val="gap"/>
    <c:showDLblsOverMax val="0"/>
  </c:chart>
  <c:spPr>
    <a:solidFill>
      <a:schemeClr val="bg2">
        <a:lumMod val="9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Sheet1!$C$100:$C$101</c:f>
              <c:strCache>
                <c:ptCount val="1"/>
                <c:pt idx="0">
                  <c:v>Range &lt;= 1m</c:v>
                </c:pt>
              </c:strCache>
            </c:strRef>
          </c:tx>
          <c:invertIfNegative val="0"/>
          <c:cat>
            <c:numRef>
              <c:f>Sheet1!$B$102:$B$106</c:f>
              <c:numCache>
                <c:formatCode>General</c:formatCode>
                <c:ptCount val="5"/>
                <c:pt idx="0">
                  <c:v>2012</c:v>
                </c:pt>
                <c:pt idx="1">
                  <c:v>2013</c:v>
                </c:pt>
                <c:pt idx="2">
                  <c:v>2014</c:v>
                </c:pt>
                <c:pt idx="3">
                  <c:v>2015</c:v>
                </c:pt>
                <c:pt idx="4">
                  <c:v>2016</c:v>
                </c:pt>
              </c:numCache>
            </c:numRef>
          </c:cat>
          <c:val>
            <c:numRef>
              <c:f>Sheet1!$C$102:$C$106</c:f>
              <c:numCache>
                <c:formatCode>General</c:formatCode>
                <c:ptCount val="5"/>
                <c:pt idx="0">
                  <c:v>745</c:v>
                </c:pt>
                <c:pt idx="1">
                  <c:v>754</c:v>
                </c:pt>
                <c:pt idx="2">
                  <c:v>834</c:v>
                </c:pt>
                <c:pt idx="3">
                  <c:v>890</c:v>
                </c:pt>
                <c:pt idx="4">
                  <c:v>1250</c:v>
                </c:pt>
              </c:numCache>
            </c:numRef>
          </c:val>
          <c:extLst>
            <c:ext xmlns:c16="http://schemas.microsoft.com/office/drawing/2014/chart" uri="{C3380CC4-5D6E-409C-BE32-E72D297353CC}">
              <c16:uniqueId val="{00000000-7F4D-459A-BB49-E075481F151E}"/>
            </c:ext>
          </c:extLst>
        </c:ser>
        <c:ser>
          <c:idx val="1"/>
          <c:order val="1"/>
          <c:tx>
            <c:strRef>
              <c:f>Sheet1!$D$100:$D$101</c:f>
              <c:strCache>
                <c:ptCount val="1"/>
                <c:pt idx="0">
                  <c:v>Range &gt;1-10m</c:v>
                </c:pt>
              </c:strCache>
            </c:strRef>
          </c:tx>
          <c:invertIfNegative val="0"/>
          <c:cat>
            <c:numRef>
              <c:f>Sheet1!$B$102:$B$106</c:f>
              <c:numCache>
                <c:formatCode>General</c:formatCode>
                <c:ptCount val="5"/>
                <c:pt idx="0">
                  <c:v>2012</c:v>
                </c:pt>
                <c:pt idx="1">
                  <c:v>2013</c:v>
                </c:pt>
                <c:pt idx="2">
                  <c:v>2014</c:v>
                </c:pt>
                <c:pt idx="3">
                  <c:v>2015</c:v>
                </c:pt>
                <c:pt idx="4">
                  <c:v>2016</c:v>
                </c:pt>
              </c:numCache>
            </c:numRef>
          </c:cat>
          <c:val>
            <c:numRef>
              <c:f>Sheet1!$D$102:$D$106</c:f>
              <c:numCache>
                <c:formatCode>General</c:formatCode>
                <c:ptCount val="5"/>
                <c:pt idx="0">
                  <c:v>192</c:v>
                </c:pt>
                <c:pt idx="1">
                  <c:v>205</c:v>
                </c:pt>
                <c:pt idx="2">
                  <c:v>200</c:v>
                </c:pt>
                <c:pt idx="3">
                  <c:v>205</c:v>
                </c:pt>
                <c:pt idx="4">
                  <c:v>216</c:v>
                </c:pt>
              </c:numCache>
            </c:numRef>
          </c:val>
          <c:extLst>
            <c:ext xmlns:c16="http://schemas.microsoft.com/office/drawing/2014/chart" uri="{C3380CC4-5D6E-409C-BE32-E72D297353CC}">
              <c16:uniqueId val="{00000001-7F4D-459A-BB49-E075481F151E}"/>
            </c:ext>
          </c:extLst>
        </c:ser>
        <c:ser>
          <c:idx val="2"/>
          <c:order val="2"/>
          <c:tx>
            <c:strRef>
              <c:f>Sheet1!$E$100:$E$101</c:f>
              <c:strCache>
                <c:ptCount val="1"/>
                <c:pt idx="0">
                  <c:v>Range &gt;10-50m</c:v>
                </c:pt>
              </c:strCache>
            </c:strRef>
          </c:tx>
          <c:invertIfNegative val="0"/>
          <c:cat>
            <c:numRef>
              <c:f>Sheet1!$B$102:$B$106</c:f>
              <c:numCache>
                <c:formatCode>General</c:formatCode>
                <c:ptCount val="5"/>
                <c:pt idx="0">
                  <c:v>2012</c:v>
                </c:pt>
                <c:pt idx="1">
                  <c:v>2013</c:v>
                </c:pt>
                <c:pt idx="2">
                  <c:v>2014</c:v>
                </c:pt>
                <c:pt idx="3">
                  <c:v>2015</c:v>
                </c:pt>
                <c:pt idx="4">
                  <c:v>2016</c:v>
                </c:pt>
              </c:numCache>
            </c:numRef>
          </c:cat>
          <c:val>
            <c:numRef>
              <c:f>Sheet1!$E$102:$E$106</c:f>
              <c:numCache>
                <c:formatCode>General</c:formatCode>
                <c:ptCount val="5"/>
                <c:pt idx="0">
                  <c:v>59</c:v>
                </c:pt>
                <c:pt idx="1">
                  <c:v>61</c:v>
                </c:pt>
                <c:pt idx="2">
                  <c:v>62</c:v>
                </c:pt>
                <c:pt idx="3">
                  <c:v>66</c:v>
                </c:pt>
                <c:pt idx="4">
                  <c:v>69</c:v>
                </c:pt>
              </c:numCache>
            </c:numRef>
          </c:val>
          <c:extLst>
            <c:ext xmlns:c16="http://schemas.microsoft.com/office/drawing/2014/chart" uri="{C3380CC4-5D6E-409C-BE32-E72D297353CC}">
              <c16:uniqueId val="{00000002-7F4D-459A-BB49-E075481F151E}"/>
            </c:ext>
          </c:extLst>
        </c:ser>
        <c:ser>
          <c:idx val="3"/>
          <c:order val="3"/>
          <c:tx>
            <c:strRef>
              <c:f>Sheet1!$F$100:$F$101</c:f>
              <c:strCache>
                <c:ptCount val="1"/>
                <c:pt idx="0">
                  <c:v>Range &gt;50-500m</c:v>
                </c:pt>
              </c:strCache>
            </c:strRef>
          </c:tx>
          <c:invertIfNegative val="0"/>
          <c:cat>
            <c:numRef>
              <c:f>Sheet1!$B$102:$B$106</c:f>
              <c:numCache>
                <c:formatCode>General</c:formatCode>
                <c:ptCount val="5"/>
                <c:pt idx="0">
                  <c:v>2012</c:v>
                </c:pt>
                <c:pt idx="1">
                  <c:v>2013</c:v>
                </c:pt>
                <c:pt idx="2">
                  <c:v>2014</c:v>
                </c:pt>
                <c:pt idx="3">
                  <c:v>2015</c:v>
                </c:pt>
                <c:pt idx="4">
                  <c:v>2016</c:v>
                </c:pt>
              </c:numCache>
            </c:numRef>
          </c:cat>
          <c:val>
            <c:numRef>
              <c:f>Sheet1!$F$102:$F$106</c:f>
              <c:numCache>
                <c:formatCode>General</c:formatCode>
                <c:ptCount val="5"/>
                <c:pt idx="0">
                  <c:v>11</c:v>
                </c:pt>
                <c:pt idx="1">
                  <c:v>11</c:v>
                </c:pt>
                <c:pt idx="2">
                  <c:v>11</c:v>
                </c:pt>
                <c:pt idx="3">
                  <c:v>11</c:v>
                </c:pt>
                <c:pt idx="4">
                  <c:v>11</c:v>
                </c:pt>
              </c:numCache>
            </c:numRef>
          </c:val>
          <c:extLst>
            <c:ext xmlns:c16="http://schemas.microsoft.com/office/drawing/2014/chart" uri="{C3380CC4-5D6E-409C-BE32-E72D297353CC}">
              <c16:uniqueId val="{00000003-7F4D-459A-BB49-E075481F151E}"/>
            </c:ext>
          </c:extLst>
        </c:ser>
        <c:dLbls>
          <c:showLegendKey val="0"/>
          <c:showVal val="0"/>
          <c:showCatName val="0"/>
          <c:showSerName val="0"/>
          <c:showPercent val="0"/>
          <c:showBubbleSize val="0"/>
        </c:dLbls>
        <c:gapWidth val="75"/>
        <c:shape val="box"/>
        <c:axId val="1634357296"/>
        <c:axId val="1843791216"/>
        <c:axId val="0"/>
      </c:bar3DChart>
      <c:catAx>
        <c:axId val="1634357296"/>
        <c:scaling>
          <c:orientation val="minMax"/>
        </c:scaling>
        <c:delete val="0"/>
        <c:axPos val="b"/>
        <c:numFmt formatCode="General" sourceLinked="1"/>
        <c:majorTickMark val="none"/>
        <c:minorTickMark val="none"/>
        <c:tickLblPos val="nextTo"/>
        <c:txPr>
          <a:bodyPr/>
          <a:lstStyle/>
          <a:p>
            <a:pPr>
              <a:defRPr b="1"/>
            </a:pPr>
            <a:endParaRPr lang="en-US"/>
          </a:p>
        </c:txPr>
        <c:crossAx val="1843791216"/>
        <c:crosses val="autoZero"/>
        <c:auto val="1"/>
        <c:lblAlgn val="ctr"/>
        <c:lblOffset val="100"/>
        <c:noMultiLvlLbl val="0"/>
      </c:catAx>
      <c:valAx>
        <c:axId val="1843791216"/>
        <c:scaling>
          <c:orientation val="minMax"/>
        </c:scaling>
        <c:delete val="0"/>
        <c:axPos val="l"/>
        <c:majorGridlines/>
        <c:numFmt formatCode="General" sourceLinked="1"/>
        <c:majorTickMark val="none"/>
        <c:minorTickMark val="none"/>
        <c:tickLblPos val="nextTo"/>
        <c:spPr>
          <a:ln w="6350">
            <a:noFill/>
          </a:ln>
        </c:spPr>
        <c:txPr>
          <a:bodyPr/>
          <a:lstStyle/>
          <a:p>
            <a:pPr>
              <a:defRPr b="1"/>
            </a:pPr>
            <a:endParaRPr lang="en-US"/>
          </a:p>
        </c:txPr>
        <c:crossAx val="1634357296"/>
        <c:crosses val="autoZero"/>
        <c:crossBetween val="between"/>
      </c:valAx>
    </c:plotArea>
    <c:legend>
      <c:legendPos val="b"/>
      <c:overlay val="0"/>
      <c:txPr>
        <a:bodyPr/>
        <a:lstStyle/>
        <a:p>
          <a:pPr>
            <a:defRPr b="1"/>
          </a:pPr>
          <a:endParaRPr lang="en-US"/>
        </a:p>
      </c:txPr>
    </c:legend>
    <c:plotVisOnly val="1"/>
    <c:dispBlanksAs val="gap"/>
    <c:showDLblsOverMax val="0"/>
  </c:chart>
  <c:spPr>
    <a:solidFill>
      <a:schemeClr val="accent1">
        <a:lumMod val="40000"/>
        <a:lumOff val="60000"/>
      </a:schemeClr>
    </a:solid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8078647248737"/>
          <c:y val="6.5213037797588094E-2"/>
          <c:w val="0.70222476495377295"/>
          <c:h val="0.71666909477724949"/>
        </c:manualLayout>
      </c:layout>
      <c:lineChart>
        <c:grouping val="standard"/>
        <c:varyColors val="0"/>
        <c:ser>
          <c:idx val="0"/>
          <c:order val="0"/>
          <c:tx>
            <c:strRef>
              <c:f>Sheet1!$B$44</c:f>
              <c:strCache>
                <c:ptCount val="1"/>
                <c:pt idx="0">
                  <c:v>Exchange rate (BDT/USD)</c:v>
                </c:pt>
              </c:strCache>
            </c:strRef>
          </c:tx>
          <c:marker>
            <c:symbol val="none"/>
          </c:marker>
          <c:dLbls>
            <c:dLbl>
              <c:idx val="0"/>
              <c:layout>
                <c:manualLayout>
                  <c:x val="-4.5883930869344287E-2"/>
                  <c:y val="3.07692307692307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92-4C96-A75D-143104B85C1B}"/>
                </c:ext>
              </c:extLst>
            </c:dLbl>
            <c:dLbl>
              <c:idx val="1"/>
              <c:layout>
                <c:manualLayout>
                  <c:x val="-9.6443640747438213E-3"/>
                  <c:y val="2.23152022315202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92-4C96-A75D-143104B85C1B}"/>
                </c:ext>
              </c:extLst>
            </c:dLbl>
            <c:dLbl>
              <c:idx val="2"/>
              <c:delete val="1"/>
              <c:extLst>
                <c:ext xmlns:c15="http://schemas.microsoft.com/office/drawing/2012/chart" uri="{CE6537A1-D6FC-4f65-9D91-7224C49458BB}"/>
                <c:ext xmlns:c16="http://schemas.microsoft.com/office/drawing/2014/chart" uri="{C3380CC4-5D6E-409C-BE32-E72D297353CC}">
                  <c16:uniqueId val="{00000002-2492-4C96-A75D-143104B85C1B}"/>
                </c:ext>
              </c:extLst>
            </c:dLbl>
            <c:dLbl>
              <c:idx val="3"/>
              <c:layout>
                <c:manualLayout>
                  <c:x val="-7.2332730560578659E-3"/>
                  <c:y val="2.78940027894002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92-4C96-A75D-143104B85C1B}"/>
                </c:ext>
              </c:extLst>
            </c:dLbl>
            <c:dLbl>
              <c:idx val="4"/>
              <c:delete val="1"/>
              <c:extLst>
                <c:ext xmlns:c15="http://schemas.microsoft.com/office/drawing/2012/chart" uri="{CE6537A1-D6FC-4f65-9D91-7224C49458BB}"/>
                <c:ext xmlns:c16="http://schemas.microsoft.com/office/drawing/2014/chart" uri="{C3380CC4-5D6E-409C-BE32-E72D297353CC}">
                  <c16:uniqueId val="{00000004-2492-4C96-A75D-143104B85C1B}"/>
                </c:ext>
              </c:extLst>
            </c:dLbl>
            <c:dLbl>
              <c:idx val="5"/>
              <c:delete val="1"/>
              <c:extLst>
                <c:ext xmlns:c15="http://schemas.microsoft.com/office/drawing/2012/chart" uri="{CE6537A1-D6FC-4f65-9D91-7224C49458BB}"/>
                <c:ext xmlns:c16="http://schemas.microsoft.com/office/drawing/2014/chart" uri="{C3380CC4-5D6E-409C-BE32-E72D297353CC}">
                  <c16:uniqueId val="{00000005-2492-4C96-A75D-143104B85C1B}"/>
                </c:ext>
              </c:extLst>
            </c:dLbl>
            <c:dLbl>
              <c:idx val="6"/>
              <c:layout>
                <c:manualLayout>
                  <c:x val="-1.9576860472258074E-2"/>
                  <c:y val="1.5835251362810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92-4C96-A75D-143104B85C1B}"/>
                </c:ext>
              </c:extLst>
            </c:dLbl>
            <c:dLbl>
              <c:idx val="7"/>
              <c:delete val="1"/>
              <c:extLst>
                <c:ext xmlns:c15="http://schemas.microsoft.com/office/drawing/2012/chart" uri="{CE6537A1-D6FC-4f65-9D91-7224C49458BB}"/>
                <c:ext xmlns:c16="http://schemas.microsoft.com/office/drawing/2014/chart" uri="{C3380CC4-5D6E-409C-BE32-E72D297353CC}">
                  <c16:uniqueId val="{00000007-2492-4C96-A75D-143104B85C1B}"/>
                </c:ext>
              </c:extLst>
            </c:dLbl>
            <c:dLbl>
              <c:idx val="9"/>
              <c:delete val="1"/>
              <c:extLst>
                <c:ext xmlns:c15="http://schemas.microsoft.com/office/drawing/2012/chart" uri="{CE6537A1-D6FC-4f65-9D91-7224C49458BB}"/>
                <c:ext xmlns:c16="http://schemas.microsoft.com/office/drawing/2014/chart" uri="{C3380CC4-5D6E-409C-BE32-E72D297353CC}">
                  <c16:uniqueId val="{00000008-2492-4C96-A75D-143104B85C1B}"/>
                </c:ext>
              </c:extLst>
            </c:dLbl>
            <c:dLbl>
              <c:idx val="10"/>
              <c:layout>
                <c:manualLayout>
                  <c:x val="-5.3981095140405045E-3"/>
                  <c:y val="-1.53846153846153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492-4C96-A75D-143104B85C1B}"/>
                </c:ext>
              </c:extLst>
            </c:dLbl>
            <c:dLbl>
              <c:idx val="11"/>
              <c:layout>
                <c:manualLayout>
                  <c:x val="5.3981095140405045E-3"/>
                  <c:y val="1.0256410256410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492-4C96-A75D-143104B85C1B}"/>
                </c:ext>
              </c:extLst>
            </c:dLbl>
            <c:dLbl>
              <c:idx val="12"/>
              <c:delete val="1"/>
              <c:extLst>
                <c:ext xmlns:c15="http://schemas.microsoft.com/office/drawing/2012/chart" uri="{CE6537A1-D6FC-4f65-9D91-7224C49458BB}"/>
                <c:ext xmlns:c16="http://schemas.microsoft.com/office/drawing/2014/chart" uri="{C3380CC4-5D6E-409C-BE32-E72D297353CC}">
                  <c16:uniqueId val="{0000000B-2492-4C96-A75D-143104B85C1B}"/>
                </c:ext>
              </c:extLst>
            </c:dLbl>
            <c:dLbl>
              <c:idx val="13"/>
              <c:delete val="1"/>
              <c:extLst>
                <c:ext xmlns:c15="http://schemas.microsoft.com/office/drawing/2012/chart" uri="{CE6537A1-D6FC-4f65-9D91-7224C49458BB}"/>
                <c:ext xmlns:c16="http://schemas.microsoft.com/office/drawing/2014/chart" uri="{C3380CC4-5D6E-409C-BE32-E72D297353CC}">
                  <c16:uniqueId val="{0000000C-2492-4C96-A75D-143104B85C1B}"/>
                </c:ext>
              </c:extLst>
            </c:dLbl>
            <c:dLbl>
              <c:idx val="14"/>
              <c:layout>
                <c:manualLayout>
                  <c:x val="-6.2078471935462412E-2"/>
                  <c:y val="-2.564102564102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492-4C96-A75D-143104B85C1B}"/>
                </c:ext>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Sheet1!$A$45:$A$59</c:f>
              <c:strCache>
                <c:ptCount val="15"/>
                <c:pt idx="0">
                  <c:v>FY03</c:v>
                </c:pt>
                <c:pt idx="1">
                  <c:v>FY04</c:v>
                </c:pt>
                <c:pt idx="2">
                  <c:v>FY05</c:v>
                </c:pt>
                <c:pt idx="3">
                  <c:v>FY06</c:v>
                </c:pt>
                <c:pt idx="4">
                  <c:v>FY07</c:v>
                </c:pt>
                <c:pt idx="5">
                  <c:v>FY08</c:v>
                </c:pt>
                <c:pt idx="6">
                  <c:v>FY09</c:v>
                </c:pt>
                <c:pt idx="7">
                  <c:v>FY10</c:v>
                </c:pt>
                <c:pt idx="8">
                  <c:v>FY11</c:v>
                </c:pt>
                <c:pt idx="9">
                  <c:v>FY12</c:v>
                </c:pt>
                <c:pt idx="10">
                  <c:v>FY13</c:v>
                </c:pt>
                <c:pt idx="11">
                  <c:v>FY14</c:v>
                </c:pt>
                <c:pt idx="12">
                  <c:v>FY15</c:v>
                </c:pt>
                <c:pt idx="13">
                  <c:v>FY16</c:v>
                </c:pt>
                <c:pt idx="14">
                  <c:v>FY17</c:v>
                </c:pt>
              </c:strCache>
            </c:strRef>
          </c:cat>
          <c:val>
            <c:numRef>
              <c:f>Sheet1!$B$45:$B$59</c:f>
              <c:numCache>
                <c:formatCode>0.0</c:formatCode>
                <c:ptCount val="15"/>
                <c:pt idx="0" formatCode="General">
                  <c:v>57.9</c:v>
                </c:pt>
                <c:pt idx="1">
                  <c:v>58.94</c:v>
                </c:pt>
                <c:pt idx="2">
                  <c:v>61.39</c:v>
                </c:pt>
                <c:pt idx="3">
                  <c:v>67.08</c:v>
                </c:pt>
                <c:pt idx="4">
                  <c:v>69.03</c:v>
                </c:pt>
                <c:pt idx="5">
                  <c:v>68.599999999999994</c:v>
                </c:pt>
                <c:pt idx="6">
                  <c:v>68.8</c:v>
                </c:pt>
                <c:pt idx="7">
                  <c:v>69.180000000000007</c:v>
                </c:pt>
                <c:pt idx="8">
                  <c:v>71.17</c:v>
                </c:pt>
                <c:pt idx="9">
                  <c:v>79.099999999999994</c:v>
                </c:pt>
                <c:pt idx="10">
                  <c:v>79.930000000000007</c:v>
                </c:pt>
                <c:pt idx="11">
                  <c:v>77.72</c:v>
                </c:pt>
                <c:pt idx="12">
                  <c:v>77.67</c:v>
                </c:pt>
                <c:pt idx="13">
                  <c:v>78.400000000000006</c:v>
                </c:pt>
                <c:pt idx="14">
                  <c:v>79.13</c:v>
                </c:pt>
              </c:numCache>
            </c:numRef>
          </c:val>
          <c:smooth val="0"/>
          <c:extLst>
            <c:ext xmlns:c16="http://schemas.microsoft.com/office/drawing/2014/chart" uri="{C3380CC4-5D6E-409C-BE32-E72D297353CC}">
              <c16:uniqueId val="{0000000A-4098-429A-8CA2-8561587B55C6}"/>
            </c:ext>
          </c:extLst>
        </c:ser>
        <c:dLbls>
          <c:showLegendKey val="0"/>
          <c:showVal val="0"/>
          <c:showCatName val="0"/>
          <c:showSerName val="0"/>
          <c:showPercent val="0"/>
          <c:showBubbleSize val="0"/>
        </c:dLbls>
        <c:marker val="1"/>
        <c:smooth val="0"/>
        <c:axId val="1843770544"/>
        <c:axId val="1843791760"/>
      </c:lineChart>
      <c:lineChart>
        <c:grouping val="standard"/>
        <c:varyColors val="0"/>
        <c:ser>
          <c:idx val="1"/>
          <c:order val="1"/>
          <c:tx>
            <c:strRef>
              <c:f>Sheet1!$C$44</c:f>
              <c:strCache>
                <c:ptCount val="1"/>
                <c:pt idx="0">
                  <c:v>REER (FY11 = 100)</c:v>
                </c:pt>
              </c:strCache>
            </c:strRef>
          </c:tx>
          <c:marker>
            <c:symbol val="none"/>
          </c:marker>
          <c:dLbls>
            <c:dLbl>
              <c:idx val="0"/>
              <c:layout>
                <c:manualLayout>
                  <c:x val="-2.9689602327222772E-2"/>
                  <c:y val="-1.0256410256410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492-4C96-A75D-143104B85C1B}"/>
                </c:ext>
              </c:extLst>
            </c:dLbl>
            <c:dLbl>
              <c:idx val="2"/>
              <c:delete val="1"/>
              <c:extLst>
                <c:ext xmlns:c15="http://schemas.microsoft.com/office/drawing/2012/chart" uri="{CE6537A1-D6FC-4f65-9D91-7224C49458BB}"/>
                <c:ext xmlns:c16="http://schemas.microsoft.com/office/drawing/2014/chart" uri="{C3380CC4-5D6E-409C-BE32-E72D297353CC}">
                  <c16:uniqueId val="{0000000F-2492-4C96-A75D-143104B85C1B}"/>
                </c:ext>
              </c:extLst>
            </c:dLbl>
            <c:dLbl>
              <c:idx val="4"/>
              <c:delete val="1"/>
              <c:extLst>
                <c:ext xmlns:c15="http://schemas.microsoft.com/office/drawing/2012/chart" uri="{CE6537A1-D6FC-4f65-9D91-7224C49458BB}"/>
                <c:ext xmlns:c16="http://schemas.microsoft.com/office/drawing/2014/chart" uri="{C3380CC4-5D6E-409C-BE32-E72D297353CC}">
                  <c16:uniqueId val="{00000010-2492-4C96-A75D-143104B85C1B}"/>
                </c:ext>
              </c:extLst>
            </c:dLbl>
            <c:dLbl>
              <c:idx val="5"/>
              <c:delete val="1"/>
              <c:extLst>
                <c:ext xmlns:c15="http://schemas.microsoft.com/office/drawing/2012/chart" uri="{CE6537A1-D6FC-4f65-9D91-7224C49458BB}"/>
                <c:ext xmlns:c16="http://schemas.microsoft.com/office/drawing/2014/chart" uri="{C3380CC4-5D6E-409C-BE32-E72D297353CC}">
                  <c16:uniqueId val="{00000011-2492-4C96-A75D-143104B85C1B}"/>
                </c:ext>
              </c:extLst>
            </c:dLbl>
            <c:dLbl>
              <c:idx val="6"/>
              <c:layout>
                <c:manualLayout>
                  <c:x val="-1.6877637130801686E-2"/>
                  <c:y val="-1.1157601115760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492-4C96-A75D-143104B85C1B}"/>
                </c:ext>
              </c:extLst>
            </c:dLbl>
            <c:dLbl>
              <c:idx val="8"/>
              <c:delete val="1"/>
              <c:extLst>
                <c:ext xmlns:c15="http://schemas.microsoft.com/office/drawing/2012/chart" uri="{CE6537A1-D6FC-4f65-9D91-7224C49458BB}"/>
                <c:ext xmlns:c16="http://schemas.microsoft.com/office/drawing/2014/chart" uri="{C3380CC4-5D6E-409C-BE32-E72D297353CC}">
                  <c16:uniqueId val="{00000013-2492-4C96-A75D-143104B85C1B}"/>
                </c:ext>
              </c:extLst>
            </c:dLbl>
            <c:dLbl>
              <c:idx val="10"/>
              <c:delete val="1"/>
              <c:extLst>
                <c:ext xmlns:c15="http://schemas.microsoft.com/office/drawing/2012/chart" uri="{CE6537A1-D6FC-4f65-9D91-7224C49458BB}"/>
                <c:ext xmlns:c16="http://schemas.microsoft.com/office/drawing/2014/chart" uri="{C3380CC4-5D6E-409C-BE32-E72D297353CC}">
                  <c16:uniqueId val="{00000014-2492-4C96-A75D-143104B85C1B}"/>
                </c:ext>
              </c:extLst>
            </c:dLbl>
            <c:dLbl>
              <c:idx val="13"/>
              <c:delete val="1"/>
              <c:extLst>
                <c:ext xmlns:c15="http://schemas.microsoft.com/office/drawing/2012/chart" uri="{CE6537A1-D6FC-4f65-9D91-7224C49458BB}"/>
                <c:ext xmlns:c16="http://schemas.microsoft.com/office/drawing/2014/chart" uri="{C3380CC4-5D6E-409C-BE32-E72D297353CC}">
                  <c16:uniqueId val="{00000015-2492-4C96-A75D-143104B85C1B}"/>
                </c:ext>
              </c:extLst>
            </c:dLbl>
            <c:dLbl>
              <c:idx val="14"/>
              <c:layout>
                <c:manualLayout>
                  <c:x val="-2.9689814851219389E-2"/>
                  <c:y val="4.1025641025641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492-4C96-A75D-143104B85C1B}"/>
                </c:ext>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Sheet1!$A$45:$A$59</c:f>
              <c:strCache>
                <c:ptCount val="15"/>
                <c:pt idx="0">
                  <c:v>FY03</c:v>
                </c:pt>
                <c:pt idx="1">
                  <c:v>FY04</c:v>
                </c:pt>
                <c:pt idx="2">
                  <c:v>FY05</c:v>
                </c:pt>
                <c:pt idx="3">
                  <c:v>FY06</c:v>
                </c:pt>
                <c:pt idx="4">
                  <c:v>FY07</c:v>
                </c:pt>
                <c:pt idx="5">
                  <c:v>FY08</c:v>
                </c:pt>
                <c:pt idx="6">
                  <c:v>FY09</c:v>
                </c:pt>
                <c:pt idx="7">
                  <c:v>FY10</c:v>
                </c:pt>
                <c:pt idx="8">
                  <c:v>FY11</c:v>
                </c:pt>
                <c:pt idx="9">
                  <c:v>FY12</c:v>
                </c:pt>
                <c:pt idx="10">
                  <c:v>FY13</c:v>
                </c:pt>
                <c:pt idx="11">
                  <c:v>FY14</c:v>
                </c:pt>
                <c:pt idx="12">
                  <c:v>FY15</c:v>
                </c:pt>
                <c:pt idx="13">
                  <c:v>FY16</c:v>
                </c:pt>
                <c:pt idx="14">
                  <c:v>FY17</c:v>
                </c:pt>
              </c:strCache>
            </c:strRef>
          </c:cat>
          <c:val>
            <c:numRef>
              <c:f>Sheet1!$C$45:$C$59</c:f>
              <c:numCache>
                <c:formatCode>0.0</c:formatCode>
                <c:ptCount val="15"/>
                <c:pt idx="0">
                  <c:v>92.27</c:v>
                </c:pt>
                <c:pt idx="1">
                  <c:v>89.3</c:v>
                </c:pt>
                <c:pt idx="2">
                  <c:v>88.4</c:v>
                </c:pt>
                <c:pt idx="3">
                  <c:v>83.9</c:v>
                </c:pt>
                <c:pt idx="4">
                  <c:v>86.6</c:v>
                </c:pt>
                <c:pt idx="5">
                  <c:v>86</c:v>
                </c:pt>
                <c:pt idx="6">
                  <c:v>91.3</c:v>
                </c:pt>
                <c:pt idx="7">
                  <c:v>97.7</c:v>
                </c:pt>
                <c:pt idx="8">
                  <c:v>89.4</c:v>
                </c:pt>
                <c:pt idx="9">
                  <c:v>91.4</c:v>
                </c:pt>
                <c:pt idx="10">
                  <c:v>101.5</c:v>
                </c:pt>
                <c:pt idx="11">
                  <c:v>107.2</c:v>
                </c:pt>
                <c:pt idx="12">
                  <c:v>130.62</c:v>
                </c:pt>
                <c:pt idx="13">
                  <c:v>137.94999999999999</c:v>
                </c:pt>
                <c:pt idx="14">
                  <c:v>149.99</c:v>
                </c:pt>
              </c:numCache>
            </c:numRef>
          </c:val>
          <c:smooth val="0"/>
          <c:extLst>
            <c:ext xmlns:c16="http://schemas.microsoft.com/office/drawing/2014/chart" uri="{C3380CC4-5D6E-409C-BE32-E72D297353CC}">
              <c16:uniqueId val="{00000012-4098-429A-8CA2-8561587B55C6}"/>
            </c:ext>
          </c:extLst>
        </c:ser>
        <c:dLbls>
          <c:showLegendKey val="0"/>
          <c:showVal val="0"/>
          <c:showCatName val="0"/>
          <c:showSerName val="0"/>
          <c:showPercent val="0"/>
          <c:showBubbleSize val="0"/>
        </c:dLbls>
        <c:marker val="1"/>
        <c:smooth val="0"/>
        <c:axId val="1843781424"/>
        <c:axId val="1843789584"/>
      </c:lineChart>
      <c:catAx>
        <c:axId val="1843770544"/>
        <c:scaling>
          <c:orientation val="minMax"/>
        </c:scaling>
        <c:delete val="0"/>
        <c:axPos val="b"/>
        <c:numFmt formatCode="General" sourceLinked="0"/>
        <c:majorTickMark val="none"/>
        <c:minorTickMark val="none"/>
        <c:tickLblPos val="nextTo"/>
        <c:txPr>
          <a:bodyPr rot="-5400000" vert="horz"/>
          <a:lstStyle/>
          <a:p>
            <a:pPr>
              <a:defRPr/>
            </a:pPr>
            <a:endParaRPr lang="en-US"/>
          </a:p>
        </c:txPr>
        <c:crossAx val="1843791760"/>
        <c:crosses val="autoZero"/>
        <c:auto val="1"/>
        <c:lblAlgn val="ctr"/>
        <c:lblOffset val="100"/>
        <c:tickLblSkip val="1"/>
        <c:noMultiLvlLbl val="0"/>
      </c:catAx>
      <c:valAx>
        <c:axId val="1843791760"/>
        <c:scaling>
          <c:orientation val="minMax"/>
          <c:max val="85"/>
          <c:min val="45"/>
        </c:scaling>
        <c:delete val="0"/>
        <c:axPos val="l"/>
        <c:majorGridlines/>
        <c:title>
          <c:tx>
            <c:rich>
              <a:bodyPr rot="-5400000" vert="horz"/>
              <a:lstStyle/>
              <a:p>
                <a:pPr>
                  <a:defRPr/>
                </a:pPr>
                <a:r>
                  <a:rPr lang="en-US"/>
                  <a:t>BDT/USD</a:t>
                </a:r>
              </a:p>
            </c:rich>
          </c:tx>
          <c:overlay val="0"/>
        </c:title>
        <c:numFmt formatCode="0" sourceLinked="0"/>
        <c:majorTickMark val="none"/>
        <c:minorTickMark val="none"/>
        <c:tickLblPos val="nextTo"/>
        <c:spPr>
          <a:ln w="9525">
            <a:noFill/>
          </a:ln>
        </c:spPr>
        <c:crossAx val="1843770544"/>
        <c:crosses val="autoZero"/>
        <c:crossBetween val="between"/>
      </c:valAx>
      <c:valAx>
        <c:axId val="1843789584"/>
        <c:scaling>
          <c:orientation val="minMax"/>
          <c:max val="160"/>
          <c:min val="80"/>
        </c:scaling>
        <c:delete val="0"/>
        <c:axPos val="r"/>
        <c:title>
          <c:tx>
            <c:rich>
              <a:bodyPr rot="-5400000" vert="horz"/>
              <a:lstStyle/>
              <a:p>
                <a:pPr>
                  <a:defRPr/>
                </a:pPr>
                <a:r>
                  <a:rPr lang="en-US"/>
                  <a:t>REER</a:t>
                </a:r>
              </a:p>
            </c:rich>
          </c:tx>
          <c:layout>
            <c:manualLayout>
              <c:xMode val="edge"/>
              <c:yMode val="edge"/>
              <c:x val="0.91855844942459119"/>
              <c:y val="0.35426529376135668"/>
            </c:manualLayout>
          </c:layout>
          <c:overlay val="0"/>
        </c:title>
        <c:numFmt formatCode="0" sourceLinked="0"/>
        <c:majorTickMark val="out"/>
        <c:minorTickMark val="none"/>
        <c:tickLblPos val="nextTo"/>
        <c:crossAx val="1843781424"/>
        <c:crosses val="max"/>
        <c:crossBetween val="between"/>
        <c:majorUnit val="10"/>
      </c:valAx>
      <c:catAx>
        <c:axId val="1843781424"/>
        <c:scaling>
          <c:orientation val="minMax"/>
        </c:scaling>
        <c:delete val="1"/>
        <c:axPos val="b"/>
        <c:numFmt formatCode="General" sourceLinked="1"/>
        <c:majorTickMark val="out"/>
        <c:minorTickMark val="none"/>
        <c:tickLblPos val="none"/>
        <c:crossAx val="1843789584"/>
        <c:crosses val="autoZero"/>
        <c:auto val="1"/>
        <c:lblAlgn val="ctr"/>
        <c:lblOffset val="100"/>
        <c:noMultiLvlLbl val="0"/>
      </c:catAx>
    </c:plotArea>
    <c:legend>
      <c:legendPos val="b"/>
      <c:layout>
        <c:manualLayout>
          <c:xMode val="edge"/>
          <c:yMode val="edge"/>
          <c:x val="0.11729983973242283"/>
          <c:y val="0.89378611814492348"/>
          <c:w val="0.76540032053515461"/>
          <c:h val="0.10621388185507649"/>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69541597997924"/>
          <c:y val="0.1192246281714799"/>
          <c:w val="0.8730601232985411"/>
          <c:h val="0.70968222722159735"/>
        </c:manualLayout>
      </c:layout>
      <c:lineChart>
        <c:grouping val="standard"/>
        <c:varyColors val="0"/>
        <c:ser>
          <c:idx val="0"/>
          <c:order val="0"/>
          <c:tx>
            <c:strRef>
              <c:f>Sheet3!$B$1</c:f>
              <c:strCache>
                <c:ptCount val="1"/>
                <c:pt idx="0">
                  <c:v>Average Para Tariff</c:v>
                </c:pt>
              </c:strCache>
            </c:strRef>
          </c:tx>
          <c:spPr>
            <a:ln>
              <a:prstDash val="sysDash"/>
            </a:ln>
          </c:spPr>
          <c:marker>
            <c:symbol val="none"/>
          </c:marker>
          <c:cat>
            <c:strRef>
              <c:f>Sheet3!$A$3:$A$19</c:f>
              <c:strCache>
                <c:ptCount val="17"/>
                <c:pt idx="0">
                  <c:v>FY01</c:v>
                </c:pt>
                <c:pt idx="1">
                  <c:v>FY02</c:v>
                </c:pt>
                <c:pt idx="2">
                  <c:v>FY03</c:v>
                </c:pt>
                <c:pt idx="3">
                  <c:v>FY04</c:v>
                </c:pt>
                <c:pt idx="4">
                  <c:v>FY05</c:v>
                </c:pt>
                <c:pt idx="5">
                  <c:v>FY06</c:v>
                </c:pt>
                <c:pt idx="6">
                  <c:v>FY07</c:v>
                </c:pt>
                <c:pt idx="7">
                  <c:v>FY08</c:v>
                </c:pt>
                <c:pt idx="8">
                  <c:v>FY09</c:v>
                </c:pt>
                <c:pt idx="9">
                  <c:v>FY10</c:v>
                </c:pt>
                <c:pt idx="10">
                  <c:v>FY11</c:v>
                </c:pt>
                <c:pt idx="11">
                  <c:v>FY12</c:v>
                </c:pt>
                <c:pt idx="12">
                  <c:v>FY13</c:v>
                </c:pt>
                <c:pt idx="13">
                  <c:v>FY14</c:v>
                </c:pt>
                <c:pt idx="14">
                  <c:v>FY15</c:v>
                </c:pt>
                <c:pt idx="15">
                  <c:v>FY16</c:v>
                </c:pt>
                <c:pt idx="16">
                  <c:v>FY17</c:v>
                </c:pt>
              </c:strCache>
            </c:strRef>
          </c:cat>
          <c:val>
            <c:numRef>
              <c:f>Sheet3!$B$3:$B$19</c:f>
              <c:numCache>
                <c:formatCode>#,##0.00</c:formatCode>
                <c:ptCount val="17"/>
                <c:pt idx="0">
                  <c:v>7.1254406207048255</c:v>
                </c:pt>
                <c:pt idx="1">
                  <c:v>8.1104155514721263</c:v>
                </c:pt>
                <c:pt idx="2">
                  <c:v>6.5080740061256712</c:v>
                </c:pt>
                <c:pt idx="3">
                  <c:v>10.293518111745104</c:v>
                </c:pt>
                <c:pt idx="4">
                  <c:v>10.213612369173141</c:v>
                </c:pt>
                <c:pt idx="5">
                  <c:v>10.969917438368823</c:v>
                </c:pt>
                <c:pt idx="6">
                  <c:v>9.4194552425514377</c:v>
                </c:pt>
                <c:pt idx="7">
                  <c:v>6.2040227744061163</c:v>
                </c:pt>
                <c:pt idx="8">
                  <c:v>6.2688230237623426</c:v>
                </c:pt>
                <c:pt idx="9">
                  <c:v>10.208267558043604</c:v>
                </c:pt>
                <c:pt idx="10">
                  <c:v>10.191996631947433</c:v>
                </c:pt>
                <c:pt idx="11">
                  <c:v>13.386920611006893</c:v>
                </c:pt>
                <c:pt idx="12">
                  <c:v>15.054594439896482</c:v>
                </c:pt>
                <c:pt idx="13">
                  <c:v>14.897040853114882</c:v>
                </c:pt>
                <c:pt idx="14">
                  <c:v>13.536842125190883</c:v>
                </c:pt>
                <c:pt idx="15">
                  <c:v>12.590000000000002</c:v>
                </c:pt>
                <c:pt idx="16" formatCode="General">
                  <c:v>12.17</c:v>
                </c:pt>
              </c:numCache>
            </c:numRef>
          </c:val>
          <c:smooth val="0"/>
          <c:extLst>
            <c:ext xmlns:c16="http://schemas.microsoft.com/office/drawing/2014/chart" uri="{C3380CC4-5D6E-409C-BE32-E72D297353CC}">
              <c16:uniqueId val="{00000000-64CC-4B4A-882E-6C264284B202}"/>
            </c:ext>
          </c:extLst>
        </c:ser>
        <c:ser>
          <c:idx val="1"/>
          <c:order val="1"/>
          <c:tx>
            <c:strRef>
              <c:f>Sheet3!$C$1</c:f>
              <c:strCache>
                <c:ptCount val="1"/>
                <c:pt idx="0">
                  <c:v>Average - CD</c:v>
                </c:pt>
              </c:strCache>
            </c:strRef>
          </c:tx>
          <c:marker>
            <c:symbol val="none"/>
          </c:marker>
          <c:cat>
            <c:strRef>
              <c:f>Sheet3!$A$3:$A$19</c:f>
              <c:strCache>
                <c:ptCount val="17"/>
                <c:pt idx="0">
                  <c:v>FY01</c:v>
                </c:pt>
                <c:pt idx="1">
                  <c:v>FY02</c:v>
                </c:pt>
                <c:pt idx="2">
                  <c:v>FY03</c:v>
                </c:pt>
                <c:pt idx="3">
                  <c:v>FY04</c:v>
                </c:pt>
                <c:pt idx="4">
                  <c:v>FY05</c:v>
                </c:pt>
                <c:pt idx="5">
                  <c:v>FY06</c:v>
                </c:pt>
                <c:pt idx="6">
                  <c:v>FY07</c:v>
                </c:pt>
                <c:pt idx="7">
                  <c:v>FY08</c:v>
                </c:pt>
                <c:pt idx="8">
                  <c:v>FY09</c:v>
                </c:pt>
                <c:pt idx="9">
                  <c:v>FY10</c:v>
                </c:pt>
                <c:pt idx="10">
                  <c:v>FY11</c:v>
                </c:pt>
                <c:pt idx="11">
                  <c:v>FY12</c:v>
                </c:pt>
                <c:pt idx="12">
                  <c:v>FY13</c:v>
                </c:pt>
                <c:pt idx="13">
                  <c:v>FY14</c:v>
                </c:pt>
                <c:pt idx="14">
                  <c:v>FY15</c:v>
                </c:pt>
                <c:pt idx="15">
                  <c:v>FY16</c:v>
                </c:pt>
                <c:pt idx="16">
                  <c:v>FY17</c:v>
                </c:pt>
              </c:strCache>
            </c:strRef>
          </c:cat>
          <c:val>
            <c:numRef>
              <c:f>Sheet3!$C$3:$C$19</c:f>
              <c:numCache>
                <c:formatCode>General</c:formatCode>
                <c:ptCount val="17"/>
                <c:pt idx="0">
                  <c:v>21.1</c:v>
                </c:pt>
                <c:pt idx="1">
                  <c:v>21.01</c:v>
                </c:pt>
                <c:pt idx="2">
                  <c:v>19.91</c:v>
                </c:pt>
                <c:pt idx="3">
                  <c:v>18.809999999999999</c:v>
                </c:pt>
                <c:pt idx="4">
                  <c:v>16.309999999999999</c:v>
                </c:pt>
                <c:pt idx="5">
                  <c:v>15.49</c:v>
                </c:pt>
                <c:pt idx="6">
                  <c:v>14.85</c:v>
                </c:pt>
                <c:pt idx="7">
                  <c:v>16.28</c:v>
                </c:pt>
                <c:pt idx="8">
                  <c:v>13.81</c:v>
                </c:pt>
                <c:pt idx="9">
                  <c:v>13.67</c:v>
                </c:pt>
                <c:pt idx="10">
                  <c:v>13.55</c:v>
                </c:pt>
                <c:pt idx="11">
                  <c:v>13.57</c:v>
                </c:pt>
                <c:pt idx="12">
                  <c:v>13.88</c:v>
                </c:pt>
                <c:pt idx="13">
                  <c:v>13.19</c:v>
                </c:pt>
                <c:pt idx="14" formatCode="#,##0.00">
                  <c:v>13.158855585831063</c:v>
                </c:pt>
                <c:pt idx="15" formatCode="#,##0.00">
                  <c:v>13.01</c:v>
                </c:pt>
                <c:pt idx="16">
                  <c:v>13.25</c:v>
                </c:pt>
              </c:numCache>
            </c:numRef>
          </c:val>
          <c:smooth val="0"/>
          <c:extLst>
            <c:ext xmlns:c16="http://schemas.microsoft.com/office/drawing/2014/chart" uri="{C3380CC4-5D6E-409C-BE32-E72D297353CC}">
              <c16:uniqueId val="{00000001-64CC-4B4A-882E-6C264284B202}"/>
            </c:ext>
          </c:extLst>
        </c:ser>
        <c:dLbls>
          <c:showLegendKey val="0"/>
          <c:showVal val="0"/>
          <c:showCatName val="0"/>
          <c:showSerName val="0"/>
          <c:showPercent val="0"/>
          <c:showBubbleSize val="0"/>
        </c:dLbls>
        <c:smooth val="0"/>
        <c:axId val="1843771088"/>
        <c:axId val="1843794480"/>
      </c:lineChart>
      <c:catAx>
        <c:axId val="1843771088"/>
        <c:scaling>
          <c:orientation val="minMax"/>
        </c:scaling>
        <c:delete val="0"/>
        <c:axPos val="b"/>
        <c:numFmt formatCode="General" sourceLinked="0"/>
        <c:majorTickMark val="out"/>
        <c:minorTickMark val="none"/>
        <c:tickLblPos val="nextTo"/>
        <c:crossAx val="1843794480"/>
        <c:crosses val="autoZero"/>
        <c:auto val="1"/>
        <c:lblAlgn val="ctr"/>
        <c:lblOffset val="100"/>
        <c:tickLblSkip val="2"/>
        <c:noMultiLvlLbl val="0"/>
      </c:catAx>
      <c:valAx>
        <c:axId val="1843794480"/>
        <c:scaling>
          <c:orientation val="minMax"/>
        </c:scaling>
        <c:delete val="0"/>
        <c:axPos val="l"/>
        <c:majorGridlines/>
        <c:title>
          <c:tx>
            <c:rich>
              <a:bodyPr rot="-5400000" vert="horz"/>
              <a:lstStyle/>
              <a:p>
                <a:pPr>
                  <a:defRPr/>
                </a:pPr>
                <a:r>
                  <a:rPr lang="en-US"/>
                  <a:t>(%)</a:t>
                </a:r>
              </a:p>
            </c:rich>
          </c:tx>
          <c:overlay val="0"/>
        </c:title>
        <c:numFmt formatCode="#,##0" sourceLinked="0"/>
        <c:majorTickMark val="out"/>
        <c:minorTickMark val="none"/>
        <c:tickLblPos val="nextTo"/>
        <c:crossAx val="1843771088"/>
        <c:crosses val="autoZero"/>
        <c:crossBetween val="between"/>
      </c:valAx>
      <c:spPr>
        <a:solidFill>
          <a:srgbClr val="1F497D">
            <a:lumMod val="20000"/>
            <a:lumOff val="80000"/>
          </a:srgbClr>
        </a:solidFill>
      </c:spPr>
    </c:plotArea>
    <c:legend>
      <c:legendPos val="b"/>
      <c:layout>
        <c:manualLayout>
          <c:xMode val="edge"/>
          <c:yMode val="edge"/>
          <c:x val="0.1694904007785544"/>
          <c:y val="8.8757829574093161E-4"/>
          <c:w val="0.67600017694417669"/>
          <c:h val="9.6057972833077376E-2"/>
        </c:manualLayout>
      </c:layout>
      <c:overlay val="0"/>
    </c:legend>
    <c:plotVisOnly val="1"/>
    <c:dispBlanksAs val="gap"/>
    <c:showDLblsOverMax val="0"/>
  </c:chart>
  <c:spPr>
    <a:solidFill>
      <a:srgbClr val="1F497D">
        <a:lumMod val="20000"/>
        <a:lumOff val="80000"/>
      </a:srgbClr>
    </a:solidFill>
    <a:ln>
      <a:noFill/>
    </a:ln>
  </c:spPr>
  <c:txPr>
    <a:bodyPr/>
    <a:lstStyle/>
    <a:p>
      <a:pPr>
        <a:defRPr sz="900"/>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cdr:x>
      <cdr:y>0.83503</cdr:y>
    </cdr:from>
    <cdr:to>
      <cdr:x>0.99443</cdr:x>
      <cdr:y>1</cdr:y>
    </cdr:to>
    <cdr:sp macro="" textlink="">
      <cdr:nvSpPr>
        <cdr:cNvPr id="2" name="TextBox 1"/>
        <cdr:cNvSpPr txBox="1"/>
      </cdr:nvSpPr>
      <cdr:spPr>
        <a:xfrm xmlns:a="http://schemas.openxmlformats.org/drawingml/2006/main">
          <a:off x="0" y="2067959"/>
          <a:ext cx="5181155" cy="4085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*This</a:t>
          </a:r>
          <a:r>
            <a:rPr lang="en-US" sz="800" baseline="0"/>
            <a:t> sector includes FDI in Textiles. **This sector includes Telecom but exludes FDI in Transport due to  lack of data</a:t>
          </a:r>
          <a:endParaRPr lang="en-US" sz="8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F113E9166164926BB20F79C3E83BFC7"/>
        <w:category>
          <w:name w:val="General"/>
          <w:gallery w:val="placeholder"/>
        </w:category>
        <w:types>
          <w:type w:val="bbPlcHdr"/>
        </w:types>
        <w:behaviors>
          <w:behavior w:val="content"/>
        </w:behaviors>
        <w:guid w:val="{2122A9C0-677C-4995-87A2-B6982B8EAAF3}"/>
      </w:docPartPr>
      <w:docPartBody>
        <w:p w:rsidR="001B772F" w:rsidRDefault="00FF3463" w:rsidP="00FF3463">
          <w:pPr>
            <w:pStyle w:val="1F113E9166164926BB20F79C3E83BFC7"/>
          </w:pPr>
          <w:r>
            <w:rPr>
              <w:rFonts w:asciiTheme="majorHAnsi" w:eastAsiaTheme="majorEastAsia" w:hAnsiTheme="majorHAnsi" w:cstheme="majorBidi"/>
              <w:caps/>
              <w:color w:val="4472C4" w:themeColor="accent1"/>
              <w:sz w:val="80"/>
              <w:szCs w:val="80"/>
            </w:rPr>
            <w:t>[Document title]</w:t>
          </w:r>
        </w:p>
      </w:docPartBody>
    </w:docPart>
    <w:docPart>
      <w:docPartPr>
        <w:name w:val="138812AA705D4DF1B8D57B5A5F2AE5CB"/>
        <w:category>
          <w:name w:val="General"/>
          <w:gallery w:val="placeholder"/>
        </w:category>
        <w:types>
          <w:type w:val="bbPlcHdr"/>
        </w:types>
        <w:behaviors>
          <w:behavior w:val="content"/>
        </w:behaviors>
        <w:guid w:val="{66697C15-0BA9-4975-A5C5-1F08CFAFC55F}"/>
      </w:docPartPr>
      <w:docPartBody>
        <w:p w:rsidR="001B772F" w:rsidRDefault="00FF3463" w:rsidP="00FF3463">
          <w:pPr>
            <w:pStyle w:val="138812AA705D4DF1B8D57B5A5F2AE5CB"/>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463"/>
    <w:rsid w:val="0017723A"/>
    <w:rsid w:val="001B772F"/>
    <w:rsid w:val="00450D06"/>
    <w:rsid w:val="009451DA"/>
    <w:rsid w:val="00A07978"/>
    <w:rsid w:val="00AA2F84"/>
    <w:rsid w:val="00D06658"/>
    <w:rsid w:val="00FA7CD9"/>
    <w:rsid w:val="00FF3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2D243522AF4EB2A8AB94BADEF99BC6">
    <w:name w:val="5A2D243522AF4EB2A8AB94BADEF99BC6"/>
    <w:rsid w:val="00FF3463"/>
  </w:style>
  <w:style w:type="paragraph" w:customStyle="1" w:styleId="5F4D48D7967B4E85A41C78A392888007">
    <w:name w:val="5F4D48D7967B4E85A41C78A392888007"/>
    <w:rsid w:val="00FF3463"/>
  </w:style>
  <w:style w:type="paragraph" w:customStyle="1" w:styleId="540020D968EA4B7A964706677F7A2A49">
    <w:name w:val="540020D968EA4B7A964706677F7A2A49"/>
    <w:rsid w:val="00FF3463"/>
  </w:style>
  <w:style w:type="paragraph" w:customStyle="1" w:styleId="1F113E9166164926BB20F79C3E83BFC7">
    <w:name w:val="1F113E9166164926BB20F79C3E83BFC7"/>
    <w:rsid w:val="00FF3463"/>
  </w:style>
  <w:style w:type="paragraph" w:customStyle="1" w:styleId="138812AA705D4DF1B8D57B5A5F2AE5CB">
    <w:name w:val="138812AA705D4DF1B8D57B5A5F2AE5CB"/>
    <w:rsid w:val="00FF34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F2DBF-D6AA-4970-A04F-FF6F8F5E3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Pages>
  <Words>27988</Words>
  <Characters>159535</Characters>
  <Application>Microsoft Office Word</Application>
  <DocSecurity>0</DocSecurity>
  <Lines>1329</Lines>
  <Paragraphs>374</Paragraphs>
  <ScaleCrop>false</ScaleCrop>
  <HeadingPairs>
    <vt:vector size="2" baseType="variant">
      <vt:variant>
        <vt:lpstr>Title</vt:lpstr>
      </vt:variant>
      <vt:variant>
        <vt:i4>1</vt:i4>
      </vt:variant>
    </vt:vector>
  </HeadingPairs>
  <TitlesOfParts>
    <vt:vector size="1" baseType="lpstr">
      <vt:lpstr>Trade and Industry strategy in the 21st Century for sustained rapid growth and job creation</vt:lpstr>
    </vt:vector>
  </TitlesOfParts>
  <Company/>
  <LinksUpToDate>false</LinksUpToDate>
  <CharactersWithSpaces>187149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Trade and Industry strategy in the 21st Century for sustained rapid growth and job creation</dc:title>
  <dc:subject>A Background Study for the Bangladesh Perspective Plan (2021-2041)</dc:subject>
  <dc:creator>USER</dc:creator>
  <cp:lastModifiedBy>USER</cp:lastModifiedBy>
  <cp:revision>5</cp:revision>
  <cp:lastPrinted>2017-09-20T05:28:00Z</cp:lastPrinted>
  <dcterms:created xsi:type="dcterms:W3CDTF">2017-10-23T12:27:00Z</dcterms:created>
  <dcterms:modified xsi:type="dcterms:W3CDTF">2018-04-02T13:05:00Z</dcterms:modified>
</cp:coreProperties>
</file>