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768CC" w14:textId="5DD42B2A" w:rsidR="00B47314" w:rsidRPr="00233DCC" w:rsidRDefault="00B47314" w:rsidP="00B47314">
      <w:pPr>
        <w:tabs>
          <w:tab w:val="center" w:pos="4680"/>
          <w:tab w:val="left" w:pos="7872"/>
        </w:tabs>
        <w:spacing w:after="0" w:line="240" w:lineRule="auto"/>
        <w:rPr>
          <w:rFonts w:ascii="Times New Roman" w:hAnsi="Times New Roman" w:cs="Times New Roman"/>
          <w:b/>
          <w:sz w:val="24"/>
          <w:szCs w:val="24"/>
        </w:rPr>
      </w:pPr>
      <w:r w:rsidRPr="00233DCC">
        <w:rPr>
          <w:rFonts w:ascii="Times New Roman" w:hAnsi="Times New Roman" w:cs="Times New Roman"/>
          <w:b/>
          <w:sz w:val="24"/>
          <w:szCs w:val="24"/>
        </w:rPr>
        <w:tab/>
      </w:r>
    </w:p>
    <w:p w14:paraId="7D2B94CC" w14:textId="77777777" w:rsidR="00A0712C" w:rsidRDefault="00A0712C" w:rsidP="00E72A0D">
      <w:pPr>
        <w:spacing w:after="0" w:line="240" w:lineRule="auto"/>
        <w:jc w:val="center"/>
        <w:rPr>
          <w:rFonts w:ascii="Times New Roman" w:hAnsi="Times New Roman" w:cs="Times New Roman"/>
          <w:b/>
          <w:bCs/>
          <w:sz w:val="40"/>
          <w:szCs w:val="40"/>
        </w:rPr>
      </w:pPr>
    </w:p>
    <w:p w14:paraId="0BF846F4" w14:textId="77777777" w:rsidR="00A0712C" w:rsidRDefault="00A0712C" w:rsidP="00E72A0D">
      <w:pPr>
        <w:spacing w:after="0" w:line="240" w:lineRule="auto"/>
        <w:jc w:val="center"/>
        <w:rPr>
          <w:rFonts w:ascii="Times New Roman" w:hAnsi="Times New Roman" w:cs="Times New Roman"/>
          <w:b/>
          <w:bCs/>
          <w:sz w:val="40"/>
          <w:szCs w:val="40"/>
        </w:rPr>
      </w:pPr>
    </w:p>
    <w:p w14:paraId="4EC6C73F" w14:textId="77777777" w:rsidR="00A0712C" w:rsidRDefault="00A0712C" w:rsidP="00E72A0D">
      <w:pPr>
        <w:spacing w:after="0" w:line="240" w:lineRule="auto"/>
        <w:jc w:val="center"/>
        <w:rPr>
          <w:rFonts w:ascii="Times New Roman" w:hAnsi="Times New Roman" w:cs="Times New Roman"/>
          <w:b/>
          <w:bCs/>
          <w:sz w:val="40"/>
          <w:szCs w:val="40"/>
        </w:rPr>
      </w:pPr>
    </w:p>
    <w:p w14:paraId="3AD6961A" w14:textId="77777777" w:rsidR="00A0712C" w:rsidRDefault="00A0712C" w:rsidP="00E72A0D">
      <w:pPr>
        <w:spacing w:after="0" w:line="240" w:lineRule="auto"/>
        <w:jc w:val="center"/>
        <w:rPr>
          <w:rFonts w:ascii="Times New Roman" w:hAnsi="Times New Roman" w:cs="Times New Roman"/>
          <w:b/>
          <w:bCs/>
          <w:sz w:val="40"/>
          <w:szCs w:val="40"/>
        </w:rPr>
      </w:pPr>
    </w:p>
    <w:p w14:paraId="5A3E437F" w14:textId="7137533B" w:rsidR="00117A74" w:rsidRPr="00233DCC" w:rsidRDefault="00D93AE3" w:rsidP="00E72A0D">
      <w:pPr>
        <w:spacing w:after="0" w:line="240" w:lineRule="auto"/>
        <w:jc w:val="center"/>
        <w:rPr>
          <w:rFonts w:ascii="Times New Roman" w:hAnsi="Times New Roman" w:cs="Times New Roman"/>
          <w:b/>
          <w:bCs/>
          <w:sz w:val="40"/>
          <w:szCs w:val="40"/>
        </w:rPr>
      </w:pPr>
      <w:r w:rsidRPr="00233DCC">
        <w:rPr>
          <w:rFonts w:ascii="Times New Roman" w:hAnsi="Times New Roman" w:cs="Times New Roman"/>
          <w:b/>
          <w:bCs/>
          <w:sz w:val="40"/>
          <w:szCs w:val="40"/>
        </w:rPr>
        <w:t xml:space="preserve">Education, </w:t>
      </w:r>
      <w:r w:rsidR="00B353EA" w:rsidRPr="00233DCC">
        <w:rPr>
          <w:rFonts w:ascii="Times New Roman" w:hAnsi="Times New Roman" w:cs="Times New Roman"/>
          <w:b/>
          <w:bCs/>
          <w:sz w:val="40"/>
          <w:szCs w:val="40"/>
        </w:rPr>
        <w:t>Skills and</w:t>
      </w:r>
      <w:r w:rsidRPr="00233DCC">
        <w:rPr>
          <w:rFonts w:ascii="Times New Roman" w:hAnsi="Times New Roman" w:cs="Times New Roman"/>
          <w:b/>
          <w:bCs/>
          <w:sz w:val="40"/>
          <w:szCs w:val="40"/>
        </w:rPr>
        <w:t xml:space="preserve"> </w:t>
      </w:r>
      <w:r w:rsidR="00B353EA" w:rsidRPr="00233DCC">
        <w:rPr>
          <w:rFonts w:ascii="Times New Roman" w:hAnsi="Times New Roman" w:cs="Times New Roman"/>
          <w:b/>
          <w:bCs/>
          <w:sz w:val="40"/>
          <w:szCs w:val="40"/>
        </w:rPr>
        <w:t>H</w:t>
      </w:r>
      <w:r w:rsidRPr="00233DCC">
        <w:rPr>
          <w:rFonts w:ascii="Times New Roman" w:hAnsi="Times New Roman" w:cs="Times New Roman"/>
          <w:b/>
          <w:bCs/>
          <w:sz w:val="40"/>
          <w:szCs w:val="40"/>
        </w:rPr>
        <w:t xml:space="preserve">uman </w:t>
      </w:r>
      <w:r w:rsidR="00B353EA" w:rsidRPr="00233DCC">
        <w:rPr>
          <w:rFonts w:ascii="Times New Roman" w:hAnsi="Times New Roman" w:cs="Times New Roman"/>
          <w:b/>
          <w:bCs/>
          <w:sz w:val="40"/>
          <w:szCs w:val="40"/>
        </w:rPr>
        <w:t>D</w:t>
      </w:r>
      <w:r w:rsidRPr="00233DCC">
        <w:rPr>
          <w:rFonts w:ascii="Times New Roman" w:hAnsi="Times New Roman" w:cs="Times New Roman"/>
          <w:b/>
          <w:bCs/>
          <w:sz w:val="40"/>
          <w:szCs w:val="40"/>
        </w:rPr>
        <w:t>evelopment</w:t>
      </w:r>
      <w:r w:rsidR="006262D6" w:rsidRPr="00233DCC">
        <w:rPr>
          <w:rFonts w:ascii="Times New Roman" w:hAnsi="Times New Roman" w:cs="Times New Roman"/>
          <w:b/>
          <w:bCs/>
          <w:sz w:val="40"/>
          <w:szCs w:val="40"/>
        </w:rPr>
        <w:t xml:space="preserve"> </w:t>
      </w:r>
      <w:r w:rsidR="00E239CE" w:rsidRPr="00233DCC">
        <w:rPr>
          <w:rFonts w:ascii="Times New Roman" w:hAnsi="Times New Roman" w:cs="Times New Roman"/>
          <w:b/>
          <w:bCs/>
          <w:sz w:val="40"/>
          <w:szCs w:val="40"/>
        </w:rPr>
        <w:t>f</w:t>
      </w:r>
      <w:r w:rsidR="006262D6" w:rsidRPr="00233DCC">
        <w:rPr>
          <w:rFonts w:ascii="Times New Roman" w:hAnsi="Times New Roman" w:cs="Times New Roman"/>
          <w:b/>
          <w:bCs/>
          <w:sz w:val="40"/>
          <w:szCs w:val="40"/>
        </w:rPr>
        <w:t>or 2041</w:t>
      </w:r>
      <w:r w:rsidR="001E599B" w:rsidRPr="00233DCC">
        <w:rPr>
          <w:rFonts w:ascii="Times New Roman" w:hAnsi="Times New Roman" w:cs="Times New Roman"/>
          <w:b/>
          <w:bCs/>
          <w:sz w:val="40"/>
          <w:szCs w:val="40"/>
        </w:rPr>
        <w:t xml:space="preserve"> </w:t>
      </w:r>
    </w:p>
    <w:p w14:paraId="06D8DEB6" w14:textId="19179459" w:rsidR="00B47314" w:rsidRDefault="00464F72" w:rsidP="00464F72">
      <w:pPr>
        <w:tabs>
          <w:tab w:val="left" w:pos="8304"/>
        </w:tabs>
        <w:spacing w:after="0" w:line="240" w:lineRule="auto"/>
        <w:rPr>
          <w:rFonts w:ascii="Times New Roman" w:hAnsi="Times New Roman" w:cs="Times New Roman"/>
          <w:sz w:val="24"/>
          <w:szCs w:val="24"/>
        </w:rPr>
      </w:pPr>
      <w:r w:rsidRPr="00233DCC">
        <w:rPr>
          <w:rFonts w:ascii="Times New Roman" w:hAnsi="Times New Roman" w:cs="Times New Roman"/>
          <w:sz w:val="24"/>
          <w:szCs w:val="24"/>
        </w:rPr>
        <w:tab/>
      </w:r>
    </w:p>
    <w:p w14:paraId="0F6687CF" w14:textId="77777777" w:rsidR="00D3173C" w:rsidRDefault="00D3173C" w:rsidP="00464F72">
      <w:pPr>
        <w:tabs>
          <w:tab w:val="left" w:pos="8304"/>
        </w:tabs>
        <w:spacing w:after="0" w:line="240" w:lineRule="auto"/>
        <w:rPr>
          <w:rFonts w:ascii="Times New Roman" w:hAnsi="Times New Roman" w:cs="Times New Roman"/>
          <w:sz w:val="24"/>
          <w:szCs w:val="24"/>
        </w:rPr>
      </w:pPr>
    </w:p>
    <w:p w14:paraId="6B74C09A" w14:textId="77777777" w:rsidR="00D3173C" w:rsidRDefault="00D3173C" w:rsidP="00464F72">
      <w:pPr>
        <w:tabs>
          <w:tab w:val="left" w:pos="8304"/>
        </w:tabs>
        <w:spacing w:after="0" w:line="240" w:lineRule="auto"/>
        <w:rPr>
          <w:rFonts w:ascii="Times New Roman" w:hAnsi="Times New Roman" w:cs="Times New Roman"/>
          <w:sz w:val="24"/>
          <w:szCs w:val="24"/>
        </w:rPr>
      </w:pPr>
    </w:p>
    <w:p w14:paraId="790DBAD2" w14:textId="77777777" w:rsidR="00D3173C" w:rsidRPr="00233DCC" w:rsidRDefault="00D3173C" w:rsidP="00464F72">
      <w:pPr>
        <w:tabs>
          <w:tab w:val="left" w:pos="8304"/>
        </w:tabs>
        <w:spacing w:after="0" w:line="240" w:lineRule="auto"/>
        <w:rPr>
          <w:rFonts w:ascii="Times New Roman" w:hAnsi="Times New Roman" w:cs="Times New Roman"/>
          <w:sz w:val="24"/>
          <w:szCs w:val="24"/>
        </w:rPr>
      </w:pPr>
    </w:p>
    <w:p w14:paraId="13131DFE" w14:textId="77777777" w:rsidR="00D93AE3" w:rsidRPr="00A0712C" w:rsidRDefault="00D93AE3" w:rsidP="00E72A0D">
      <w:pPr>
        <w:spacing w:after="0" w:line="240" w:lineRule="auto"/>
        <w:jc w:val="center"/>
        <w:rPr>
          <w:rFonts w:ascii="Times New Roman" w:hAnsi="Times New Roman" w:cs="Times New Roman"/>
          <w:b/>
          <w:sz w:val="24"/>
          <w:szCs w:val="24"/>
          <w:vertAlign w:val="subscript"/>
        </w:rPr>
      </w:pPr>
      <w:r w:rsidRPr="00A0712C">
        <w:rPr>
          <w:rFonts w:ascii="Times New Roman" w:hAnsi="Times New Roman" w:cs="Times New Roman"/>
          <w:b/>
          <w:sz w:val="24"/>
          <w:szCs w:val="24"/>
        </w:rPr>
        <w:t>Minhaj Mahmud</w:t>
      </w:r>
    </w:p>
    <w:p w14:paraId="24AABC4F" w14:textId="0F5F8F00" w:rsidR="00464F72" w:rsidRPr="00A0712C" w:rsidRDefault="00464F72" w:rsidP="00E72A0D">
      <w:pPr>
        <w:spacing w:after="0" w:line="240" w:lineRule="auto"/>
        <w:jc w:val="center"/>
        <w:rPr>
          <w:rFonts w:ascii="Times New Roman" w:hAnsi="Times New Roman" w:cs="Times New Roman"/>
          <w:bCs/>
          <w:sz w:val="24"/>
          <w:szCs w:val="24"/>
        </w:rPr>
      </w:pPr>
      <w:r w:rsidRPr="00A0712C">
        <w:rPr>
          <w:rFonts w:ascii="Times New Roman" w:hAnsi="Times New Roman" w:cs="Times New Roman"/>
          <w:bCs/>
          <w:sz w:val="24"/>
          <w:szCs w:val="24"/>
        </w:rPr>
        <w:t>Bangladesh Institute of Development Studies</w:t>
      </w:r>
    </w:p>
    <w:p w14:paraId="4506DC2B" w14:textId="3192A2B4" w:rsidR="00464F72" w:rsidRPr="00A0712C" w:rsidRDefault="00464F72" w:rsidP="00E72A0D">
      <w:pPr>
        <w:spacing w:after="0" w:line="240" w:lineRule="auto"/>
        <w:jc w:val="center"/>
        <w:rPr>
          <w:rFonts w:ascii="Times New Roman" w:hAnsi="Times New Roman" w:cs="Times New Roman"/>
          <w:bCs/>
          <w:sz w:val="24"/>
          <w:szCs w:val="24"/>
        </w:rPr>
      </w:pPr>
      <w:r w:rsidRPr="00A0712C">
        <w:rPr>
          <w:rFonts w:ascii="Times New Roman" w:hAnsi="Times New Roman" w:cs="Times New Roman"/>
          <w:bCs/>
          <w:sz w:val="24"/>
          <w:szCs w:val="24"/>
        </w:rPr>
        <w:t>Email: minhaj@bids.org.bd</w:t>
      </w:r>
    </w:p>
    <w:p w14:paraId="52DE88AD" w14:textId="77777777" w:rsidR="00E239CE" w:rsidRPr="00233DCC" w:rsidRDefault="00E239CE" w:rsidP="00E72A0D">
      <w:pPr>
        <w:spacing w:after="0" w:line="240" w:lineRule="auto"/>
        <w:jc w:val="center"/>
        <w:rPr>
          <w:rFonts w:ascii="Times New Roman" w:hAnsi="Times New Roman" w:cs="Times New Roman"/>
          <w:b/>
          <w:sz w:val="24"/>
          <w:szCs w:val="24"/>
        </w:rPr>
      </w:pPr>
    </w:p>
    <w:p w14:paraId="4A4ED602" w14:textId="77777777" w:rsidR="005719EF" w:rsidRPr="00233DCC" w:rsidRDefault="005719EF" w:rsidP="00784837">
      <w:pPr>
        <w:tabs>
          <w:tab w:val="center" w:pos="4680"/>
          <w:tab w:val="left" w:pos="7872"/>
        </w:tabs>
        <w:spacing w:after="0" w:line="240" w:lineRule="auto"/>
        <w:rPr>
          <w:rFonts w:ascii="Times New Roman" w:hAnsi="Times New Roman" w:cs="Times New Roman"/>
          <w:b/>
          <w:sz w:val="24"/>
          <w:szCs w:val="24"/>
        </w:rPr>
      </w:pPr>
    </w:p>
    <w:p w14:paraId="4D74DF8B" w14:textId="77777777" w:rsidR="005719EF" w:rsidRDefault="005719EF" w:rsidP="00784837">
      <w:pPr>
        <w:tabs>
          <w:tab w:val="center" w:pos="4680"/>
          <w:tab w:val="left" w:pos="7872"/>
        </w:tabs>
        <w:spacing w:after="0" w:line="240" w:lineRule="auto"/>
        <w:rPr>
          <w:rFonts w:ascii="Times New Roman" w:hAnsi="Times New Roman" w:cs="Times New Roman"/>
          <w:b/>
          <w:sz w:val="24"/>
          <w:szCs w:val="24"/>
        </w:rPr>
      </w:pPr>
    </w:p>
    <w:p w14:paraId="17B0C904" w14:textId="77777777" w:rsidR="005719EF" w:rsidRDefault="005719EF" w:rsidP="00784837">
      <w:pPr>
        <w:tabs>
          <w:tab w:val="center" w:pos="4680"/>
          <w:tab w:val="left" w:pos="7872"/>
        </w:tabs>
        <w:spacing w:after="0" w:line="240" w:lineRule="auto"/>
        <w:rPr>
          <w:rFonts w:ascii="Times New Roman" w:hAnsi="Times New Roman" w:cs="Times New Roman"/>
          <w:b/>
          <w:sz w:val="24"/>
          <w:szCs w:val="24"/>
        </w:rPr>
      </w:pPr>
    </w:p>
    <w:p w14:paraId="6411D898" w14:textId="77777777" w:rsidR="00A0712C" w:rsidRDefault="00A0712C" w:rsidP="00A0712C">
      <w:pPr>
        <w:jc w:val="center"/>
        <w:rPr>
          <w:rFonts w:ascii="Times New Roman" w:hAnsi="Times New Roman" w:cs="Times New Roman"/>
          <w:b/>
          <w:i/>
        </w:rPr>
      </w:pPr>
      <w:r w:rsidRPr="00A0712C">
        <w:rPr>
          <w:rFonts w:ascii="Times New Roman" w:hAnsi="Times New Roman" w:cs="Times New Roman"/>
          <w:b/>
          <w:i/>
        </w:rPr>
        <w:t xml:space="preserve">Prepared as a background paper for the 2041 Perspective Plan of the Government of Bangladesh </w:t>
      </w:r>
    </w:p>
    <w:p w14:paraId="29133298" w14:textId="77777777" w:rsidR="00A0712C" w:rsidRDefault="00A0712C" w:rsidP="00A0712C">
      <w:pPr>
        <w:jc w:val="center"/>
        <w:rPr>
          <w:rFonts w:ascii="Times New Roman" w:hAnsi="Times New Roman" w:cs="Times New Roman"/>
          <w:b/>
          <w:i/>
        </w:rPr>
      </w:pPr>
    </w:p>
    <w:p w14:paraId="64EA3199" w14:textId="77777777" w:rsidR="00A0712C" w:rsidRDefault="00A0712C" w:rsidP="00A0712C">
      <w:pPr>
        <w:jc w:val="center"/>
        <w:rPr>
          <w:rFonts w:ascii="Times New Roman" w:hAnsi="Times New Roman" w:cs="Times New Roman"/>
          <w:b/>
          <w:i/>
        </w:rPr>
      </w:pPr>
    </w:p>
    <w:p w14:paraId="077D9DA4" w14:textId="77777777" w:rsidR="00A0712C" w:rsidRDefault="00A0712C" w:rsidP="00A0712C">
      <w:pPr>
        <w:jc w:val="center"/>
        <w:rPr>
          <w:rFonts w:ascii="Times New Roman" w:hAnsi="Times New Roman" w:cs="Times New Roman"/>
          <w:b/>
          <w:i/>
        </w:rPr>
      </w:pPr>
    </w:p>
    <w:p w14:paraId="791554FF" w14:textId="77777777" w:rsidR="00A0712C" w:rsidRDefault="00A0712C" w:rsidP="00A0712C">
      <w:pPr>
        <w:jc w:val="center"/>
        <w:rPr>
          <w:rFonts w:ascii="Times New Roman" w:hAnsi="Times New Roman" w:cs="Times New Roman"/>
          <w:b/>
          <w:i/>
        </w:rPr>
      </w:pPr>
    </w:p>
    <w:p w14:paraId="426AB239" w14:textId="77777777" w:rsidR="00A0712C" w:rsidRDefault="00A0712C" w:rsidP="00A0712C">
      <w:pPr>
        <w:jc w:val="center"/>
        <w:rPr>
          <w:rFonts w:ascii="Times New Roman" w:hAnsi="Times New Roman" w:cs="Times New Roman"/>
          <w:b/>
          <w:i/>
        </w:rPr>
      </w:pPr>
    </w:p>
    <w:p w14:paraId="12440AA7" w14:textId="77777777" w:rsidR="00A0712C" w:rsidRDefault="00A0712C" w:rsidP="00A0712C">
      <w:pPr>
        <w:jc w:val="center"/>
        <w:rPr>
          <w:rFonts w:ascii="Times New Roman" w:hAnsi="Times New Roman" w:cs="Times New Roman"/>
          <w:b/>
          <w:i/>
        </w:rPr>
      </w:pPr>
    </w:p>
    <w:p w14:paraId="649A2C84" w14:textId="547594F4" w:rsidR="00A0712C" w:rsidRPr="002625F4" w:rsidRDefault="006E2C5E" w:rsidP="00A0712C">
      <w:pPr>
        <w:jc w:val="center"/>
        <w:rPr>
          <w:rFonts w:ascii="Times New Roman" w:hAnsi="Times New Roman" w:cs="Times New Roman"/>
          <w:b/>
          <w:sz w:val="24"/>
          <w:szCs w:val="24"/>
        </w:rPr>
      </w:pPr>
      <w:r>
        <w:rPr>
          <w:rFonts w:ascii="Times New Roman" w:hAnsi="Times New Roman" w:cs="Times New Roman"/>
          <w:b/>
          <w:sz w:val="24"/>
          <w:szCs w:val="24"/>
        </w:rPr>
        <w:t>27</w:t>
      </w:r>
      <w:r w:rsidR="002625F4" w:rsidRPr="002625F4">
        <w:rPr>
          <w:rFonts w:ascii="Times New Roman" w:hAnsi="Times New Roman" w:cs="Times New Roman"/>
          <w:b/>
          <w:sz w:val="24"/>
          <w:szCs w:val="24"/>
        </w:rPr>
        <w:t xml:space="preserve"> </w:t>
      </w:r>
      <w:r w:rsidR="00A0712C" w:rsidRPr="002625F4">
        <w:rPr>
          <w:rFonts w:ascii="Times New Roman" w:hAnsi="Times New Roman" w:cs="Times New Roman"/>
          <w:b/>
          <w:sz w:val="24"/>
          <w:szCs w:val="24"/>
        </w:rPr>
        <w:t>May 2018</w:t>
      </w:r>
      <w:r w:rsidR="00A0712C" w:rsidRPr="002625F4">
        <w:rPr>
          <w:rFonts w:ascii="Times New Roman" w:hAnsi="Times New Roman" w:cs="Times New Roman"/>
          <w:b/>
          <w:sz w:val="24"/>
          <w:szCs w:val="24"/>
        </w:rPr>
        <w:br w:type="page"/>
      </w:r>
    </w:p>
    <w:p w14:paraId="53C3E1FF" w14:textId="77777777" w:rsidR="002625F4" w:rsidRPr="00233DCC" w:rsidRDefault="002625F4" w:rsidP="002625F4">
      <w:pPr>
        <w:spacing w:after="0" w:line="240" w:lineRule="auto"/>
        <w:jc w:val="center"/>
        <w:rPr>
          <w:rFonts w:ascii="Times New Roman" w:hAnsi="Times New Roman" w:cs="Times New Roman"/>
          <w:b/>
          <w:bCs/>
          <w:sz w:val="40"/>
          <w:szCs w:val="40"/>
        </w:rPr>
      </w:pPr>
      <w:r w:rsidRPr="00233DCC">
        <w:rPr>
          <w:rFonts w:ascii="Times New Roman" w:hAnsi="Times New Roman" w:cs="Times New Roman"/>
          <w:b/>
          <w:bCs/>
          <w:sz w:val="40"/>
          <w:szCs w:val="40"/>
        </w:rPr>
        <w:lastRenderedPageBreak/>
        <w:t xml:space="preserve">Education, Skills and Human Development for 2041 </w:t>
      </w:r>
    </w:p>
    <w:p w14:paraId="1CC1C9E2" w14:textId="77777777" w:rsidR="002625F4" w:rsidRDefault="002625F4" w:rsidP="002625F4">
      <w:pPr>
        <w:tabs>
          <w:tab w:val="left" w:pos="8304"/>
        </w:tabs>
        <w:spacing w:after="0" w:line="240" w:lineRule="auto"/>
        <w:rPr>
          <w:rFonts w:ascii="Times New Roman" w:hAnsi="Times New Roman" w:cs="Times New Roman"/>
          <w:sz w:val="24"/>
          <w:szCs w:val="24"/>
        </w:rPr>
      </w:pPr>
      <w:r w:rsidRPr="00233DCC">
        <w:rPr>
          <w:rFonts w:ascii="Times New Roman" w:hAnsi="Times New Roman" w:cs="Times New Roman"/>
          <w:sz w:val="24"/>
          <w:szCs w:val="24"/>
        </w:rPr>
        <w:tab/>
      </w:r>
    </w:p>
    <w:p w14:paraId="516A9933" w14:textId="77777777" w:rsidR="002625F4" w:rsidRDefault="002625F4" w:rsidP="002625F4">
      <w:pPr>
        <w:tabs>
          <w:tab w:val="left" w:pos="8304"/>
        </w:tabs>
        <w:spacing w:after="0" w:line="240" w:lineRule="auto"/>
        <w:rPr>
          <w:rFonts w:ascii="Times New Roman" w:hAnsi="Times New Roman" w:cs="Times New Roman"/>
          <w:sz w:val="24"/>
          <w:szCs w:val="24"/>
        </w:rPr>
      </w:pPr>
    </w:p>
    <w:p w14:paraId="018418EA" w14:textId="77777777" w:rsidR="002625F4" w:rsidRDefault="002625F4" w:rsidP="002625F4">
      <w:pPr>
        <w:tabs>
          <w:tab w:val="left" w:pos="8304"/>
        </w:tabs>
        <w:spacing w:after="0" w:line="240" w:lineRule="auto"/>
        <w:rPr>
          <w:rFonts w:ascii="Times New Roman" w:hAnsi="Times New Roman" w:cs="Times New Roman"/>
          <w:sz w:val="24"/>
          <w:szCs w:val="24"/>
        </w:rPr>
      </w:pPr>
    </w:p>
    <w:p w14:paraId="43BC8540" w14:textId="77777777" w:rsidR="002625F4" w:rsidRPr="00233DCC" w:rsidRDefault="002625F4" w:rsidP="002625F4">
      <w:pPr>
        <w:tabs>
          <w:tab w:val="left" w:pos="8304"/>
        </w:tabs>
        <w:spacing w:after="0" w:line="240" w:lineRule="auto"/>
        <w:rPr>
          <w:rFonts w:ascii="Times New Roman" w:hAnsi="Times New Roman" w:cs="Times New Roman"/>
          <w:sz w:val="24"/>
          <w:szCs w:val="24"/>
        </w:rPr>
      </w:pPr>
    </w:p>
    <w:p w14:paraId="3250C397" w14:textId="77777777" w:rsidR="002625F4" w:rsidRPr="00A0712C" w:rsidRDefault="002625F4" w:rsidP="002625F4">
      <w:pPr>
        <w:spacing w:after="0" w:line="240" w:lineRule="auto"/>
        <w:jc w:val="center"/>
        <w:rPr>
          <w:rFonts w:ascii="Times New Roman" w:hAnsi="Times New Roman" w:cs="Times New Roman"/>
          <w:b/>
          <w:sz w:val="24"/>
          <w:szCs w:val="24"/>
          <w:vertAlign w:val="subscript"/>
        </w:rPr>
      </w:pPr>
      <w:r w:rsidRPr="00A0712C">
        <w:rPr>
          <w:rFonts w:ascii="Times New Roman" w:hAnsi="Times New Roman" w:cs="Times New Roman"/>
          <w:b/>
          <w:sz w:val="24"/>
          <w:szCs w:val="24"/>
        </w:rPr>
        <w:t>Minhaj Mahmud</w:t>
      </w:r>
    </w:p>
    <w:p w14:paraId="5F6C46E7" w14:textId="77777777" w:rsidR="002625F4" w:rsidRPr="00A0712C" w:rsidRDefault="002625F4" w:rsidP="002625F4">
      <w:pPr>
        <w:spacing w:after="0" w:line="240" w:lineRule="auto"/>
        <w:jc w:val="center"/>
        <w:rPr>
          <w:rFonts w:ascii="Times New Roman" w:hAnsi="Times New Roman" w:cs="Times New Roman"/>
          <w:bCs/>
          <w:sz w:val="24"/>
          <w:szCs w:val="24"/>
        </w:rPr>
      </w:pPr>
      <w:r w:rsidRPr="00A0712C">
        <w:rPr>
          <w:rFonts w:ascii="Times New Roman" w:hAnsi="Times New Roman" w:cs="Times New Roman"/>
          <w:bCs/>
          <w:sz w:val="24"/>
          <w:szCs w:val="24"/>
        </w:rPr>
        <w:t>Bangladesh Institute of Development Studies</w:t>
      </w:r>
    </w:p>
    <w:p w14:paraId="57E8FDF5" w14:textId="77777777" w:rsidR="002625F4" w:rsidRPr="00A0712C" w:rsidRDefault="002625F4" w:rsidP="002625F4">
      <w:pPr>
        <w:spacing w:after="0" w:line="240" w:lineRule="auto"/>
        <w:jc w:val="center"/>
        <w:rPr>
          <w:rFonts w:ascii="Times New Roman" w:hAnsi="Times New Roman" w:cs="Times New Roman"/>
          <w:bCs/>
          <w:sz w:val="24"/>
          <w:szCs w:val="24"/>
        </w:rPr>
      </w:pPr>
      <w:r w:rsidRPr="00A0712C">
        <w:rPr>
          <w:rFonts w:ascii="Times New Roman" w:hAnsi="Times New Roman" w:cs="Times New Roman"/>
          <w:bCs/>
          <w:sz w:val="24"/>
          <w:szCs w:val="24"/>
        </w:rPr>
        <w:t>Email: minhaj@bids.org.bd</w:t>
      </w:r>
    </w:p>
    <w:p w14:paraId="4D5BBF3A" w14:textId="77777777" w:rsidR="002625F4" w:rsidRDefault="002625F4" w:rsidP="00233DCC">
      <w:pPr>
        <w:spacing w:after="200" w:line="276" w:lineRule="auto"/>
        <w:jc w:val="both"/>
        <w:rPr>
          <w:rFonts w:ascii="Times New Roman" w:hAnsi="Times New Roman" w:cs="Times New Roman"/>
          <w:b/>
          <w:sz w:val="24"/>
          <w:szCs w:val="24"/>
        </w:rPr>
      </w:pPr>
    </w:p>
    <w:p w14:paraId="20638B61" w14:textId="77777777" w:rsidR="002625F4" w:rsidRDefault="002625F4" w:rsidP="00233DCC">
      <w:pPr>
        <w:spacing w:after="200" w:line="276" w:lineRule="auto"/>
        <w:jc w:val="both"/>
        <w:rPr>
          <w:rFonts w:ascii="Times New Roman" w:hAnsi="Times New Roman" w:cs="Times New Roman"/>
          <w:b/>
          <w:sz w:val="24"/>
          <w:szCs w:val="24"/>
        </w:rPr>
      </w:pPr>
    </w:p>
    <w:p w14:paraId="25E6C6E1" w14:textId="77777777" w:rsidR="002625F4" w:rsidRDefault="002625F4" w:rsidP="00233DCC">
      <w:pPr>
        <w:spacing w:after="200" w:line="276" w:lineRule="auto"/>
        <w:jc w:val="both"/>
        <w:rPr>
          <w:rFonts w:ascii="Times New Roman" w:hAnsi="Times New Roman" w:cs="Times New Roman"/>
          <w:b/>
          <w:sz w:val="24"/>
          <w:szCs w:val="24"/>
        </w:rPr>
      </w:pPr>
    </w:p>
    <w:p w14:paraId="5401A6CC" w14:textId="18E0D172" w:rsidR="009A7AD1" w:rsidRPr="00B47314" w:rsidRDefault="009A7AD1" w:rsidP="00233DCC">
      <w:pPr>
        <w:spacing w:after="200" w:line="276" w:lineRule="auto"/>
        <w:jc w:val="both"/>
        <w:rPr>
          <w:rFonts w:ascii="Times New Roman" w:hAnsi="Times New Roman" w:cs="Times New Roman"/>
          <w:b/>
          <w:sz w:val="24"/>
          <w:szCs w:val="24"/>
        </w:rPr>
      </w:pPr>
      <w:r w:rsidRPr="00B47314">
        <w:rPr>
          <w:rFonts w:ascii="Times New Roman" w:hAnsi="Times New Roman" w:cs="Times New Roman"/>
          <w:b/>
          <w:sz w:val="24"/>
          <w:szCs w:val="24"/>
        </w:rPr>
        <w:t>Abstract</w:t>
      </w:r>
    </w:p>
    <w:p w14:paraId="149A6558" w14:textId="0B77194A" w:rsidR="004D3D4C" w:rsidRPr="0060772A" w:rsidRDefault="0002610D" w:rsidP="004D3D4C">
      <w:pPr>
        <w:spacing w:after="240" w:line="276" w:lineRule="auto"/>
        <w:jc w:val="both"/>
        <w:rPr>
          <w:rFonts w:ascii="Times New Roman" w:hAnsi="Times New Roman" w:cs="Times New Roman"/>
          <w:color w:val="000000" w:themeColor="text1"/>
          <w:sz w:val="24"/>
          <w:szCs w:val="24"/>
        </w:rPr>
      </w:pPr>
      <w:r w:rsidRPr="00A656B9">
        <w:rPr>
          <w:rFonts w:ascii="Times New Roman" w:hAnsi="Times New Roman" w:cs="Times New Roman"/>
          <w:sz w:val="24"/>
          <w:szCs w:val="24"/>
        </w:rPr>
        <w:t xml:space="preserve">Bangladesh has witnessed structural transformation in terms of sectoral shares of GDP implying </w:t>
      </w:r>
      <w:r w:rsidR="00364243">
        <w:rPr>
          <w:rFonts w:ascii="Times New Roman" w:hAnsi="Times New Roman" w:cs="Times New Roman"/>
          <w:sz w:val="24"/>
          <w:szCs w:val="24"/>
        </w:rPr>
        <w:t xml:space="preserve">that </w:t>
      </w:r>
      <w:r w:rsidRPr="00A656B9">
        <w:rPr>
          <w:rFonts w:ascii="Times New Roman" w:hAnsi="Times New Roman" w:cs="Times New Roman"/>
          <w:sz w:val="24"/>
          <w:szCs w:val="24"/>
        </w:rPr>
        <w:t xml:space="preserve">structural changes in employment should follow. Thus equipping the </w:t>
      </w:r>
      <w:r w:rsidR="006E2C5E" w:rsidRPr="00A656B9">
        <w:rPr>
          <w:rFonts w:ascii="Times New Roman" w:hAnsi="Times New Roman" w:cs="Times New Roman"/>
          <w:sz w:val="24"/>
          <w:szCs w:val="24"/>
        </w:rPr>
        <w:t>labour</w:t>
      </w:r>
      <w:r w:rsidRPr="00A656B9">
        <w:rPr>
          <w:rFonts w:ascii="Times New Roman" w:hAnsi="Times New Roman" w:cs="Times New Roman"/>
          <w:sz w:val="24"/>
          <w:szCs w:val="24"/>
        </w:rPr>
        <w:t xml:space="preserve"> force with the kind of education and skills </w:t>
      </w:r>
      <w:r w:rsidR="004D3D4C">
        <w:rPr>
          <w:rFonts w:ascii="Times New Roman" w:hAnsi="Times New Roman" w:cs="Times New Roman"/>
          <w:sz w:val="24"/>
          <w:szCs w:val="24"/>
        </w:rPr>
        <w:t xml:space="preserve">in line </w:t>
      </w:r>
      <w:r w:rsidRPr="00A656B9">
        <w:rPr>
          <w:rFonts w:ascii="Times New Roman" w:hAnsi="Times New Roman" w:cs="Times New Roman"/>
          <w:sz w:val="24"/>
          <w:szCs w:val="24"/>
        </w:rPr>
        <w:t xml:space="preserve">with structural transformation in the economy will be crucial for achieving further advancement of the economy. </w:t>
      </w:r>
      <w:r w:rsidR="006B17C4" w:rsidRPr="008F2251">
        <w:rPr>
          <w:rFonts w:ascii="Times New Roman" w:hAnsi="Times New Roman" w:cs="Times New Roman"/>
          <w:sz w:val="24"/>
          <w:szCs w:val="24"/>
        </w:rPr>
        <w:t xml:space="preserve">The perspective </w:t>
      </w:r>
      <w:r w:rsidR="00142903" w:rsidRPr="008F2251">
        <w:rPr>
          <w:rFonts w:ascii="Times New Roman" w:hAnsi="Times New Roman" w:cs="Times New Roman"/>
          <w:sz w:val="24"/>
          <w:szCs w:val="24"/>
        </w:rPr>
        <w:t xml:space="preserve">plan </w:t>
      </w:r>
      <w:r w:rsidR="00142903">
        <w:rPr>
          <w:rFonts w:ascii="Times New Roman" w:hAnsi="Times New Roman" w:cs="Times New Roman"/>
          <w:sz w:val="24"/>
          <w:szCs w:val="24"/>
        </w:rPr>
        <w:t xml:space="preserve">2021-2041 envisions </w:t>
      </w:r>
      <w:r w:rsidR="006B17C4" w:rsidRPr="008F2251">
        <w:rPr>
          <w:rFonts w:ascii="Times New Roman" w:hAnsi="Times New Roman" w:cs="Times New Roman"/>
          <w:sz w:val="24"/>
          <w:szCs w:val="24"/>
        </w:rPr>
        <w:t>Bangladesh to enter into knowledge based societ</w:t>
      </w:r>
      <w:r w:rsidR="004A257E">
        <w:rPr>
          <w:rFonts w:ascii="Times New Roman" w:hAnsi="Times New Roman" w:cs="Times New Roman"/>
          <w:sz w:val="24"/>
          <w:szCs w:val="24"/>
        </w:rPr>
        <w:t>ies</w:t>
      </w:r>
      <w:r w:rsidR="006B17C4" w:rsidRPr="008F2251">
        <w:rPr>
          <w:rFonts w:ascii="Times New Roman" w:hAnsi="Times New Roman" w:cs="Times New Roman"/>
          <w:sz w:val="24"/>
          <w:szCs w:val="24"/>
        </w:rPr>
        <w:t>, requiring great</w:t>
      </w:r>
      <w:r w:rsidR="00142903">
        <w:rPr>
          <w:rFonts w:ascii="Times New Roman" w:hAnsi="Times New Roman" w:cs="Times New Roman"/>
          <w:sz w:val="24"/>
          <w:szCs w:val="24"/>
        </w:rPr>
        <w:t>er</w:t>
      </w:r>
      <w:r w:rsidR="006B17C4" w:rsidRPr="008F2251">
        <w:rPr>
          <w:rFonts w:ascii="Times New Roman" w:hAnsi="Times New Roman" w:cs="Times New Roman"/>
          <w:sz w:val="24"/>
          <w:szCs w:val="24"/>
        </w:rPr>
        <w:t xml:space="preserve"> emphasis on education </w:t>
      </w:r>
      <w:r w:rsidR="00142903">
        <w:rPr>
          <w:rFonts w:ascii="Times New Roman" w:hAnsi="Times New Roman" w:cs="Times New Roman"/>
          <w:sz w:val="24"/>
          <w:szCs w:val="24"/>
        </w:rPr>
        <w:t xml:space="preserve">and skill </w:t>
      </w:r>
      <w:r w:rsidR="006B17C4" w:rsidRPr="008F2251">
        <w:rPr>
          <w:rFonts w:ascii="Times New Roman" w:hAnsi="Times New Roman" w:cs="Times New Roman"/>
          <w:sz w:val="24"/>
          <w:szCs w:val="24"/>
        </w:rPr>
        <w:t xml:space="preserve">through research and development. </w:t>
      </w:r>
      <w:r w:rsidR="006B17C4">
        <w:rPr>
          <w:rFonts w:ascii="Times New Roman" w:hAnsi="Times New Roman" w:cs="Times New Roman"/>
          <w:sz w:val="24"/>
          <w:szCs w:val="24"/>
        </w:rPr>
        <w:t xml:space="preserve">It is argued that </w:t>
      </w:r>
      <w:r w:rsidR="004A257E">
        <w:rPr>
          <w:rFonts w:ascii="Times New Roman" w:hAnsi="Times New Roman" w:cs="Times New Roman"/>
          <w:sz w:val="24"/>
          <w:szCs w:val="24"/>
        </w:rPr>
        <w:t xml:space="preserve">a </w:t>
      </w:r>
      <w:r w:rsidR="006B17C4">
        <w:rPr>
          <w:rFonts w:ascii="Times New Roman" w:hAnsi="Times New Roman" w:cs="Times New Roman"/>
          <w:sz w:val="24"/>
          <w:szCs w:val="24"/>
        </w:rPr>
        <w:t xml:space="preserve">knowledge based society would be crucial for the level of economic development to the status of an upper middle income country. </w:t>
      </w:r>
      <w:r w:rsidR="00FB0A04" w:rsidRPr="00FB0A04">
        <w:rPr>
          <w:rFonts w:ascii="Times New Roman" w:hAnsi="Times New Roman" w:cs="Times New Roman"/>
          <w:color w:val="000000" w:themeColor="text1"/>
          <w:sz w:val="24"/>
          <w:szCs w:val="24"/>
        </w:rPr>
        <w:t>This chapter is an attempt to inform polic</w:t>
      </w:r>
      <w:r w:rsidR="00CF0601">
        <w:rPr>
          <w:rFonts w:ascii="Times New Roman" w:hAnsi="Times New Roman" w:cs="Times New Roman"/>
          <w:color w:val="000000" w:themeColor="text1"/>
          <w:sz w:val="24"/>
          <w:szCs w:val="24"/>
        </w:rPr>
        <w:t>ies</w:t>
      </w:r>
      <w:r w:rsidR="00FB0A04" w:rsidRPr="00FB0A04">
        <w:rPr>
          <w:rFonts w:ascii="Times New Roman" w:hAnsi="Times New Roman" w:cs="Times New Roman"/>
          <w:color w:val="000000" w:themeColor="text1"/>
          <w:sz w:val="24"/>
          <w:szCs w:val="24"/>
        </w:rPr>
        <w:t xml:space="preserve"> on education, skill development and overall human development </w:t>
      </w:r>
      <w:r w:rsidR="00142903">
        <w:rPr>
          <w:rFonts w:ascii="Times New Roman" w:hAnsi="Times New Roman" w:cs="Times New Roman"/>
          <w:color w:val="000000" w:themeColor="text1"/>
          <w:sz w:val="24"/>
          <w:szCs w:val="24"/>
        </w:rPr>
        <w:t xml:space="preserve">strategies </w:t>
      </w:r>
      <w:r w:rsidR="00BE61FA">
        <w:rPr>
          <w:rFonts w:ascii="Times New Roman" w:hAnsi="Times New Roman" w:cs="Times New Roman"/>
          <w:color w:val="000000" w:themeColor="text1"/>
          <w:sz w:val="24"/>
          <w:szCs w:val="24"/>
        </w:rPr>
        <w:t>for</w:t>
      </w:r>
      <w:r w:rsidR="006B17C4">
        <w:rPr>
          <w:rFonts w:ascii="Times New Roman" w:hAnsi="Times New Roman" w:cs="Times New Roman"/>
          <w:color w:val="000000" w:themeColor="text1"/>
          <w:sz w:val="24"/>
          <w:szCs w:val="24"/>
        </w:rPr>
        <w:t xml:space="preserve"> </w:t>
      </w:r>
      <w:r w:rsidR="004A257E">
        <w:rPr>
          <w:rFonts w:ascii="Times New Roman" w:hAnsi="Times New Roman" w:cs="Times New Roman"/>
          <w:color w:val="000000" w:themeColor="text1"/>
          <w:sz w:val="24"/>
          <w:szCs w:val="24"/>
        </w:rPr>
        <w:t xml:space="preserve">addressing </w:t>
      </w:r>
      <w:r w:rsidR="00FB0A04" w:rsidRPr="00FB0A04">
        <w:rPr>
          <w:rFonts w:ascii="Times New Roman" w:hAnsi="Times New Roman" w:cs="Times New Roman"/>
          <w:color w:val="000000" w:themeColor="text1"/>
          <w:sz w:val="24"/>
          <w:szCs w:val="24"/>
        </w:rPr>
        <w:t xml:space="preserve">the human development </w:t>
      </w:r>
      <w:r w:rsidR="004A257E">
        <w:rPr>
          <w:rFonts w:ascii="Times New Roman" w:hAnsi="Times New Roman" w:cs="Times New Roman"/>
          <w:color w:val="000000" w:themeColor="text1"/>
          <w:sz w:val="24"/>
          <w:szCs w:val="24"/>
        </w:rPr>
        <w:t>challenges for 2041</w:t>
      </w:r>
      <w:r w:rsidR="00FB0A04" w:rsidRPr="00FB0A04">
        <w:rPr>
          <w:rFonts w:ascii="Times New Roman" w:hAnsi="Times New Roman" w:cs="Times New Roman"/>
          <w:color w:val="000000" w:themeColor="text1"/>
          <w:sz w:val="24"/>
          <w:szCs w:val="24"/>
        </w:rPr>
        <w:t>.</w:t>
      </w:r>
      <w:r w:rsidR="004D3D4C">
        <w:rPr>
          <w:rFonts w:ascii="Times New Roman" w:hAnsi="Times New Roman" w:cs="Times New Roman"/>
          <w:color w:val="000000" w:themeColor="text1"/>
          <w:sz w:val="24"/>
          <w:szCs w:val="24"/>
        </w:rPr>
        <w:t xml:space="preserve"> Importantly, globalization and the advancement of technology will require human entered development paradigm implying that knowledge and expertise will be crucial for competitiveness of individuals and the country. Thus the efficient development and use of human resources will be crucial for adapting to changing global economic environments necessitating a workforce with transferable skills and competencies in order to propel the engine of growth.</w:t>
      </w:r>
    </w:p>
    <w:p w14:paraId="2D3533B0" w14:textId="06A21F60" w:rsidR="00B62AF8" w:rsidRPr="007C1DD4" w:rsidRDefault="00364243" w:rsidP="00B62AF8">
      <w:pPr>
        <w:pStyle w:val="ListParagraph"/>
        <w:autoSpaceDE w:val="0"/>
        <w:autoSpaceDN w:val="0"/>
        <w:adjustRightInd w:val="0"/>
        <w:spacing w:after="200" w:line="276" w:lineRule="auto"/>
        <w:ind w:left="0" w:firstLine="720"/>
        <w:jc w:val="both"/>
        <w:rPr>
          <w:rFonts w:ascii="Times New Roman" w:hAnsi="Times New Roman" w:cs="Times New Roman"/>
          <w:color w:val="000000"/>
          <w:sz w:val="24"/>
          <w:szCs w:val="24"/>
          <w:lang w:bidi="bn-BD"/>
        </w:rPr>
      </w:pPr>
      <w:r>
        <w:rPr>
          <w:rFonts w:ascii="Times New Roman" w:hAnsi="Times New Roman" w:cs="Times New Roman"/>
          <w:color w:val="000000" w:themeColor="text1"/>
          <w:sz w:val="24"/>
          <w:szCs w:val="24"/>
        </w:rPr>
        <w:t xml:space="preserve"> </w:t>
      </w:r>
    </w:p>
    <w:p w14:paraId="34A1BE7D" w14:textId="49E89C53" w:rsidR="00FB0A04" w:rsidRPr="00FB0A04" w:rsidRDefault="00FB0A04" w:rsidP="00F321E0">
      <w:pPr>
        <w:spacing w:after="240" w:line="276" w:lineRule="auto"/>
        <w:jc w:val="both"/>
        <w:rPr>
          <w:rFonts w:ascii="Times New Roman" w:hAnsi="Times New Roman" w:cs="Times New Roman"/>
          <w:sz w:val="24"/>
          <w:szCs w:val="24"/>
        </w:rPr>
      </w:pPr>
    </w:p>
    <w:p w14:paraId="789E5227" w14:textId="77777777" w:rsidR="006B17C4" w:rsidRDefault="006B17C4" w:rsidP="008F2251">
      <w:pPr>
        <w:spacing w:after="0" w:line="480" w:lineRule="auto"/>
        <w:rPr>
          <w:rFonts w:ascii="Times New Roman" w:hAnsi="Times New Roman" w:cs="Times New Roman"/>
          <w:sz w:val="24"/>
          <w:szCs w:val="24"/>
        </w:rPr>
      </w:pPr>
    </w:p>
    <w:p w14:paraId="266113F7" w14:textId="77777777" w:rsidR="00B46011" w:rsidRDefault="00B46011" w:rsidP="008F2251">
      <w:pPr>
        <w:spacing w:after="0" w:line="480" w:lineRule="auto"/>
        <w:rPr>
          <w:rFonts w:ascii="Times New Roman" w:hAnsi="Times New Roman" w:cs="Times New Roman"/>
          <w:sz w:val="24"/>
          <w:szCs w:val="24"/>
        </w:rPr>
      </w:pPr>
    </w:p>
    <w:p w14:paraId="7547A492" w14:textId="77777777" w:rsidR="00B46011" w:rsidRDefault="00B46011" w:rsidP="008F2251">
      <w:pPr>
        <w:spacing w:after="0" w:line="480" w:lineRule="auto"/>
        <w:rPr>
          <w:rFonts w:ascii="Times New Roman" w:hAnsi="Times New Roman" w:cs="Times New Roman"/>
          <w:sz w:val="24"/>
          <w:szCs w:val="24"/>
        </w:rPr>
      </w:pPr>
    </w:p>
    <w:p w14:paraId="58817DEF" w14:textId="77777777" w:rsidR="00B46011" w:rsidRDefault="00B46011" w:rsidP="008F2251">
      <w:pPr>
        <w:spacing w:after="0" w:line="480" w:lineRule="auto"/>
        <w:rPr>
          <w:rFonts w:ascii="Times New Roman" w:hAnsi="Times New Roman" w:cs="Times New Roman"/>
          <w:sz w:val="24"/>
          <w:szCs w:val="24"/>
        </w:rPr>
      </w:pPr>
    </w:p>
    <w:p w14:paraId="7AC90E44" w14:textId="77777777" w:rsidR="00B46011" w:rsidRDefault="00B46011" w:rsidP="008F2251">
      <w:pPr>
        <w:spacing w:after="0" w:line="480" w:lineRule="auto"/>
        <w:rPr>
          <w:rFonts w:ascii="Times New Roman" w:hAnsi="Times New Roman" w:cs="Times New Roman"/>
          <w:sz w:val="24"/>
          <w:szCs w:val="24"/>
        </w:rPr>
      </w:pPr>
    </w:p>
    <w:p w14:paraId="7D9C96E8" w14:textId="2DF50B53" w:rsidR="00D93AE3" w:rsidRPr="00CF0601" w:rsidRDefault="00CA6EBC" w:rsidP="00E90778">
      <w:pPr>
        <w:pStyle w:val="ListParagraph"/>
        <w:numPr>
          <w:ilvl w:val="0"/>
          <w:numId w:val="8"/>
        </w:numPr>
        <w:spacing w:after="0" w:line="360" w:lineRule="auto"/>
        <w:jc w:val="both"/>
        <w:rPr>
          <w:rFonts w:ascii="Times New Roman" w:hAnsi="Times New Roman" w:cs="Times New Roman"/>
          <w:b/>
          <w:sz w:val="24"/>
          <w:szCs w:val="24"/>
        </w:rPr>
      </w:pPr>
      <w:r w:rsidRPr="00CF0601">
        <w:rPr>
          <w:rFonts w:ascii="Times New Roman" w:hAnsi="Times New Roman" w:cs="Times New Roman"/>
          <w:b/>
          <w:sz w:val="24"/>
          <w:szCs w:val="24"/>
        </w:rPr>
        <w:lastRenderedPageBreak/>
        <w:t>Introduction</w:t>
      </w:r>
    </w:p>
    <w:p w14:paraId="686C0BAF" w14:textId="3A2AEF6D" w:rsidR="00466EC6" w:rsidRPr="0060772A" w:rsidRDefault="00B353EA" w:rsidP="00F321E0">
      <w:pPr>
        <w:spacing w:after="240" w:line="276" w:lineRule="auto"/>
        <w:jc w:val="both"/>
        <w:rPr>
          <w:rFonts w:ascii="Times New Roman" w:hAnsi="Times New Roman" w:cs="Times New Roman"/>
          <w:sz w:val="24"/>
          <w:szCs w:val="24"/>
        </w:rPr>
      </w:pPr>
      <w:r w:rsidRPr="00B47314">
        <w:rPr>
          <w:rFonts w:ascii="Times New Roman" w:hAnsi="Times New Roman" w:cs="Times New Roman"/>
          <w:sz w:val="24"/>
          <w:szCs w:val="24"/>
        </w:rPr>
        <w:t>Bangladesh government has embarked on a twenty years perspective plan 2021-2041 with the aim of achieving upper-middle income status</w:t>
      </w:r>
      <w:r w:rsidR="00D9480B">
        <w:rPr>
          <w:rFonts w:ascii="Times New Roman" w:hAnsi="Times New Roman" w:cs="Times New Roman"/>
          <w:sz w:val="24"/>
          <w:szCs w:val="24"/>
        </w:rPr>
        <w:t xml:space="preserve"> by </w:t>
      </w:r>
      <w:r w:rsidR="00464F72">
        <w:rPr>
          <w:rFonts w:ascii="Times New Roman" w:hAnsi="Times New Roman" w:cs="Times New Roman"/>
          <w:sz w:val="24"/>
          <w:szCs w:val="24"/>
        </w:rPr>
        <w:t xml:space="preserve">the year </w:t>
      </w:r>
      <w:r w:rsidR="00D9480B">
        <w:rPr>
          <w:rFonts w:ascii="Times New Roman" w:hAnsi="Times New Roman" w:cs="Times New Roman"/>
          <w:sz w:val="24"/>
          <w:szCs w:val="24"/>
        </w:rPr>
        <w:t xml:space="preserve">2031 and higher middle income status country by </w:t>
      </w:r>
      <w:r w:rsidR="00464F72">
        <w:rPr>
          <w:rFonts w:ascii="Times New Roman" w:hAnsi="Times New Roman" w:cs="Times New Roman"/>
          <w:sz w:val="24"/>
          <w:szCs w:val="24"/>
        </w:rPr>
        <w:t xml:space="preserve">the year </w:t>
      </w:r>
      <w:r w:rsidR="00D9480B">
        <w:rPr>
          <w:rFonts w:ascii="Times New Roman" w:hAnsi="Times New Roman" w:cs="Times New Roman"/>
          <w:sz w:val="24"/>
          <w:szCs w:val="24"/>
        </w:rPr>
        <w:t>2046</w:t>
      </w:r>
      <w:r w:rsidRPr="00B47314">
        <w:rPr>
          <w:rFonts w:ascii="Times New Roman" w:hAnsi="Times New Roman" w:cs="Times New Roman"/>
          <w:sz w:val="24"/>
          <w:szCs w:val="24"/>
        </w:rPr>
        <w:t xml:space="preserve">. </w:t>
      </w:r>
      <w:r w:rsidR="009A7AD1" w:rsidRPr="00B47314">
        <w:rPr>
          <w:rFonts w:ascii="Times New Roman" w:hAnsi="Times New Roman" w:cs="Times New Roman"/>
          <w:sz w:val="24"/>
          <w:szCs w:val="24"/>
        </w:rPr>
        <w:t>The perspective plan sets its developmental goals with the view to eradicate extreme poverty, while attaining the statu</w:t>
      </w:r>
      <w:r w:rsidR="00D9480B">
        <w:rPr>
          <w:rFonts w:ascii="Times New Roman" w:hAnsi="Times New Roman" w:cs="Times New Roman"/>
          <w:sz w:val="24"/>
          <w:szCs w:val="24"/>
        </w:rPr>
        <w:t>s of upper middle status by 2031</w:t>
      </w:r>
      <w:r w:rsidR="009A7AD1" w:rsidRPr="00B47314">
        <w:rPr>
          <w:rFonts w:ascii="Times New Roman" w:hAnsi="Times New Roman" w:cs="Times New Roman"/>
          <w:sz w:val="24"/>
          <w:szCs w:val="24"/>
        </w:rPr>
        <w:t xml:space="preserve">. </w:t>
      </w:r>
      <w:r w:rsidRPr="00B47314">
        <w:rPr>
          <w:rFonts w:ascii="Times New Roman" w:hAnsi="Times New Roman" w:cs="Times New Roman"/>
          <w:sz w:val="24"/>
          <w:szCs w:val="24"/>
        </w:rPr>
        <w:t xml:space="preserve">It is assumed that past development achievements and favourable future growth prospects would </w:t>
      </w:r>
      <w:r w:rsidR="004A598E" w:rsidRPr="00B47314">
        <w:rPr>
          <w:rFonts w:ascii="Times New Roman" w:hAnsi="Times New Roman" w:cs="Times New Roman"/>
          <w:sz w:val="24"/>
          <w:szCs w:val="24"/>
        </w:rPr>
        <w:t>make such goals towards realisation.</w:t>
      </w:r>
      <w:r w:rsidR="001A141E" w:rsidRPr="00B47314">
        <w:rPr>
          <w:rFonts w:ascii="Times New Roman" w:hAnsi="Times New Roman" w:cs="Times New Roman"/>
          <w:sz w:val="24"/>
          <w:szCs w:val="24"/>
        </w:rPr>
        <w:t xml:space="preserve"> However, the country faces many inherent development challenges </w:t>
      </w:r>
      <w:r w:rsidR="00B51788" w:rsidRPr="00B47314">
        <w:rPr>
          <w:rFonts w:ascii="Times New Roman" w:hAnsi="Times New Roman" w:cs="Times New Roman"/>
          <w:sz w:val="24"/>
          <w:szCs w:val="24"/>
        </w:rPr>
        <w:t xml:space="preserve">that are </w:t>
      </w:r>
      <w:r w:rsidR="001A141E" w:rsidRPr="00B47314">
        <w:rPr>
          <w:rFonts w:ascii="Times New Roman" w:hAnsi="Times New Roman" w:cs="Times New Roman"/>
          <w:sz w:val="24"/>
          <w:szCs w:val="24"/>
        </w:rPr>
        <w:t>documented in the national policy documents such as the 7</w:t>
      </w:r>
      <w:r w:rsidR="001A141E" w:rsidRPr="00B47314">
        <w:rPr>
          <w:rFonts w:ascii="Times New Roman" w:hAnsi="Times New Roman" w:cs="Times New Roman"/>
          <w:sz w:val="24"/>
          <w:szCs w:val="24"/>
          <w:vertAlign w:val="superscript"/>
        </w:rPr>
        <w:t>th</w:t>
      </w:r>
      <w:r w:rsidR="001A141E" w:rsidRPr="00B47314">
        <w:rPr>
          <w:rFonts w:ascii="Times New Roman" w:hAnsi="Times New Roman" w:cs="Times New Roman"/>
          <w:sz w:val="24"/>
          <w:szCs w:val="24"/>
        </w:rPr>
        <w:t xml:space="preserve"> five year </w:t>
      </w:r>
      <w:r w:rsidR="005719EF" w:rsidRPr="00B47314">
        <w:rPr>
          <w:rFonts w:ascii="Times New Roman" w:hAnsi="Times New Roman" w:cs="Times New Roman"/>
          <w:sz w:val="24"/>
          <w:szCs w:val="24"/>
        </w:rPr>
        <w:t>plan</w:t>
      </w:r>
      <w:r w:rsidR="005719EF" w:rsidRPr="00464F72">
        <w:rPr>
          <w:rFonts w:ascii="Times New Roman" w:hAnsi="Times New Roman" w:cs="Times New Roman"/>
          <w:sz w:val="24"/>
          <w:szCs w:val="24"/>
          <w:highlight w:val="yellow"/>
        </w:rPr>
        <w:t xml:space="preserve"> </w:t>
      </w:r>
      <w:r w:rsidR="00B06AB2">
        <w:rPr>
          <w:rFonts w:ascii="Times New Roman" w:hAnsi="Times New Roman" w:cs="Times New Roman"/>
          <w:sz w:val="24"/>
          <w:szCs w:val="24"/>
        </w:rPr>
        <w:t>2016-2020</w:t>
      </w:r>
      <w:r w:rsidR="0060772A" w:rsidRPr="002503CD">
        <w:rPr>
          <w:rFonts w:ascii="Times New Roman" w:hAnsi="Times New Roman" w:cs="Times New Roman"/>
          <w:sz w:val="24"/>
          <w:szCs w:val="24"/>
        </w:rPr>
        <w:t>(SFYP</w:t>
      </w:r>
      <w:r w:rsidR="00B06AB2">
        <w:rPr>
          <w:rFonts w:ascii="Times New Roman" w:hAnsi="Times New Roman" w:cs="Times New Roman"/>
          <w:sz w:val="24"/>
          <w:szCs w:val="24"/>
        </w:rPr>
        <w:t xml:space="preserve"> 2015</w:t>
      </w:r>
      <w:r w:rsidR="00464F72" w:rsidRPr="002503CD">
        <w:rPr>
          <w:rFonts w:ascii="Times New Roman" w:hAnsi="Times New Roman" w:cs="Times New Roman"/>
          <w:sz w:val="24"/>
          <w:szCs w:val="24"/>
        </w:rPr>
        <w:t>)</w:t>
      </w:r>
      <w:r w:rsidR="001A141E" w:rsidRPr="002503CD">
        <w:rPr>
          <w:rFonts w:ascii="Times New Roman" w:hAnsi="Times New Roman" w:cs="Times New Roman"/>
          <w:sz w:val="24"/>
          <w:szCs w:val="24"/>
        </w:rPr>
        <w:t>.</w:t>
      </w:r>
      <w:r w:rsidR="00B51788" w:rsidRPr="00B47314">
        <w:rPr>
          <w:rFonts w:ascii="Times New Roman" w:hAnsi="Times New Roman" w:cs="Times New Roman"/>
          <w:sz w:val="24"/>
          <w:szCs w:val="24"/>
        </w:rPr>
        <w:t xml:space="preserve"> </w:t>
      </w:r>
      <w:r w:rsidR="00F26320" w:rsidRPr="00B47314">
        <w:rPr>
          <w:rFonts w:ascii="Times New Roman" w:hAnsi="Times New Roman" w:cs="Times New Roman"/>
          <w:color w:val="000000" w:themeColor="text1"/>
          <w:sz w:val="24"/>
          <w:szCs w:val="24"/>
        </w:rPr>
        <w:t xml:space="preserve"> </w:t>
      </w:r>
      <w:r w:rsidR="00E90778" w:rsidRPr="00B47314">
        <w:rPr>
          <w:rFonts w:ascii="Times New Roman" w:hAnsi="Times New Roman" w:cs="Times New Roman"/>
          <w:color w:val="000000" w:themeColor="text1"/>
          <w:sz w:val="24"/>
          <w:szCs w:val="24"/>
        </w:rPr>
        <w:t>As human development remains a strategic input to achieving the goal of poverty reduction and inclusive growth</w:t>
      </w:r>
      <w:r w:rsidR="00A065AE">
        <w:rPr>
          <w:rFonts w:ascii="Times New Roman" w:hAnsi="Times New Roman" w:cs="Times New Roman"/>
          <w:color w:val="000000" w:themeColor="text1"/>
          <w:sz w:val="24"/>
          <w:szCs w:val="24"/>
        </w:rPr>
        <w:t>,</w:t>
      </w:r>
      <w:r w:rsidR="00E90778" w:rsidRPr="00B47314">
        <w:rPr>
          <w:rFonts w:ascii="Times New Roman" w:hAnsi="Times New Roman" w:cs="Times New Roman"/>
          <w:color w:val="000000" w:themeColor="text1"/>
          <w:sz w:val="24"/>
          <w:szCs w:val="24"/>
        </w:rPr>
        <w:t xml:space="preserve"> successive plans </w:t>
      </w:r>
      <w:r w:rsidR="009A7AD1" w:rsidRPr="00B47314">
        <w:rPr>
          <w:rFonts w:ascii="Times New Roman" w:hAnsi="Times New Roman" w:cs="Times New Roman"/>
          <w:color w:val="000000" w:themeColor="text1"/>
          <w:sz w:val="24"/>
          <w:szCs w:val="24"/>
        </w:rPr>
        <w:t xml:space="preserve">of the government of Bangladesh </w:t>
      </w:r>
      <w:r w:rsidR="00E90778" w:rsidRPr="00B47314">
        <w:rPr>
          <w:rFonts w:ascii="Times New Roman" w:hAnsi="Times New Roman" w:cs="Times New Roman"/>
          <w:color w:val="000000" w:themeColor="text1"/>
          <w:sz w:val="24"/>
          <w:szCs w:val="24"/>
        </w:rPr>
        <w:t>have put considerable emphasis on this. There has been considerable progress in expanding education at primary, secondary and tertiary levels both for male and female</w:t>
      </w:r>
      <w:r w:rsidR="005719EF">
        <w:rPr>
          <w:rFonts w:ascii="Times New Roman" w:hAnsi="Times New Roman" w:cs="Times New Roman"/>
          <w:color w:val="000000" w:themeColor="text1"/>
          <w:sz w:val="24"/>
          <w:szCs w:val="24"/>
        </w:rPr>
        <w:t xml:space="preserve"> in Bangladesh</w:t>
      </w:r>
      <w:r w:rsidR="00E90778" w:rsidRPr="00B47314">
        <w:rPr>
          <w:rFonts w:ascii="Times New Roman" w:hAnsi="Times New Roman" w:cs="Times New Roman"/>
          <w:color w:val="000000" w:themeColor="text1"/>
          <w:sz w:val="24"/>
          <w:szCs w:val="24"/>
        </w:rPr>
        <w:t xml:space="preserve">. Indeed </w:t>
      </w:r>
      <w:r w:rsidR="00E90778" w:rsidRPr="00B47314">
        <w:rPr>
          <w:rFonts w:ascii="Times New Roman" w:hAnsi="Times New Roman" w:cs="Times New Roman"/>
          <w:sz w:val="24"/>
          <w:szCs w:val="24"/>
        </w:rPr>
        <w:t xml:space="preserve">Bangladesh is one of the countries to achieve tremendous success on achieving </w:t>
      </w:r>
      <w:r w:rsidR="00E90778" w:rsidRPr="00B47314">
        <w:rPr>
          <w:rFonts w:ascii="Times New Roman" w:hAnsi="Times New Roman" w:cs="Times New Roman"/>
          <w:color w:val="000000" w:themeColor="text1"/>
          <w:sz w:val="24"/>
          <w:szCs w:val="24"/>
        </w:rPr>
        <w:t>millennium development goals (MDGs)</w:t>
      </w:r>
      <w:r w:rsidR="005719EF">
        <w:rPr>
          <w:rFonts w:ascii="Times New Roman" w:hAnsi="Times New Roman" w:cs="Times New Roman"/>
          <w:color w:val="000000" w:themeColor="text1"/>
          <w:sz w:val="24"/>
          <w:szCs w:val="24"/>
        </w:rPr>
        <w:t xml:space="preserve"> including </w:t>
      </w:r>
      <w:r w:rsidR="00A065AE">
        <w:rPr>
          <w:rFonts w:ascii="Times New Roman" w:hAnsi="Times New Roman" w:cs="Times New Roman"/>
          <w:color w:val="000000" w:themeColor="text1"/>
          <w:sz w:val="24"/>
          <w:szCs w:val="24"/>
        </w:rPr>
        <w:t xml:space="preserve">the </w:t>
      </w:r>
      <w:r w:rsidR="005719EF">
        <w:rPr>
          <w:rFonts w:ascii="Times New Roman" w:hAnsi="Times New Roman" w:cs="Times New Roman"/>
          <w:color w:val="000000" w:themeColor="text1"/>
          <w:sz w:val="24"/>
          <w:szCs w:val="24"/>
        </w:rPr>
        <w:t xml:space="preserve">progress on </w:t>
      </w:r>
      <w:r w:rsidR="00E90778" w:rsidRPr="00B47314">
        <w:rPr>
          <w:rFonts w:ascii="Times New Roman" w:hAnsi="Times New Roman" w:cs="Times New Roman"/>
          <w:color w:val="000000" w:themeColor="text1"/>
          <w:sz w:val="24"/>
          <w:szCs w:val="24"/>
        </w:rPr>
        <w:t xml:space="preserve">universal primary schooling and gender </w:t>
      </w:r>
      <w:r w:rsidR="005719EF">
        <w:rPr>
          <w:rFonts w:ascii="Times New Roman" w:hAnsi="Times New Roman" w:cs="Times New Roman"/>
          <w:color w:val="000000" w:themeColor="text1"/>
          <w:sz w:val="24"/>
          <w:szCs w:val="24"/>
        </w:rPr>
        <w:t>parity in education</w:t>
      </w:r>
      <w:r w:rsidR="00E90778" w:rsidRPr="00B47314">
        <w:rPr>
          <w:rFonts w:ascii="Times New Roman" w:hAnsi="Times New Roman" w:cs="Times New Roman"/>
          <w:color w:val="000000" w:themeColor="text1"/>
          <w:sz w:val="24"/>
          <w:szCs w:val="24"/>
        </w:rPr>
        <w:t>. However, quality of education in particular learning outcome and low levels of skill</w:t>
      </w:r>
      <w:r w:rsidR="009A7AD1" w:rsidRPr="00B47314">
        <w:rPr>
          <w:rFonts w:ascii="Times New Roman" w:hAnsi="Times New Roman" w:cs="Times New Roman"/>
          <w:color w:val="000000" w:themeColor="text1"/>
          <w:sz w:val="24"/>
          <w:szCs w:val="24"/>
        </w:rPr>
        <w:t>s</w:t>
      </w:r>
      <w:r w:rsidR="00E90778" w:rsidRPr="00B47314">
        <w:rPr>
          <w:rFonts w:ascii="Times New Roman" w:hAnsi="Times New Roman" w:cs="Times New Roman"/>
          <w:color w:val="000000" w:themeColor="text1"/>
          <w:sz w:val="24"/>
          <w:szCs w:val="24"/>
        </w:rPr>
        <w:t xml:space="preserve"> remains a serious concern </w:t>
      </w:r>
      <w:r w:rsidR="00A065AE">
        <w:rPr>
          <w:rFonts w:ascii="Times New Roman" w:hAnsi="Times New Roman" w:cs="Times New Roman"/>
          <w:color w:val="000000" w:themeColor="text1"/>
          <w:sz w:val="24"/>
          <w:szCs w:val="24"/>
        </w:rPr>
        <w:t xml:space="preserve">Bangladesh, </w:t>
      </w:r>
      <w:r w:rsidR="00E90778" w:rsidRPr="00B47314">
        <w:rPr>
          <w:rFonts w:ascii="Times New Roman" w:hAnsi="Times New Roman" w:cs="Times New Roman"/>
          <w:color w:val="000000" w:themeColor="text1"/>
          <w:sz w:val="24"/>
          <w:szCs w:val="24"/>
        </w:rPr>
        <w:t>like other developing countries</w:t>
      </w:r>
      <w:r w:rsidR="00A065AE">
        <w:rPr>
          <w:rFonts w:ascii="Times New Roman" w:hAnsi="Times New Roman" w:cs="Times New Roman"/>
          <w:color w:val="000000" w:themeColor="text1"/>
          <w:sz w:val="24"/>
          <w:szCs w:val="24"/>
        </w:rPr>
        <w:t xml:space="preserve">. The former </w:t>
      </w:r>
      <w:r w:rsidR="00E90778" w:rsidRPr="00B47314">
        <w:rPr>
          <w:rFonts w:ascii="Times New Roman" w:hAnsi="Times New Roman" w:cs="Times New Roman"/>
          <w:color w:val="000000" w:themeColor="text1"/>
          <w:sz w:val="24"/>
          <w:szCs w:val="24"/>
        </w:rPr>
        <w:t>also got into critical attention in the sustainable development goals (SDG) that sets out the global objectives to end poverty and hunger. As education importantly links all the sustainable development goals and the need for improving the quality of education and addressing the learning crisis can hardly be over emphasized for the country’s long run economic development. For example, Hanushek</w:t>
      </w:r>
      <w:r w:rsidR="00CE44E6">
        <w:rPr>
          <w:rFonts w:ascii="Times New Roman" w:hAnsi="Times New Roman" w:cs="Times New Roman"/>
          <w:color w:val="000000" w:themeColor="text1"/>
          <w:sz w:val="24"/>
          <w:szCs w:val="24"/>
        </w:rPr>
        <w:t xml:space="preserve"> and Woess</w:t>
      </w:r>
      <w:r w:rsidR="00AF67C3">
        <w:rPr>
          <w:rFonts w:ascii="Times New Roman" w:hAnsi="Times New Roman" w:cs="Times New Roman"/>
          <w:color w:val="000000" w:themeColor="text1"/>
          <w:sz w:val="24"/>
          <w:szCs w:val="24"/>
        </w:rPr>
        <w:t>mann</w:t>
      </w:r>
      <w:r w:rsidR="00E90778" w:rsidRPr="00B47314">
        <w:rPr>
          <w:rFonts w:ascii="Times New Roman" w:hAnsi="Times New Roman" w:cs="Times New Roman"/>
          <w:color w:val="000000" w:themeColor="text1"/>
          <w:sz w:val="24"/>
          <w:szCs w:val="24"/>
        </w:rPr>
        <w:t xml:space="preserve"> (2009) suggest that quantitative expansion of schooling without emphasis on quality might be counterproductive for developing countries. </w:t>
      </w:r>
      <w:r w:rsidR="005719EF">
        <w:rPr>
          <w:rFonts w:ascii="Times New Roman" w:hAnsi="Times New Roman" w:cs="Times New Roman"/>
          <w:color w:val="000000" w:themeColor="text1"/>
          <w:sz w:val="24"/>
          <w:szCs w:val="24"/>
        </w:rPr>
        <w:t>In</w:t>
      </w:r>
      <w:r w:rsidR="00E90778" w:rsidRPr="00B47314">
        <w:rPr>
          <w:rFonts w:ascii="Times New Roman" w:hAnsi="Times New Roman" w:cs="Times New Roman"/>
          <w:color w:val="000000" w:themeColor="text1"/>
          <w:sz w:val="24"/>
          <w:szCs w:val="24"/>
        </w:rPr>
        <w:t xml:space="preserve"> Bangladesh</w:t>
      </w:r>
      <w:r w:rsidR="005719EF">
        <w:rPr>
          <w:rFonts w:ascii="Times New Roman" w:hAnsi="Times New Roman" w:cs="Times New Roman"/>
          <w:color w:val="000000" w:themeColor="text1"/>
          <w:sz w:val="24"/>
          <w:szCs w:val="24"/>
        </w:rPr>
        <w:t>,</w:t>
      </w:r>
      <w:r w:rsidR="005719EF" w:rsidRPr="00B47314">
        <w:rPr>
          <w:rFonts w:ascii="Times New Roman" w:hAnsi="Times New Roman" w:cs="Times New Roman"/>
          <w:color w:val="000000" w:themeColor="text1"/>
          <w:sz w:val="24"/>
          <w:szCs w:val="24"/>
        </w:rPr>
        <w:t xml:space="preserve"> </w:t>
      </w:r>
      <w:r w:rsidR="005719EF">
        <w:rPr>
          <w:rFonts w:ascii="Times New Roman" w:hAnsi="Times New Roman" w:cs="Times New Roman"/>
          <w:color w:val="000000" w:themeColor="text1"/>
          <w:sz w:val="24"/>
          <w:szCs w:val="24"/>
        </w:rPr>
        <w:t xml:space="preserve">as shown in Islam(2015), </w:t>
      </w:r>
      <w:r w:rsidR="005719EF" w:rsidRPr="00B47314">
        <w:rPr>
          <w:rFonts w:ascii="Times New Roman" w:hAnsi="Times New Roman" w:cs="Times New Roman"/>
          <w:color w:val="000000" w:themeColor="text1"/>
          <w:sz w:val="24"/>
          <w:szCs w:val="24"/>
        </w:rPr>
        <w:t>the</w:t>
      </w:r>
      <w:r w:rsidR="00E90778" w:rsidRPr="00B47314">
        <w:rPr>
          <w:rFonts w:ascii="Times New Roman" w:hAnsi="Times New Roman" w:cs="Times New Roman"/>
          <w:color w:val="000000" w:themeColor="text1"/>
          <w:sz w:val="24"/>
          <w:szCs w:val="24"/>
        </w:rPr>
        <w:t xml:space="preserve"> relationship between </w:t>
      </w:r>
      <w:r w:rsidR="00D9480B">
        <w:rPr>
          <w:rFonts w:ascii="Times New Roman" w:hAnsi="Times New Roman" w:cs="Times New Roman"/>
          <w:color w:val="000000" w:themeColor="text1"/>
          <w:sz w:val="24"/>
          <w:szCs w:val="24"/>
        </w:rPr>
        <w:t xml:space="preserve">the level </w:t>
      </w:r>
      <w:r w:rsidR="00BE61FA" w:rsidRPr="00B47314">
        <w:rPr>
          <w:rFonts w:ascii="Times New Roman" w:hAnsi="Times New Roman" w:cs="Times New Roman"/>
          <w:color w:val="000000" w:themeColor="text1"/>
          <w:sz w:val="24"/>
          <w:szCs w:val="24"/>
        </w:rPr>
        <w:t>education</w:t>
      </w:r>
      <w:r w:rsidR="00BE61FA">
        <w:rPr>
          <w:rFonts w:ascii="Times New Roman" w:hAnsi="Times New Roman" w:cs="Times New Roman"/>
          <w:color w:val="000000" w:themeColor="text1"/>
          <w:sz w:val="24"/>
          <w:szCs w:val="24"/>
        </w:rPr>
        <w:t xml:space="preserve"> (</w:t>
      </w:r>
      <w:r w:rsidR="00D9480B">
        <w:rPr>
          <w:rFonts w:ascii="Times New Roman" w:hAnsi="Times New Roman" w:cs="Times New Roman"/>
          <w:color w:val="000000" w:themeColor="text1"/>
          <w:sz w:val="24"/>
          <w:szCs w:val="24"/>
        </w:rPr>
        <w:t>schooling)</w:t>
      </w:r>
      <w:r w:rsidR="00E90778" w:rsidRPr="00B47314">
        <w:rPr>
          <w:rFonts w:ascii="Times New Roman" w:hAnsi="Times New Roman" w:cs="Times New Roman"/>
          <w:color w:val="000000" w:themeColor="text1"/>
          <w:sz w:val="24"/>
          <w:szCs w:val="24"/>
        </w:rPr>
        <w:t xml:space="preserve"> and unemployment has been sho</w:t>
      </w:r>
      <w:r w:rsidR="00BE61FA">
        <w:rPr>
          <w:rFonts w:ascii="Times New Roman" w:hAnsi="Times New Roman" w:cs="Times New Roman"/>
          <w:color w:val="000000" w:themeColor="text1"/>
          <w:sz w:val="24"/>
          <w:szCs w:val="24"/>
        </w:rPr>
        <w:t xml:space="preserve">wn positive implying </w:t>
      </w:r>
      <w:r w:rsidR="005719EF">
        <w:rPr>
          <w:rFonts w:ascii="Times New Roman" w:hAnsi="Times New Roman" w:cs="Times New Roman"/>
          <w:color w:val="000000" w:themeColor="text1"/>
          <w:sz w:val="24"/>
          <w:szCs w:val="24"/>
        </w:rPr>
        <w:t xml:space="preserve">also </w:t>
      </w:r>
      <w:r w:rsidR="00E90778" w:rsidRPr="00B47314">
        <w:rPr>
          <w:rFonts w:ascii="Times New Roman" w:hAnsi="Times New Roman" w:cs="Times New Roman"/>
          <w:color w:val="000000" w:themeColor="text1"/>
          <w:sz w:val="24"/>
          <w:szCs w:val="24"/>
        </w:rPr>
        <w:t>that</w:t>
      </w:r>
      <w:r w:rsidR="005719EF">
        <w:rPr>
          <w:rFonts w:ascii="Times New Roman" w:hAnsi="Times New Roman" w:cs="Times New Roman"/>
          <w:color w:val="000000" w:themeColor="text1"/>
          <w:sz w:val="24"/>
          <w:szCs w:val="24"/>
        </w:rPr>
        <w:t xml:space="preserve"> mere</w:t>
      </w:r>
      <w:r w:rsidR="00E90778" w:rsidRPr="00B47314">
        <w:rPr>
          <w:rFonts w:ascii="Times New Roman" w:hAnsi="Times New Roman" w:cs="Times New Roman"/>
          <w:color w:val="000000" w:themeColor="text1"/>
          <w:sz w:val="24"/>
          <w:szCs w:val="24"/>
        </w:rPr>
        <w:t xml:space="preserve"> quantitative expansion of education and training cannot address the </w:t>
      </w:r>
      <w:r w:rsidR="00A065AE">
        <w:rPr>
          <w:rFonts w:ascii="Times New Roman" w:hAnsi="Times New Roman" w:cs="Times New Roman"/>
          <w:color w:val="000000" w:themeColor="text1"/>
          <w:sz w:val="24"/>
          <w:szCs w:val="24"/>
        </w:rPr>
        <w:t xml:space="preserve">future </w:t>
      </w:r>
      <w:r w:rsidR="00E90778" w:rsidRPr="00B47314">
        <w:rPr>
          <w:rFonts w:ascii="Times New Roman" w:hAnsi="Times New Roman" w:cs="Times New Roman"/>
          <w:color w:val="000000" w:themeColor="text1"/>
          <w:sz w:val="24"/>
          <w:szCs w:val="24"/>
        </w:rPr>
        <w:t xml:space="preserve">human development </w:t>
      </w:r>
      <w:r w:rsidR="00874F37">
        <w:rPr>
          <w:rFonts w:ascii="Times New Roman" w:hAnsi="Times New Roman" w:cs="Times New Roman"/>
          <w:color w:val="000000" w:themeColor="text1"/>
          <w:sz w:val="24"/>
          <w:szCs w:val="24"/>
        </w:rPr>
        <w:t>challenges</w:t>
      </w:r>
      <w:r w:rsidR="00E90778" w:rsidRPr="00B47314">
        <w:rPr>
          <w:rFonts w:ascii="Times New Roman" w:hAnsi="Times New Roman" w:cs="Times New Roman"/>
          <w:color w:val="000000" w:themeColor="text1"/>
          <w:sz w:val="24"/>
          <w:szCs w:val="24"/>
        </w:rPr>
        <w:t xml:space="preserve">. </w:t>
      </w:r>
      <w:r w:rsidR="00466EC6" w:rsidRPr="0060772A">
        <w:rPr>
          <w:rFonts w:ascii="Times New Roman" w:hAnsi="Times New Roman" w:cs="Times New Roman"/>
          <w:sz w:val="24"/>
          <w:szCs w:val="24"/>
        </w:rPr>
        <w:t xml:space="preserve">The challenges that the education sector faces include low quality of learning, inadequate technical and vocational education and training, and limited tertiary education facilities as well as lack of inclusion in access to quality education. </w:t>
      </w:r>
      <w:r w:rsidR="00AE5817">
        <w:rPr>
          <w:rFonts w:ascii="Times New Roman" w:hAnsi="Times New Roman" w:cs="Times New Roman"/>
          <w:sz w:val="24"/>
          <w:szCs w:val="24"/>
        </w:rPr>
        <w:t xml:space="preserve">While this might be reflective of the low public expenditure in education compared both low and high performing countries in terms of education achievements, there is also lack of holistic approach towards education and training policies of the country.  </w:t>
      </w:r>
      <w:r w:rsidR="00466EC6" w:rsidRPr="0060772A">
        <w:rPr>
          <w:rFonts w:ascii="Times New Roman" w:hAnsi="Times New Roman" w:cs="Times New Roman"/>
          <w:sz w:val="24"/>
          <w:szCs w:val="24"/>
        </w:rPr>
        <w:t>Bangladesh’s public expenditure on education (2.1 percent) is considered very low even compared with in south Asia (India 3.7%) and South East Asia (Malaysia 4.3%, Vietnam 5.3%).</w:t>
      </w:r>
      <w:r w:rsidR="00874F37">
        <w:rPr>
          <w:rFonts w:ascii="Times New Roman" w:hAnsi="Times New Roman" w:cs="Times New Roman"/>
          <w:sz w:val="24"/>
          <w:szCs w:val="24"/>
        </w:rPr>
        <w:t xml:space="preserve"> </w:t>
      </w:r>
      <w:r w:rsidR="00874F37" w:rsidRPr="00D626CB">
        <w:rPr>
          <w:rFonts w:ascii="Times New Roman" w:hAnsi="Times New Roman" w:cs="Times New Roman"/>
          <w:sz w:val="24"/>
          <w:szCs w:val="24"/>
          <w:lang w:bidi="bn-BD"/>
        </w:rPr>
        <w:t>While high performing systems appear to spend more on education as a percentage of GNP, the</w:t>
      </w:r>
      <w:r w:rsidR="00874F37">
        <w:rPr>
          <w:rFonts w:ascii="Times New Roman" w:hAnsi="Times New Roman" w:cs="Times New Roman"/>
          <w:sz w:val="24"/>
          <w:szCs w:val="24"/>
          <w:lang w:bidi="bn-BD"/>
        </w:rPr>
        <w:t xml:space="preserve">y also accompany with </w:t>
      </w:r>
      <w:r w:rsidR="00874F37" w:rsidRPr="00D626CB">
        <w:rPr>
          <w:rFonts w:ascii="Times New Roman" w:hAnsi="Times New Roman" w:cs="Times New Roman"/>
          <w:sz w:val="24"/>
          <w:szCs w:val="24"/>
          <w:lang w:bidi="bn-BD"/>
        </w:rPr>
        <w:t xml:space="preserve">sound policies determining the success.  </w:t>
      </w:r>
    </w:p>
    <w:p w14:paraId="529BDF63" w14:textId="5841363A" w:rsidR="00B47314" w:rsidRDefault="007860F0" w:rsidP="00F321E0">
      <w:pPr>
        <w:spacing w:after="240" w:line="276" w:lineRule="auto"/>
        <w:ind w:firstLine="720"/>
        <w:jc w:val="both"/>
        <w:rPr>
          <w:rFonts w:ascii="Times New Roman" w:hAnsi="Times New Roman" w:cs="Times New Roman"/>
          <w:sz w:val="24"/>
          <w:szCs w:val="24"/>
        </w:rPr>
      </w:pPr>
      <w:r w:rsidRPr="00FB0A04">
        <w:rPr>
          <w:rFonts w:ascii="Times New Roman" w:hAnsi="Times New Roman" w:cs="Times New Roman"/>
          <w:sz w:val="24"/>
          <w:szCs w:val="24"/>
        </w:rPr>
        <w:t xml:space="preserve">One of the six goals enunciated under the perspective plan is to “establish the country as a knowledge hub country for promoting a new skilled based society.” </w:t>
      </w:r>
      <w:r w:rsidRPr="00FB0A04">
        <w:rPr>
          <w:rFonts w:ascii="Times New Roman" w:hAnsi="Times New Roman" w:cs="Times New Roman"/>
          <w:color w:val="000000" w:themeColor="text1"/>
          <w:sz w:val="24"/>
          <w:szCs w:val="24"/>
        </w:rPr>
        <w:t xml:space="preserve">The framework of perspective plan focuses on several policy variables, to influence growth, employment and poverty reduction targets, that includes total factor productivity improvement by emphasising on </w:t>
      </w:r>
      <w:r w:rsidRPr="00FB0A04">
        <w:rPr>
          <w:rFonts w:ascii="Times New Roman" w:hAnsi="Times New Roman" w:cs="Times New Roman"/>
          <w:color w:val="000000" w:themeColor="text1"/>
          <w:sz w:val="24"/>
          <w:szCs w:val="24"/>
        </w:rPr>
        <w:lastRenderedPageBreak/>
        <w:t xml:space="preserve">average schooling </w:t>
      </w:r>
      <w:r w:rsidR="00AE5817">
        <w:rPr>
          <w:rFonts w:ascii="Times New Roman" w:hAnsi="Times New Roman" w:cs="Times New Roman"/>
          <w:color w:val="000000" w:themeColor="text1"/>
          <w:sz w:val="24"/>
          <w:szCs w:val="24"/>
        </w:rPr>
        <w:t>of</w:t>
      </w:r>
      <w:r w:rsidRPr="00FB0A04">
        <w:rPr>
          <w:rFonts w:ascii="Times New Roman" w:hAnsi="Times New Roman" w:cs="Times New Roman"/>
          <w:color w:val="000000" w:themeColor="text1"/>
          <w:sz w:val="24"/>
          <w:szCs w:val="24"/>
        </w:rPr>
        <w:t xml:space="preserve"> 11 years, quality education, skill development and investing in education around 5 percent of GDP.</w:t>
      </w:r>
      <w:r>
        <w:rPr>
          <w:rFonts w:ascii="Times New Roman" w:hAnsi="Times New Roman" w:cs="Times New Roman"/>
          <w:color w:val="000000" w:themeColor="text1"/>
          <w:sz w:val="24"/>
          <w:szCs w:val="24"/>
        </w:rPr>
        <w:t xml:space="preserve"> </w:t>
      </w:r>
      <w:r w:rsidR="00B47314">
        <w:rPr>
          <w:rFonts w:ascii="Times New Roman" w:hAnsi="Times New Roman" w:cs="Times New Roman"/>
          <w:color w:val="000000" w:themeColor="text1"/>
          <w:sz w:val="24"/>
          <w:szCs w:val="24"/>
        </w:rPr>
        <w:t>Importantly, a</w:t>
      </w:r>
      <w:r w:rsidR="00B47314" w:rsidRPr="00B47314">
        <w:rPr>
          <w:rFonts w:ascii="Times New Roman" w:hAnsi="Times New Roman" w:cs="Times New Roman"/>
          <w:sz w:val="24"/>
          <w:szCs w:val="24"/>
        </w:rPr>
        <w:t xml:space="preserve">s the country reaches to higher growth trajectory there will be expected commensurate rise in the demand for workers with higher education and skills. In the backdrop of </w:t>
      </w:r>
      <w:r w:rsidR="00AE5817">
        <w:rPr>
          <w:rFonts w:ascii="Times New Roman" w:hAnsi="Times New Roman" w:cs="Times New Roman"/>
          <w:sz w:val="24"/>
          <w:szCs w:val="24"/>
        </w:rPr>
        <w:t xml:space="preserve">increasingly </w:t>
      </w:r>
      <w:r w:rsidR="00B47314" w:rsidRPr="00B47314">
        <w:rPr>
          <w:rFonts w:ascii="Times New Roman" w:hAnsi="Times New Roman" w:cs="Times New Roman"/>
          <w:sz w:val="24"/>
          <w:szCs w:val="24"/>
        </w:rPr>
        <w:t xml:space="preserve">globalized and highly competitive markets as well as rapidly changing technologies, it </w:t>
      </w:r>
      <w:r w:rsidR="00B47314">
        <w:rPr>
          <w:rFonts w:ascii="Times New Roman" w:hAnsi="Times New Roman" w:cs="Times New Roman"/>
          <w:sz w:val="24"/>
          <w:szCs w:val="24"/>
        </w:rPr>
        <w:t xml:space="preserve">will become crucial </w:t>
      </w:r>
      <w:r w:rsidR="00B47314" w:rsidRPr="00B47314">
        <w:rPr>
          <w:rFonts w:ascii="Times New Roman" w:hAnsi="Times New Roman" w:cs="Times New Roman"/>
          <w:sz w:val="24"/>
          <w:szCs w:val="24"/>
        </w:rPr>
        <w:t xml:space="preserve">that education systems aim to produce well-balanced human resources with appropriate skills. The important question is then how the country’s education system can be geared towards innovation and economic growth. </w:t>
      </w:r>
      <w:r w:rsidR="00AE5817">
        <w:rPr>
          <w:rFonts w:ascii="Times New Roman" w:hAnsi="Times New Roman" w:cs="Times New Roman"/>
          <w:sz w:val="24"/>
          <w:szCs w:val="24"/>
        </w:rPr>
        <w:t>While</w:t>
      </w:r>
      <w:r w:rsidR="002166DC">
        <w:rPr>
          <w:rFonts w:ascii="Times New Roman" w:hAnsi="Times New Roman" w:cs="Times New Roman"/>
          <w:sz w:val="24"/>
          <w:szCs w:val="24"/>
        </w:rPr>
        <w:t xml:space="preserve"> </w:t>
      </w:r>
      <w:r w:rsidR="002166DC" w:rsidRPr="00B47314">
        <w:rPr>
          <w:rFonts w:ascii="Times New Roman" w:hAnsi="Times New Roman" w:cs="Times New Roman"/>
          <w:sz w:val="24"/>
          <w:szCs w:val="24"/>
        </w:rPr>
        <w:t xml:space="preserve">greater attention needs to be devoted </w:t>
      </w:r>
      <w:r w:rsidR="005719EF">
        <w:rPr>
          <w:rFonts w:ascii="Times New Roman" w:hAnsi="Times New Roman" w:cs="Times New Roman"/>
          <w:sz w:val="24"/>
          <w:szCs w:val="24"/>
        </w:rPr>
        <w:t xml:space="preserve">to </w:t>
      </w:r>
      <w:r w:rsidR="002166DC" w:rsidRPr="00B47314">
        <w:rPr>
          <w:rFonts w:ascii="Times New Roman" w:hAnsi="Times New Roman" w:cs="Times New Roman"/>
          <w:sz w:val="24"/>
          <w:szCs w:val="24"/>
        </w:rPr>
        <w:t xml:space="preserve">secondary </w:t>
      </w:r>
      <w:r w:rsidR="002166DC">
        <w:rPr>
          <w:rFonts w:ascii="Times New Roman" w:hAnsi="Times New Roman" w:cs="Times New Roman"/>
          <w:sz w:val="24"/>
          <w:szCs w:val="24"/>
        </w:rPr>
        <w:t xml:space="preserve">and tertiary </w:t>
      </w:r>
      <w:r w:rsidR="002166DC" w:rsidRPr="00B47314">
        <w:rPr>
          <w:rFonts w:ascii="Times New Roman" w:hAnsi="Times New Roman" w:cs="Times New Roman"/>
          <w:sz w:val="24"/>
          <w:szCs w:val="24"/>
        </w:rPr>
        <w:t xml:space="preserve">level education </w:t>
      </w:r>
      <w:r w:rsidR="002503CD">
        <w:rPr>
          <w:rFonts w:ascii="Times New Roman" w:hAnsi="Times New Roman" w:cs="Times New Roman"/>
          <w:sz w:val="24"/>
          <w:szCs w:val="24"/>
        </w:rPr>
        <w:t xml:space="preserve">as well as </w:t>
      </w:r>
      <w:r w:rsidR="002166DC" w:rsidRPr="00B47314">
        <w:rPr>
          <w:rFonts w:ascii="Times New Roman" w:hAnsi="Times New Roman" w:cs="Times New Roman"/>
          <w:sz w:val="24"/>
          <w:szCs w:val="24"/>
        </w:rPr>
        <w:t>vocational and technical education and training</w:t>
      </w:r>
      <w:r w:rsidR="002503CD">
        <w:rPr>
          <w:rFonts w:ascii="Times New Roman" w:hAnsi="Times New Roman" w:cs="Times New Roman"/>
          <w:sz w:val="24"/>
          <w:szCs w:val="24"/>
        </w:rPr>
        <w:t>, reform of higher education to embrace global transformation as well as putting greater emphasis on research universities would be immensely important.</w:t>
      </w:r>
      <w:r w:rsidR="002166DC" w:rsidRPr="00B47314">
        <w:rPr>
          <w:rFonts w:ascii="Times New Roman" w:hAnsi="Times New Roman" w:cs="Times New Roman"/>
          <w:sz w:val="24"/>
          <w:szCs w:val="24"/>
        </w:rPr>
        <w:t xml:space="preserve"> When it comes to higher education, </w:t>
      </w:r>
      <w:r w:rsidR="000644AA">
        <w:rPr>
          <w:rFonts w:ascii="Times New Roman" w:hAnsi="Times New Roman" w:cs="Times New Roman"/>
          <w:sz w:val="24"/>
          <w:szCs w:val="24"/>
        </w:rPr>
        <w:t>the link between</w:t>
      </w:r>
      <w:r w:rsidR="002166DC" w:rsidRPr="00B47314">
        <w:rPr>
          <w:rFonts w:ascii="Times New Roman" w:hAnsi="Times New Roman" w:cs="Times New Roman"/>
          <w:sz w:val="24"/>
          <w:szCs w:val="24"/>
        </w:rPr>
        <w:t xml:space="preserve"> education </w:t>
      </w:r>
      <w:r w:rsidR="000644AA">
        <w:rPr>
          <w:rFonts w:ascii="Times New Roman" w:hAnsi="Times New Roman" w:cs="Times New Roman"/>
          <w:sz w:val="24"/>
          <w:szCs w:val="24"/>
        </w:rPr>
        <w:t>and</w:t>
      </w:r>
      <w:r w:rsidR="002166DC" w:rsidRPr="00B47314">
        <w:rPr>
          <w:rFonts w:ascii="Times New Roman" w:hAnsi="Times New Roman" w:cs="Times New Roman"/>
          <w:sz w:val="24"/>
          <w:szCs w:val="24"/>
        </w:rPr>
        <w:t xml:space="preserve"> human capital creation, labour market outcomes </w:t>
      </w:r>
      <w:r w:rsidR="000644AA">
        <w:rPr>
          <w:rFonts w:ascii="Times New Roman" w:hAnsi="Times New Roman" w:cs="Times New Roman"/>
          <w:sz w:val="24"/>
          <w:szCs w:val="24"/>
        </w:rPr>
        <w:t>as well as the</w:t>
      </w:r>
      <w:r w:rsidR="002166DC" w:rsidRPr="00B47314">
        <w:rPr>
          <w:rFonts w:ascii="Times New Roman" w:hAnsi="Times New Roman" w:cs="Times New Roman"/>
          <w:sz w:val="24"/>
          <w:szCs w:val="24"/>
        </w:rPr>
        <w:t xml:space="preserve"> overall development </w:t>
      </w:r>
      <w:r w:rsidR="002166DC">
        <w:rPr>
          <w:rFonts w:ascii="Times New Roman" w:hAnsi="Times New Roman" w:cs="Times New Roman"/>
          <w:sz w:val="24"/>
          <w:szCs w:val="24"/>
        </w:rPr>
        <w:t xml:space="preserve">strategy </w:t>
      </w:r>
      <w:r w:rsidR="000644AA">
        <w:rPr>
          <w:rFonts w:ascii="Times New Roman" w:hAnsi="Times New Roman" w:cs="Times New Roman"/>
          <w:sz w:val="24"/>
          <w:szCs w:val="24"/>
        </w:rPr>
        <w:t xml:space="preserve">assumes greater emphasis than </w:t>
      </w:r>
      <w:r w:rsidR="002503CD">
        <w:rPr>
          <w:rFonts w:ascii="Times New Roman" w:hAnsi="Times New Roman" w:cs="Times New Roman"/>
          <w:sz w:val="24"/>
          <w:szCs w:val="24"/>
        </w:rPr>
        <w:t xml:space="preserve">merely </w:t>
      </w:r>
      <w:r w:rsidR="000644AA">
        <w:rPr>
          <w:rFonts w:ascii="Times New Roman" w:hAnsi="Times New Roman" w:cs="Times New Roman"/>
          <w:sz w:val="24"/>
          <w:szCs w:val="24"/>
        </w:rPr>
        <w:t>producing graduates</w:t>
      </w:r>
      <w:r w:rsidR="002166DC">
        <w:rPr>
          <w:rFonts w:ascii="Times New Roman" w:hAnsi="Times New Roman" w:cs="Times New Roman"/>
          <w:sz w:val="24"/>
          <w:szCs w:val="24"/>
        </w:rPr>
        <w:t>.</w:t>
      </w:r>
      <w:r w:rsidR="002166DC" w:rsidRPr="00B47314">
        <w:rPr>
          <w:rFonts w:ascii="Times New Roman" w:hAnsi="Times New Roman" w:cs="Times New Roman"/>
          <w:sz w:val="24"/>
          <w:szCs w:val="24"/>
        </w:rPr>
        <w:t xml:space="preserve"> </w:t>
      </w:r>
      <w:r w:rsidR="00B47314" w:rsidRPr="00B47314">
        <w:rPr>
          <w:rFonts w:ascii="Times New Roman" w:hAnsi="Times New Roman" w:cs="Times New Roman"/>
          <w:sz w:val="24"/>
          <w:szCs w:val="24"/>
        </w:rPr>
        <w:t xml:space="preserve">This </w:t>
      </w:r>
      <w:r w:rsidR="00D9480B">
        <w:rPr>
          <w:rFonts w:ascii="Times New Roman" w:hAnsi="Times New Roman" w:cs="Times New Roman"/>
          <w:sz w:val="24"/>
          <w:szCs w:val="24"/>
        </w:rPr>
        <w:t xml:space="preserve">will require </w:t>
      </w:r>
      <w:r w:rsidR="00B47314" w:rsidRPr="00B47314">
        <w:rPr>
          <w:rFonts w:ascii="Times New Roman" w:hAnsi="Times New Roman" w:cs="Times New Roman"/>
          <w:sz w:val="24"/>
          <w:szCs w:val="24"/>
        </w:rPr>
        <w:t xml:space="preserve">the education policies to be </w:t>
      </w:r>
      <w:r w:rsidR="00D9480B">
        <w:rPr>
          <w:rFonts w:ascii="Times New Roman" w:hAnsi="Times New Roman" w:cs="Times New Roman"/>
          <w:sz w:val="24"/>
          <w:szCs w:val="24"/>
        </w:rPr>
        <w:t xml:space="preserve">aligned with and be </w:t>
      </w:r>
      <w:r w:rsidR="00B47314" w:rsidRPr="00B47314">
        <w:rPr>
          <w:rFonts w:ascii="Times New Roman" w:hAnsi="Times New Roman" w:cs="Times New Roman"/>
          <w:sz w:val="24"/>
          <w:szCs w:val="24"/>
        </w:rPr>
        <w:t xml:space="preserve">an integral part of the development strategy. </w:t>
      </w:r>
    </w:p>
    <w:p w14:paraId="47004EFA" w14:textId="0FFD5ABC" w:rsidR="00B06AB2" w:rsidRDefault="00B06AB2" w:rsidP="00F321E0">
      <w:pPr>
        <w:spacing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chapter is organized as follows. In Section 2 we discuss the linkage between education, productivity and growth, in order to provide an understanding of the importance of human development for growth. The following Section briefly reviews the achievements, challenges of overall education sector. In doing so it also highlights some on-going policies as well as structural reform challenges existing in the sector. The Section 4 discuss the linkage between education and </w:t>
      </w:r>
      <w:r w:rsidR="006E2C5E">
        <w:rPr>
          <w:rFonts w:ascii="Times New Roman" w:hAnsi="Times New Roman" w:cs="Times New Roman"/>
          <w:sz w:val="24"/>
          <w:szCs w:val="24"/>
        </w:rPr>
        <w:t>labour</w:t>
      </w:r>
      <w:r>
        <w:rPr>
          <w:rFonts w:ascii="Times New Roman" w:hAnsi="Times New Roman" w:cs="Times New Roman"/>
          <w:sz w:val="24"/>
          <w:szCs w:val="24"/>
        </w:rPr>
        <w:t xml:space="preserve"> market outcome, keeping in view of structural changes in eth economy and the future demand for skilled human resources and essentially shed light on some indicative scenario for human capital need in the long run. The Section 5</w:t>
      </w:r>
      <w:r w:rsidR="00FD4EA9">
        <w:rPr>
          <w:rFonts w:ascii="Times New Roman" w:hAnsi="Times New Roman" w:cs="Times New Roman"/>
          <w:sz w:val="24"/>
          <w:szCs w:val="24"/>
        </w:rPr>
        <w:t xml:space="preserve"> and Section 6, respectively, review</w:t>
      </w:r>
      <w:r>
        <w:rPr>
          <w:rFonts w:ascii="Times New Roman" w:hAnsi="Times New Roman" w:cs="Times New Roman"/>
          <w:sz w:val="24"/>
          <w:szCs w:val="24"/>
        </w:rPr>
        <w:t xml:space="preserve"> the international evidences with respect to education and skill development as well as higher education reform.  </w:t>
      </w:r>
      <w:r w:rsidR="00FD4EA9">
        <w:rPr>
          <w:rFonts w:ascii="Times New Roman" w:hAnsi="Times New Roman" w:cs="Times New Roman"/>
          <w:sz w:val="24"/>
          <w:szCs w:val="24"/>
        </w:rPr>
        <w:t xml:space="preserve">Section 7 discusses some policy options, in line with international evidences, with regards to future human development of the country and the Section 8 concludes the chapter. </w:t>
      </w:r>
      <w:r>
        <w:rPr>
          <w:rFonts w:ascii="Times New Roman" w:hAnsi="Times New Roman" w:cs="Times New Roman"/>
          <w:sz w:val="24"/>
          <w:szCs w:val="24"/>
        </w:rPr>
        <w:t xml:space="preserve"> </w:t>
      </w:r>
    </w:p>
    <w:p w14:paraId="11AAE153" w14:textId="0F44EFD6" w:rsidR="00995BAE" w:rsidRPr="0096796F" w:rsidRDefault="00472AB3" w:rsidP="00E90778">
      <w:pPr>
        <w:pStyle w:val="ListParagraph"/>
        <w:numPr>
          <w:ilvl w:val="0"/>
          <w:numId w:val="8"/>
        </w:numPr>
        <w:spacing w:after="0" w:line="360" w:lineRule="auto"/>
        <w:jc w:val="both"/>
        <w:rPr>
          <w:rFonts w:ascii="Times New Roman" w:hAnsi="Times New Roman" w:cs="Times New Roman"/>
          <w:b/>
          <w:color w:val="000000" w:themeColor="text1"/>
          <w:sz w:val="24"/>
          <w:szCs w:val="24"/>
        </w:rPr>
      </w:pPr>
      <w:r w:rsidRPr="0096796F">
        <w:rPr>
          <w:rFonts w:ascii="Times New Roman" w:hAnsi="Times New Roman" w:cs="Times New Roman"/>
          <w:b/>
          <w:color w:val="000000" w:themeColor="text1"/>
          <w:sz w:val="24"/>
          <w:szCs w:val="24"/>
        </w:rPr>
        <w:t>Education and Economic Growth</w:t>
      </w:r>
    </w:p>
    <w:p w14:paraId="43F43670" w14:textId="587339D1" w:rsidR="001060F5" w:rsidRPr="0060772A" w:rsidRDefault="001060F5" w:rsidP="002625F4">
      <w:pPr>
        <w:spacing w:after="240" w:line="276" w:lineRule="auto"/>
        <w:ind w:firstLine="720"/>
        <w:jc w:val="both"/>
        <w:rPr>
          <w:rFonts w:ascii="Times New Roman" w:hAnsi="Times New Roman" w:cs="Times New Roman"/>
          <w:color w:val="000000" w:themeColor="text1"/>
          <w:sz w:val="24"/>
          <w:szCs w:val="24"/>
        </w:rPr>
      </w:pPr>
      <w:r w:rsidRPr="0060772A">
        <w:rPr>
          <w:rFonts w:ascii="Times New Roman" w:hAnsi="Times New Roman" w:cs="Times New Roman"/>
          <w:color w:val="000000" w:themeColor="text1"/>
          <w:sz w:val="24"/>
          <w:szCs w:val="24"/>
        </w:rPr>
        <w:t>The contribution of education to economic growth is seen both from micro and macro perspective</w:t>
      </w:r>
      <w:r w:rsidR="00416759" w:rsidRPr="0060772A">
        <w:rPr>
          <w:rFonts w:ascii="Times New Roman" w:hAnsi="Times New Roman" w:cs="Times New Roman"/>
          <w:color w:val="000000" w:themeColor="text1"/>
          <w:sz w:val="24"/>
          <w:szCs w:val="24"/>
        </w:rPr>
        <w:t xml:space="preserve"> respectively from the view of </w:t>
      </w:r>
      <w:r w:rsidRPr="0060772A">
        <w:rPr>
          <w:rFonts w:ascii="Times New Roman" w:hAnsi="Times New Roman" w:cs="Times New Roman"/>
          <w:color w:val="000000" w:themeColor="text1"/>
          <w:sz w:val="24"/>
          <w:szCs w:val="24"/>
        </w:rPr>
        <w:t xml:space="preserve">raising the productivity of individuals </w:t>
      </w:r>
      <w:r w:rsidR="00416759" w:rsidRPr="0060772A">
        <w:rPr>
          <w:rFonts w:ascii="Times New Roman" w:hAnsi="Times New Roman" w:cs="Times New Roman"/>
          <w:color w:val="000000" w:themeColor="text1"/>
          <w:sz w:val="24"/>
          <w:szCs w:val="24"/>
        </w:rPr>
        <w:t xml:space="preserve">as well as </w:t>
      </w:r>
      <w:r w:rsidR="006E2C5E">
        <w:rPr>
          <w:rFonts w:ascii="Times New Roman" w:hAnsi="Times New Roman" w:cs="Times New Roman"/>
          <w:color w:val="000000" w:themeColor="text1"/>
          <w:sz w:val="24"/>
          <w:szCs w:val="24"/>
        </w:rPr>
        <w:t>labour</w:t>
      </w:r>
      <w:r w:rsidRPr="0060772A">
        <w:rPr>
          <w:rFonts w:ascii="Times New Roman" w:hAnsi="Times New Roman" w:cs="Times New Roman"/>
          <w:color w:val="000000" w:themeColor="text1"/>
          <w:sz w:val="24"/>
          <w:szCs w:val="24"/>
        </w:rPr>
        <w:t xml:space="preserve"> productivity growth. </w:t>
      </w:r>
      <w:r w:rsidR="00736047" w:rsidRPr="0060772A">
        <w:rPr>
          <w:rFonts w:ascii="Times New Roman" w:hAnsi="Times New Roman" w:cs="Times New Roman"/>
          <w:color w:val="000000" w:themeColor="text1"/>
          <w:sz w:val="24"/>
          <w:szCs w:val="24"/>
        </w:rPr>
        <w:t>According to the endogenous growt</w:t>
      </w:r>
      <w:r w:rsidR="00416759" w:rsidRPr="0060772A">
        <w:rPr>
          <w:rFonts w:ascii="Times New Roman" w:hAnsi="Times New Roman" w:cs="Times New Roman"/>
          <w:color w:val="000000" w:themeColor="text1"/>
          <w:sz w:val="24"/>
          <w:szCs w:val="24"/>
        </w:rPr>
        <w:t xml:space="preserve">h theory literature, </w:t>
      </w:r>
      <w:r w:rsidR="00736047" w:rsidRPr="0060772A">
        <w:rPr>
          <w:rFonts w:ascii="Times New Roman" w:hAnsi="Times New Roman" w:cs="Times New Roman"/>
          <w:color w:val="000000" w:themeColor="text1"/>
          <w:sz w:val="24"/>
          <w:szCs w:val="24"/>
        </w:rPr>
        <w:t xml:space="preserve">higher investment in education </w:t>
      </w:r>
      <w:r w:rsidR="00416759" w:rsidRPr="0060772A">
        <w:rPr>
          <w:rFonts w:ascii="Times New Roman" w:hAnsi="Times New Roman" w:cs="Times New Roman"/>
          <w:color w:val="000000" w:themeColor="text1"/>
          <w:sz w:val="24"/>
          <w:szCs w:val="24"/>
        </w:rPr>
        <w:t>drives</w:t>
      </w:r>
      <w:r w:rsidR="00736047" w:rsidRPr="0060772A">
        <w:rPr>
          <w:rFonts w:ascii="Times New Roman" w:hAnsi="Times New Roman" w:cs="Times New Roman"/>
          <w:color w:val="000000" w:themeColor="text1"/>
          <w:sz w:val="24"/>
          <w:szCs w:val="24"/>
        </w:rPr>
        <w:t xml:space="preserve"> growth of national income through human capital</w:t>
      </w:r>
      <w:r w:rsidR="00416759" w:rsidRPr="0060772A">
        <w:rPr>
          <w:rFonts w:ascii="Times New Roman" w:hAnsi="Times New Roman" w:cs="Times New Roman"/>
          <w:color w:val="000000" w:themeColor="text1"/>
          <w:sz w:val="24"/>
          <w:szCs w:val="24"/>
        </w:rPr>
        <w:t xml:space="preserve"> improvement (e.g. Barro </w:t>
      </w:r>
      <w:r w:rsidR="00591BC4">
        <w:rPr>
          <w:rFonts w:ascii="Times New Roman" w:hAnsi="Times New Roman" w:cs="Times New Roman"/>
          <w:color w:val="000000" w:themeColor="text1"/>
          <w:sz w:val="24"/>
          <w:szCs w:val="24"/>
        </w:rPr>
        <w:t>2000</w:t>
      </w:r>
      <w:r w:rsidR="00416759" w:rsidRPr="0060772A">
        <w:rPr>
          <w:rFonts w:ascii="Times New Roman" w:hAnsi="Times New Roman" w:cs="Times New Roman"/>
          <w:color w:val="000000" w:themeColor="text1"/>
          <w:sz w:val="24"/>
          <w:szCs w:val="24"/>
        </w:rPr>
        <w:t>)</w:t>
      </w:r>
      <w:r w:rsidR="00736047" w:rsidRPr="0060772A">
        <w:rPr>
          <w:rFonts w:ascii="Times New Roman" w:hAnsi="Times New Roman" w:cs="Times New Roman"/>
          <w:color w:val="000000" w:themeColor="text1"/>
          <w:sz w:val="24"/>
          <w:szCs w:val="24"/>
        </w:rPr>
        <w:t xml:space="preserve">. </w:t>
      </w:r>
      <w:r w:rsidRPr="0060772A">
        <w:rPr>
          <w:rFonts w:ascii="Times New Roman" w:hAnsi="Times New Roman" w:cs="Times New Roman"/>
          <w:color w:val="000000" w:themeColor="text1"/>
          <w:sz w:val="24"/>
          <w:szCs w:val="24"/>
        </w:rPr>
        <w:t>Schulz (</w:t>
      </w:r>
      <w:r w:rsidR="000225F8" w:rsidRPr="0060772A">
        <w:rPr>
          <w:rFonts w:ascii="Times New Roman" w:hAnsi="Times New Roman" w:cs="Times New Roman"/>
          <w:color w:val="000000" w:themeColor="text1"/>
          <w:sz w:val="24"/>
          <w:szCs w:val="24"/>
        </w:rPr>
        <w:t xml:space="preserve">1991) suggested strong correlation between educational attainment and productivity of </w:t>
      </w:r>
      <w:r w:rsidR="006E2C5E">
        <w:rPr>
          <w:rFonts w:ascii="Times New Roman" w:hAnsi="Times New Roman" w:cs="Times New Roman"/>
          <w:color w:val="000000" w:themeColor="text1"/>
          <w:sz w:val="24"/>
          <w:szCs w:val="24"/>
        </w:rPr>
        <w:t>labour</w:t>
      </w:r>
      <w:r w:rsidRPr="0060772A">
        <w:rPr>
          <w:rFonts w:ascii="Times New Roman" w:hAnsi="Times New Roman" w:cs="Times New Roman"/>
          <w:color w:val="000000" w:themeColor="text1"/>
          <w:sz w:val="24"/>
          <w:szCs w:val="24"/>
        </w:rPr>
        <w:t xml:space="preserve"> force</w:t>
      </w:r>
      <w:r w:rsidR="000225F8" w:rsidRPr="0060772A">
        <w:rPr>
          <w:rFonts w:ascii="Times New Roman" w:hAnsi="Times New Roman" w:cs="Times New Roman"/>
          <w:color w:val="000000" w:themeColor="text1"/>
          <w:sz w:val="24"/>
          <w:szCs w:val="24"/>
        </w:rPr>
        <w:t xml:space="preserve"> implying that education is growth enhancing. </w:t>
      </w:r>
      <w:r w:rsidRPr="0060772A">
        <w:rPr>
          <w:rFonts w:ascii="Times New Roman" w:hAnsi="Times New Roman" w:cs="Times New Roman"/>
          <w:color w:val="000000" w:themeColor="text1"/>
          <w:sz w:val="24"/>
          <w:szCs w:val="24"/>
        </w:rPr>
        <w:t xml:space="preserve"> Some studies also suggest that investment in education does not necessarily promote economic growth. </w:t>
      </w:r>
      <w:r w:rsidR="00BB5186" w:rsidRPr="0060772A">
        <w:rPr>
          <w:rFonts w:ascii="Times New Roman" w:hAnsi="Times New Roman" w:cs="Times New Roman"/>
          <w:color w:val="000000" w:themeColor="text1"/>
          <w:sz w:val="24"/>
          <w:szCs w:val="24"/>
        </w:rPr>
        <w:t xml:space="preserve">Additionally education has positive impact on </w:t>
      </w:r>
      <w:r w:rsidR="00786363" w:rsidRPr="0060772A">
        <w:rPr>
          <w:rFonts w:ascii="Times New Roman" w:hAnsi="Times New Roman" w:cs="Times New Roman"/>
          <w:color w:val="000000" w:themeColor="text1"/>
          <w:sz w:val="24"/>
          <w:szCs w:val="24"/>
        </w:rPr>
        <w:t>investment (</w:t>
      </w:r>
      <w:r w:rsidR="00BB5186" w:rsidRPr="0060772A">
        <w:rPr>
          <w:rFonts w:ascii="Times New Roman" w:hAnsi="Times New Roman" w:cs="Times New Roman"/>
          <w:color w:val="000000" w:themeColor="text1"/>
          <w:sz w:val="24"/>
          <w:szCs w:val="24"/>
        </w:rPr>
        <w:t xml:space="preserve">both domestic and foreign investment) as well as </w:t>
      </w:r>
      <w:r w:rsidR="00786363" w:rsidRPr="0060772A">
        <w:rPr>
          <w:rFonts w:ascii="Times New Roman" w:hAnsi="Times New Roman" w:cs="Times New Roman"/>
          <w:color w:val="000000" w:themeColor="text1"/>
          <w:sz w:val="24"/>
          <w:szCs w:val="24"/>
        </w:rPr>
        <w:t>innovation (</w:t>
      </w:r>
      <w:r w:rsidR="00BB5186" w:rsidRPr="0060772A">
        <w:rPr>
          <w:rFonts w:ascii="Times New Roman" w:hAnsi="Times New Roman" w:cs="Times New Roman"/>
          <w:color w:val="000000" w:themeColor="text1"/>
          <w:sz w:val="24"/>
          <w:szCs w:val="24"/>
        </w:rPr>
        <w:t>Hawkes and Uger</w:t>
      </w:r>
      <w:r w:rsidR="0096796F" w:rsidRPr="0060772A">
        <w:rPr>
          <w:rFonts w:ascii="Times New Roman" w:hAnsi="Times New Roman" w:cs="Times New Roman"/>
          <w:color w:val="000000" w:themeColor="text1"/>
          <w:sz w:val="24"/>
          <w:szCs w:val="24"/>
        </w:rPr>
        <w:t xml:space="preserve"> </w:t>
      </w:r>
      <w:r w:rsidR="00BB5186" w:rsidRPr="0060772A">
        <w:rPr>
          <w:rFonts w:ascii="Times New Roman" w:hAnsi="Times New Roman" w:cs="Times New Roman"/>
          <w:color w:val="000000" w:themeColor="text1"/>
          <w:sz w:val="24"/>
          <w:szCs w:val="24"/>
        </w:rPr>
        <w:t>2012).</w:t>
      </w:r>
      <w:r w:rsidR="00786363" w:rsidRPr="0060772A">
        <w:rPr>
          <w:rFonts w:ascii="Times New Roman" w:hAnsi="Times New Roman" w:cs="Times New Roman"/>
          <w:color w:val="000000" w:themeColor="text1"/>
          <w:sz w:val="24"/>
          <w:szCs w:val="24"/>
        </w:rPr>
        <w:t xml:space="preserve"> Importantly education contributes to the economy facilitating shift of </w:t>
      </w:r>
      <w:r w:rsidR="006E2C5E">
        <w:rPr>
          <w:rFonts w:ascii="Times New Roman" w:hAnsi="Times New Roman" w:cs="Times New Roman"/>
          <w:color w:val="000000" w:themeColor="text1"/>
          <w:sz w:val="24"/>
          <w:szCs w:val="24"/>
        </w:rPr>
        <w:t>labour</w:t>
      </w:r>
      <w:r w:rsidR="00786363" w:rsidRPr="0060772A">
        <w:rPr>
          <w:rFonts w:ascii="Times New Roman" w:hAnsi="Times New Roman" w:cs="Times New Roman"/>
          <w:color w:val="000000" w:themeColor="text1"/>
          <w:sz w:val="24"/>
          <w:szCs w:val="24"/>
        </w:rPr>
        <w:t xml:space="preserve"> from low productive sectors to high productive sectors. </w:t>
      </w:r>
    </w:p>
    <w:p w14:paraId="742BD497" w14:textId="5A494650" w:rsidR="00874F37" w:rsidRDefault="00786363" w:rsidP="00C07832">
      <w:pPr>
        <w:autoSpaceDE w:val="0"/>
        <w:autoSpaceDN w:val="0"/>
        <w:adjustRightInd w:val="0"/>
        <w:spacing w:after="0" w:line="276" w:lineRule="auto"/>
        <w:ind w:firstLine="720"/>
        <w:jc w:val="both"/>
        <w:rPr>
          <w:rFonts w:ascii="Times New Roman" w:hAnsi="Times New Roman" w:cs="Times New Roman"/>
          <w:sz w:val="24"/>
          <w:szCs w:val="24"/>
        </w:rPr>
      </w:pPr>
      <w:r w:rsidRPr="0060772A">
        <w:rPr>
          <w:rFonts w:ascii="Times New Roman" w:hAnsi="Times New Roman" w:cs="Times New Roman"/>
          <w:color w:val="000000" w:themeColor="text1"/>
          <w:sz w:val="24"/>
          <w:szCs w:val="24"/>
        </w:rPr>
        <w:lastRenderedPageBreak/>
        <w:t>The</w:t>
      </w:r>
      <w:r w:rsidR="004077E6" w:rsidRPr="0060772A">
        <w:rPr>
          <w:rFonts w:ascii="Times New Roman" w:hAnsi="Times New Roman" w:cs="Times New Roman"/>
          <w:color w:val="000000" w:themeColor="text1"/>
          <w:sz w:val="24"/>
          <w:szCs w:val="24"/>
        </w:rPr>
        <w:t xml:space="preserve"> </w:t>
      </w:r>
      <w:r w:rsidRPr="0060772A">
        <w:rPr>
          <w:rFonts w:ascii="Times New Roman" w:hAnsi="Times New Roman" w:cs="Times New Roman"/>
          <w:color w:val="000000" w:themeColor="text1"/>
          <w:sz w:val="24"/>
          <w:szCs w:val="24"/>
        </w:rPr>
        <w:t xml:space="preserve"> link between education and productivity is </w:t>
      </w:r>
      <w:r w:rsidR="00FB0A04" w:rsidRPr="0060772A">
        <w:rPr>
          <w:rFonts w:ascii="Times New Roman" w:hAnsi="Times New Roman" w:cs="Times New Roman"/>
          <w:color w:val="000000" w:themeColor="text1"/>
          <w:sz w:val="24"/>
          <w:szCs w:val="24"/>
        </w:rPr>
        <w:t xml:space="preserve">usually </w:t>
      </w:r>
      <w:r w:rsidRPr="0060772A">
        <w:rPr>
          <w:rFonts w:ascii="Times New Roman" w:hAnsi="Times New Roman" w:cs="Times New Roman"/>
          <w:color w:val="000000" w:themeColor="text1"/>
          <w:sz w:val="24"/>
          <w:szCs w:val="24"/>
        </w:rPr>
        <w:t>investigated by looking at the rate of return to education</w:t>
      </w:r>
      <w:r w:rsidR="004077E6" w:rsidRPr="0060772A">
        <w:rPr>
          <w:rFonts w:ascii="Times New Roman" w:hAnsi="Times New Roman" w:cs="Times New Roman"/>
          <w:color w:val="000000" w:themeColor="text1"/>
          <w:sz w:val="24"/>
          <w:szCs w:val="24"/>
        </w:rPr>
        <w:t xml:space="preserve">, which </w:t>
      </w:r>
      <w:r w:rsidR="007860F0" w:rsidRPr="0060772A">
        <w:rPr>
          <w:rFonts w:ascii="Times New Roman" w:hAnsi="Times New Roman" w:cs="Times New Roman"/>
          <w:color w:val="000000" w:themeColor="text1"/>
          <w:sz w:val="24"/>
          <w:szCs w:val="24"/>
        </w:rPr>
        <w:t>is</w:t>
      </w:r>
      <w:r w:rsidR="004077E6" w:rsidRPr="0060772A">
        <w:rPr>
          <w:rFonts w:ascii="Times New Roman" w:hAnsi="Times New Roman" w:cs="Times New Roman"/>
          <w:color w:val="000000" w:themeColor="text1"/>
          <w:sz w:val="24"/>
          <w:szCs w:val="24"/>
        </w:rPr>
        <w:t xml:space="preserve"> estimated by assuming </w:t>
      </w:r>
      <w:r w:rsidR="00E8091A" w:rsidRPr="0060772A">
        <w:rPr>
          <w:rFonts w:ascii="Times New Roman" w:hAnsi="Times New Roman" w:cs="Times New Roman"/>
          <w:color w:val="000000" w:themeColor="text1"/>
          <w:sz w:val="24"/>
          <w:szCs w:val="24"/>
        </w:rPr>
        <w:t xml:space="preserve"> </w:t>
      </w:r>
      <w:r w:rsidR="0094137E" w:rsidRPr="0060772A">
        <w:rPr>
          <w:rFonts w:ascii="Times New Roman" w:hAnsi="Times New Roman" w:cs="Times New Roman"/>
          <w:color w:val="000000" w:themeColor="text1"/>
          <w:sz w:val="24"/>
          <w:szCs w:val="24"/>
        </w:rPr>
        <w:t xml:space="preserve">that </w:t>
      </w:r>
      <w:r w:rsidR="00E8091A" w:rsidRPr="0060772A">
        <w:rPr>
          <w:rFonts w:ascii="Times New Roman" w:hAnsi="Times New Roman" w:cs="Times New Roman"/>
          <w:color w:val="000000" w:themeColor="text1"/>
          <w:sz w:val="24"/>
          <w:szCs w:val="24"/>
        </w:rPr>
        <w:t>wage</w:t>
      </w:r>
      <w:r w:rsidR="0094137E" w:rsidRPr="0060772A">
        <w:rPr>
          <w:rFonts w:ascii="Times New Roman" w:hAnsi="Times New Roman" w:cs="Times New Roman"/>
          <w:color w:val="000000" w:themeColor="text1"/>
          <w:sz w:val="24"/>
          <w:szCs w:val="24"/>
        </w:rPr>
        <w:t xml:space="preserve"> (or earning)</w:t>
      </w:r>
      <w:r w:rsidR="00E8091A" w:rsidRPr="0060772A">
        <w:rPr>
          <w:rFonts w:ascii="Times New Roman" w:hAnsi="Times New Roman" w:cs="Times New Roman"/>
          <w:color w:val="000000" w:themeColor="text1"/>
          <w:sz w:val="24"/>
          <w:szCs w:val="24"/>
        </w:rPr>
        <w:t xml:space="preserve"> </w:t>
      </w:r>
      <w:r w:rsidR="0094137E" w:rsidRPr="0060772A">
        <w:rPr>
          <w:rFonts w:ascii="Times New Roman" w:hAnsi="Times New Roman" w:cs="Times New Roman"/>
          <w:color w:val="000000" w:themeColor="text1"/>
          <w:sz w:val="24"/>
          <w:szCs w:val="24"/>
        </w:rPr>
        <w:t>is</w:t>
      </w:r>
      <w:r w:rsidR="00E8091A" w:rsidRPr="0060772A">
        <w:rPr>
          <w:rFonts w:ascii="Times New Roman" w:hAnsi="Times New Roman" w:cs="Times New Roman"/>
          <w:color w:val="000000" w:themeColor="text1"/>
          <w:sz w:val="24"/>
          <w:szCs w:val="24"/>
        </w:rPr>
        <w:t xml:space="preserve"> a</w:t>
      </w:r>
      <w:r w:rsidR="0094137E" w:rsidRPr="0060772A">
        <w:rPr>
          <w:rFonts w:ascii="Times New Roman" w:hAnsi="Times New Roman" w:cs="Times New Roman"/>
          <w:color w:val="000000" w:themeColor="text1"/>
          <w:sz w:val="24"/>
          <w:szCs w:val="24"/>
        </w:rPr>
        <w:t xml:space="preserve"> function of years of schooling</w:t>
      </w:r>
      <w:r w:rsidR="00E8091A" w:rsidRPr="0060772A">
        <w:rPr>
          <w:rFonts w:ascii="Times New Roman" w:hAnsi="Times New Roman" w:cs="Times New Roman"/>
          <w:color w:val="000000" w:themeColor="text1"/>
          <w:sz w:val="24"/>
          <w:szCs w:val="24"/>
        </w:rPr>
        <w:t xml:space="preserve">, </w:t>
      </w:r>
      <w:r w:rsidR="004077E6" w:rsidRPr="0060772A">
        <w:rPr>
          <w:rFonts w:ascii="Times New Roman" w:hAnsi="Times New Roman" w:cs="Times New Roman"/>
          <w:color w:val="000000" w:themeColor="text1"/>
          <w:sz w:val="24"/>
          <w:szCs w:val="24"/>
        </w:rPr>
        <w:t>controlling for other characteristics of an individual such as age, gender, e</w:t>
      </w:r>
      <w:r w:rsidR="00E8091A" w:rsidRPr="0060772A">
        <w:rPr>
          <w:rFonts w:ascii="Times New Roman" w:hAnsi="Times New Roman" w:cs="Times New Roman"/>
          <w:color w:val="000000" w:themeColor="text1"/>
          <w:sz w:val="24"/>
          <w:szCs w:val="24"/>
        </w:rPr>
        <w:t>xperie</w:t>
      </w:r>
      <w:r w:rsidR="004077E6" w:rsidRPr="0060772A">
        <w:rPr>
          <w:rFonts w:ascii="Times New Roman" w:hAnsi="Times New Roman" w:cs="Times New Roman"/>
          <w:color w:val="000000" w:themeColor="text1"/>
          <w:sz w:val="24"/>
          <w:szCs w:val="24"/>
        </w:rPr>
        <w:t xml:space="preserve">nce and ability (see Mincer 1974). The hypothesized relationship, in such earning equation, between income and education level is positive implying that educated </w:t>
      </w:r>
      <w:r w:rsidR="00034BF4" w:rsidRPr="0060772A">
        <w:rPr>
          <w:rFonts w:ascii="Times New Roman" w:hAnsi="Times New Roman" w:cs="Times New Roman"/>
          <w:color w:val="000000" w:themeColor="text1"/>
          <w:sz w:val="24"/>
          <w:szCs w:val="24"/>
        </w:rPr>
        <w:t xml:space="preserve">workers </w:t>
      </w:r>
      <w:r w:rsidR="004077E6" w:rsidRPr="0060772A">
        <w:rPr>
          <w:rFonts w:ascii="Times New Roman" w:hAnsi="Times New Roman" w:cs="Times New Roman"/>
          <w:color w:val="000000" w:themeColor="text1"/>
          <w:sz w:val="24"/>
          <w:szCs w:val="24"/>
        </w:rPr>
        <w:t xml:space="preserve">have higher marginal revenue of product of labour as they are more productive. </w:t>
      </w:r>
      <w:r w:rsidR="00584090" w:rsidRPr="0060772A">
        <w:rPr>
          <w:rFonts w:ascii="Times New Roman" w:hAnsi="Times New Roman" w:cs="Times New Roman"/>
          <w:color w:val="000000" w:themeColor="text1"/>
          <w:sz w:val="24"/>
          <w:szCs w:val="24"/>
        </w:rPr>
        <w:t xml:space="preserve">Private rate of return to education can be estimated by regressing an individual’s income on the level of education.  </w:t>
      </w:r>
      <w:r w:rsidR="004077E6" w:rsidRPr="0060772A">
        <w:rPr>
          <w:rFonts w:ascii="Times New Roman" w:hAnsi="Times New Roman" w:cs="Times New Roman"/>
          <w:color w:val="000000" w:themeColor="text1"/>
          <w:sz w:val="24"/>
          <w:szCs w:val="24"/>
        </w:rPr>
        <w:t>The same hypothesis is postulated at the macro level</w:t>
      </w:r>
      <w:r w:rsidR="00034BF4" w:rsidRPr="0060772A">
        <w:rPr>
          <w:rFonts w:ascii="Times New Roman" w:hAnsi="Times New Roman" w:cs="Times New Roman"/>
          <w:color w:val="000000" w:themeColor="text1"/>
          <w:sz w:val="24"/>
          <w:szCs w:val="24"/>
        </w:rPr>
        <w:t xml:space="preserve">, whereby growth accounting framework is applied to discern the contribution of education (quality of </w:t>
      </w:r>
      <w:r w:rsidR="006E2C5E">
        <w:rPr>
          <w:rFonts w:ascii="Times New Roman" w:hAnsi="Times New Roman" w:cs="Times New Roman"/>
          <w:color w:val="000000" w:themeColor="text1"/>
          <w:sz w:val="24"/>
          <w:szCs w:val="24"/>
        </w:rPr>
        <w:t>labour</w:t>
      </w:r>
      <w:r w:rsidR="00034BF4" w:rsidRPr="0060772A">
        <w:rPr>
          <w:rFonts w:ascii="Times New Roman" w:hAnsi="Times New Roman" w:cs="Times New Roman"/>
          <w:color w:val="000000" w:themeColor="text1"/>
          <w:sz w:val="24"/>
          <w:szCs w:val="24"/>
        </w:rPr>
        <w:t xml:space="preserve">) as an input </w:t>
      </w:r>
      <w:r w:rsidR="00231D7A" w:rsidRPr="0060772A">
        <w:rPr>
          <w:rFonts w:ascii="Times New Roman" w:hAnsi="Times New Roman" w:cs="Times New Roman"/>
          <w:color w:val="000000" w:themeColor="text1"/>
          <w:sz w:val="24"/>
          <w:szCs w:val="24"/>
        </w:rPr>
        <w:t xml:space="preserve">on growth of output </w:t>
      </w:r>
      <w:r w:rsidR="007860F0" w:rsidRPr="0060772A">
        <w:rPr>
          <w:rFonts w:ascii="Times New Roman" w:hAnsi="Times New Roman" w:cs="Times New Roman"/>
          <w:color w:val="000000" w:themeColor="text1"/>
          <w:sz w:val="24"/>
          <w:szCs w:val="24"/>
        </w:rPr>
        <w:t xml:space="preserve">as well as </w:t>
      </w:r>
      <w:r w:rsidR="00034BF4" w:rsidRPr="0060772A">
        <w:rPr>
          <w:rFonts w:ascii="Times New Roman" w:hAnsi="Times New Roman" w:cs="Times New Roman"/>
          <w:color w:val="000000" w:themeColor="text1"/>
          <w:sz w:val="24"/>
          <w:szCs w:val="24"/>
        </w:rPr>
        <w:t xml:space="preserve">use of cross country growth regressions are made to </w:t>
      </w:r>
      <w:r w:rsidR="00536F23" w:rsidRPr="0060772A">
        <w:rPr>
          <w:rFonts w:ascii="Times New Roman" w:hAnsi="Times New Roman" w:cs="Times New Roman"/>
          <w:color w:val="000000" w:themeColor="text1"/>
          <w:sz w:val="24"/>
          <w:szCs w:val="24"/>
        </w:rPr>
        <w:t>estimate the</w:t>
      </w:r>
      <w:r w:rsidR="00231D7A" w:rsidRPr="0060772A">
        <w:rPr>
          <w:rFonts w:ascii="Times New Roman" w:hAnsi="Times New Roman" w:cs="Times New Roman"/>
          <w:color w:val="000000" w:themeColor="text1"/>
          <w:sz w:val="24"/>
          <w:szCs w:val="24"/>
        </w:rPr>
        <w:t xml:space="preserve"> relations</w:t>
      </w:r>
      <w:r w:rsidR="00286841" w:rsidRPr="0060772A">
        <w:rPr>
          <w:rFonts w:ascii="Times New Roman" w:hAnsi="Times New Roman" w:cs="Times New Roman"/>
          <w:color w:val="000000" w:themeColor="text1"/>
          <w:sz w:val="24"/>
          <w:szCs w:val="24"/>
        </w:rPr>
        <w:t xml:space="preserve">hip between education and </w:t>
      </w:r>
      <w:r w:rsidR="00536F23" w:rsidRPr="0060772A">
        <w:rPr>
          <w:rFonts w:ascii="Times New Roman" w:hAnsi="Times New Roman" w:cs="Times New Roman"/>
          <w:color w:val="000000" w:themeColor="text1"/>
          <w:sz w:val="24"/>
          <w:szCs w:val="24"/>
        </w:rPr>
        <w:t>growth (see</w:t>
      </w:r>
      <w:r w:rsidR="00286841" w:rsidRPr="0060772A">
        <w:rPr>
          <w:rFonts w:ascii="Times New Roman" w:hAnsi="Times New Roman" w:cs="Times New Roman"/>
          <w:color w:val="000000" w:themeColor="text1"/>
          <w:sz w:val="24"/>
          <w:szCs w:val="24"/>
        </w:rPr>
        <w:t xml:space="preserve"> Stevens and Weale 2003</w:t>
      </w:r>
      <w:r w:rsidR="00536F23" w:rsidRPr="0060772A">
        <w:rPr>
          <w:rFonts w:ascii="Times New Roman" w:hAnsi="Times New Roman" w:cs="Times New Roman"/>
          <w:color w:val="000000" w:themeColor="text1"/>
          <w:sz w:val="24"/>
          <w:szCs w:val="24"/>
        </w:rPr>
        <w:t>)</w:t>
      </w:r>
      <w:r w:rsidR="00584090" w:rsidRPr="0060772A">
        <w:rPr>
          <w:rFonts w:ascii="Times New Roman" w:hAnsi="Times New Roman" w:cs="Times New Roman"/>
          <w:color w:val="000000" w:themeColor="text1"/>
          <w:sz w:val="24"/>
          <w:szCs w:val="24"/>
        </w:rPr>
        <w:t>.</w:t>
      </w:r>
      <w:r w:rsidR="00536F23" w:rsidRPr="0060772A">
        <w:rPr>
          <w:rFonts w:ascii="Times New Roman" w:hAnsi="Times New Roman" w:cs="Times New Roman"/>
          <w:color w:val="000000" w:themeColor="text1"/>
          <w:sz w:val="24"/>
          <w:szCs w:val="24"/>
        </w:rPr>
        <w:t xml:space="preserve"> </w:t>
      </w:r>
      <w:r w:rsidR="001D55E9" w:rsidRPr="0060772A">
        <w:rPr>
          <w:rFonts w:ascii="Times New Roman" w:hAnsi="Times New Roman" w:cs="Times New Roman"/>
          <w:color w:val="000000" w:themeColor="text1"/>
          <w:sz w:val="24"/>
          <w:szCs w:val="24"/>
        </w:rPr>
        <w:t xml:space="preserve">Early </w:t>
      </w:r>
      <w:r w:rsidR="00472AB3" w:rsidRPr="0060772A">
        <w:rPr>
          <w:rFonts w:ascii="Times New Roman" w:hAnsi="Times New Roman" w:cs="Times New Roman"/>
          <w:color w:val="000000" w:themeColor="text1"/>
          <w:sz w:val="24"/>
          <w:szCs w:val="24"/>
        </w:rPr>
        <w:t>literatures suggest that low income countries could harness more return from education. Interestingly</w:t>
      </w:r>
      <w:r w:rsidR="001060F5" w:rsidRPr="0060772A">
        <w:rPr>
          <w:rFonts w:ascii="Times New Roman" w:hAnsi="Times New Roman" w:cs="Times New Roman"/>
          <w:color w:val="000000" w:themeColor="text1"/>
          <w:sz w:val="24"/>
          <w:szCs w:val="24"/>
        </w:rPr>
        <w:t>,</w:t>
      </w:r>
      <w:r w:rsidR="00472AB3" w:rsidRPr="0060772A">
        <w:rPr>
          <w:rFonts w:ascii="Times New Roman" w:hAnsi="Times New Roman" w:cs="Times New Roman"/>
          <w:color w:val="000000" w:themeColor="text1"/>
          <w:sz w:val="24"/>
          <w:szCs w:val="24"/>
        </w:rPr>
        <w:t xml:space="preserve"> the rate of return on education is shown higher for primary education </w:t>
      </w:r>
      <w:r w:rsidR="000225F8" w:rsidRPr="0060772A">
        <w:rPr>
          <w:rFonts w:ascii="Times New Roman" w:hAnsi="Times New Roman" w:cs="Times New Roman"/>
          <w:color w:val="000000" w:themeColor="text1"/>
          <w:sz w:val="24"/>
          <w:szCs w:val="24"/>
        </w:rPr>
        <w:t xml:space="preserve">compared to other schooling </w:t>
      </w:r>
      <w:r w:rsidR="00286841" w:rsidRPr="0060772A">
        <w:rPr>
          <w:rFonts w:ascii="Times New Roman" w:hAnsi="Times New Roman" w:cs="Times New Roman"/>
          <w:color w:val="000000" w:themeColor="text1"/>
          <w:sz w:val="24"/>
          <w:szCs w:val="24"/>
        </w:rPr>
        <w:t>levels</w:t>
      </w:r>
      <w:r w:rsidR="001060F5" w:rsidRPr="0060772A">
        <w:rPr>
          <w:rFonts w:ascii="Times New Roman" w:hAnsi="Times New Roman" w:cs="Times New Roman"/>
          <w:color w:val="000000" w:themeColor="text1"/>
          <w:sz w:val="24"/>
          <w:szCs w:val="24"/>
        </w:rPr>
        <w:t xml:space="preserve"> in case of developing countries</w:t>
      </w:r>
      <w:r w:rsidR="00286841" w:rsidRPr="0060772A">
        <w:rPr>
          <w:rFonts w:ascii="Times New Roman" w:hAnsi="Times New Roman" w:cs="Times New Roman"/>
          <w:color w:val="000000" w:themeColor="text1"/>
          <w:sz w:val="24"/>
          <w:szCs w:val="24"/>
        </w:rPr>
        <w:t xml:space="preserve"> (</w:t>
      </w:r>
      <w:r w:rsidR="007578A3" w:rsidRPr="0060772A">
        <w:rPr>
          <w:rFonts w:ascii="Times New Roman" w:hAnsi="Times New Roman" w:cs="Times New Roman"/>
          <w:color w:val="000000" w:themeColor="text1"/>
          <w:sz w:val="24"/>
          <w:szCs w:val="24"/>
        </w:rPr>
        <w:t>Islam 2015</w:t>
      </w:r>
      <w:r w:rsidR="001D55E9" w:rsidRPr="0060772A">
        <w:rPr>
          <w:rFonts w:ascii="Times New Roman" w:hAnsi="Times New Roman" w:cs="Times New Roman"/>
          <w:color w:val="000000" w:themeColor="text1"/>
          <w:sz w:val="24"/>
          <w:szCs w:val="24"/>
        </w:rPr>
        <w:t xml:space="preserve">). </w:t>
      </w:r>
      <w:r w:rsidR="002A0ADC" w:rsidRPr="0060772A">
        <w:rPr>
          <w:rFonts w:ascii="Times New Roman" w:hAnsi="Times New Roman" w:cs="Times New Roman"/>
          <w:color w:val="000000" w:themeColor="text1"/>
          <w:sz w:val="24"/>
          <w:szCs w:val="24"/>
        </w:rPr>
        <w:t xml:space="preserve">For example, the republic of Korea achieved the goal of universal primary education in 1960 and the country benefited from the workers having basic education in its early phase of industrialization (Tzannatos and Geraint, 1997). </w:t>
      </w:r>
      <w:r w:rsidR="00472AB3" w:rsidRPr="0060772A">
        <w:rPr>
          <w:rFonts w:ascii="Times New Roman" w:hAnsi="Times New Roman" w:cs="Times New Roman"/>
          <w:color w:val="000000" w:themeColor="text1"/>
          <w:sz w:val="24"/>
          <w:szCs w:val="24"/>
        </w:rPr>
        <w:t xml:space="preserve"> </w:t>
      </w:r>
      <w:r w:rsidR="001D55E9" w:rsidRPr="0060772A">
        <w:rPr>
          <w:rFonts w:ascii="Times New Roman" w:hAnsi="Times New Roman" w:cs="Times New Roman"/>
          <w:color w:val="000000" w:themeColor="text1"/>
          <w:sz w:val="24"/>
          <w:szCs w:val="24"/>
        </w:rPr>
        <w:t xml:space="preserve">However, later studies shown that private rate of return on higher education </w:t>
      </w:r>
      <w:r w:rsidR="007578A3" w:rsidRPr="0060772A">
        <w:rPr>
          <w:rFonts w:ascii="Times New Roman" w:hAnsi="Times New Roman" w:cs="Times New Roman"/>
          <w:color w:val="000000" w:themeColor="text1"/>
          <w:sz w:val="24"/>
          <w:szCs w:val="24"/>
        </w:rPr>
        <w:t xml:space="preserve">as well as that of secondary education </w:t>
      </w:r>
      <w:r w:rsidR="001D55E9" w:rsidRPr="0060772A">
        <w:rPr>
          <w:rFonts w:ascii="Times New Roman" w:hAnsi="Times New Roman" w:cs="Times New Roman"/>
          <w:color w:val="000000" w:themeColor="text1"/>
          <w:sz w:val="24"/>
          <w:szCs w:val="24"/>
        </w:rPr>
        <w:t xml:space="preserve">was higher compared to </w:t>
      </w:r>
      <w:r w:rsidR="007578A3" w:rsidRPr="0060772A">
        <w:rPr>
          <w:rFonts w:ascii="Times New Roman" w:hAnsi="Times New Roman" w:cs="Times New Roman"/>
          <w:color w:val="000000" w:themeColor="text1"/>
          <w:sz w:val="24"/>
          <w:szCs w:val="24"/>
        </w:rPr>
        <w:t>rate of return on investment in higher education</w:t>
      </w:r>
      <w:r w:rsidR="001D55E9" w:rsidRPr="0060772A">
        <w:rPr>
          <w:rFonts w:ascii="Times New Roman" w:hAnsi="Times New Roman" w:cs="Times New Roman"/>
          <w:color w:val="000000" w:themeColor="text1"/>
          <w:sz w:val="24"/>
          <w:szCs w:val="24"/>
        </w:rPr>
        <w:t xml:space="preserve"> primary education in many developing countries including India and South Africa. </w:t>
      </w:r>
      <w:r w:rsidR="00890BB7" w:rsidRPr="0060772A">
        <w:rPr>
          <w:rFonts w:ascii="Times New Roman" w:hAnsi="Times New Roman" w:cs="Times New Roman"/>
          <w:color w:val="000000" w:themeColor="text1"/>
          <w:sz w:val="24"/>
          <w:szCs w:val="24"/>
        </w:rPr>
        <w:t xml:space="preserve">Barro and Lee (1994) show that rate of secondary school enrolment is positively related with rate of growth. Importantly, education and skill development played crucial role in case of high economic growth achieved by the East Asian countries. </w:t>
      </w:r>
      <w:r w:rsidR="00874F37">
        <w:rPr>
          <w:rFonts w:ascii="Times New Roman" w:hAnsi="Times New Roman" w:cs="Times New Roman"/>
          <w:sz w:val="24"/>
          <w:szCs w:val="24"/>
        </w:rPr>
        <w:t>For example, education has been behind Vietnam’s development success. The country’s committed effort to enhance access to primary education as well as enhancing quality made it to have well-educated workforce. Recent studies show that the literacy and numeracy of its adult workforce is comparable to developed countries</w:t>
      </w:r>
      <w:r w:rsidR="00B62AF8">
        <w:rPr>
          <w:rFonts w:ascii="Times New Roman" w:hAnsi="Times New Roman" w:cs="Times New Roman"/>
          <w:sz w:val="24"/>
          <w:szCs w:val="24"/>
        </w:rPr>
        <w:t xml:space="preserve"> </w:t>
      </w:r>
      <w:r w:rsidR="00874F37">
        <w:rPr>
          <w:rFonts w:ascii="Times New Roman" w:hAnsi="Times New Roman" w:cs="Times New Roman"/>
          <w:sz w:val="24"/>
          <w:szCs w:val="24"/>
        </w:rPr>
        <w:t>(VDR 2014).</w:t>
      </w:r>
      <w:r w:rsidR="002A0ADC">
        <w:rPr>
          <w:rFonts w:ascii="Times New Roman" w:hAnsi="Times New Roman" w:cs="Times New Roman"/>
          <w:sz w:val="24"/>
          <w:szCs w:val="24"/>
        </w:rPr>
        <w:t xml:space="preserve"> Also, Korea drew global attention for its high growth over many decades making its transformation </w:t>
      </w:r>
      <w:r w:rsidR="00930BAF">
        <w:rPr>
          <w:rFonts w:ascii="Times New Roman" w:hAnsi="Times New Roman" w:cs="Times New Roman"/>
          <w:sz w:val="24"/>
          <w:szCs w:val="24"/>
        </w:rPr>
        <w:t>from a poor country to a developed one, a success story that is widely attributed to its focus on education from the early years. Korea gradually improved its education system making it responsive to econom</w:t>
      </w:r>
      <w:r w:rsidR="006760C4">
        <w:rPr>
          <w:rFonts w:ascii="Times New Roman" w:hAnsi="Times New Roman" w:cs="Times New Roman"/>
          <w:sz w:val="24"/>
          <w:szCs w:val="24"/>
        </w:rPr>
        <w:t xml:space="preserve">ic development and the average </w:t>
      </w:r>
      <w:r w:rsidR="00930BAF">
        <w:rPr>
          <w:rFonts w:ascii="Times New Roman" w:hAnsi="Times New Roman" w:cs="Times New Roman"/>
          <w:sz w:val="24"/>
          <w:szCs w:val="24"/>
        </w:rPr>
        <w:t>y</w:t>
      </w:r>
      <w:r w:rsidR="006760C4">
        <w:rPr>
          <w:rFonts w:ascii="Times New Roman" w:hAnsi="Times New Roman" w:cs="Times New Roman"/>
          <w:sz w:val="24"/>
          <w:szCs w:val="24"/>
        </w:rPr>
        <w:t>e</w:t>
      </w:r>
      <w:r w:rsidR="00930BAF">
        <w:rPr>
          <w:rFonts w:ascii="Times New Roman" w:hAnsi="Times New Roman" w:cs="Times New Roman"/>
          <w:sz w:val="24"/>
          <w:szCs w:val="24"/>
        </w:rPr>
        <w:t>ars of schooling in Korea increased from 5.7 ye</w:t>
      </w:r>
      <w:r w:rsidR="00C07832">
        <w:rPr>
          <w:rFonts w:ascii="Times New Roman" w:hAnsi="Times New Roman" w:cs="Times New Roman"/>
          <w:sz w:val="24"/>
          <w:szCs w:val="24"/>
        </w:rPr>
        <w:t>a</w:t>
      </w:r>
      <w:r w:rsidR="006760C4">
        <w:rPr>
          <w:rFonts w:ascii="Times New Roman" w:hAnsi="Times New Roman" w:cs="Times New Roman"/>
          <w:sz w:val="24"/>
          <w:szCs w:val="24"/>
        </w:rPr>
        <w:t xml:space="preserve">rs in 1970 to 9.5 years in 1991 and 10.6 </w:t>
      </w:r>
      <w:r w:rsidR="00930BAF">
        <w:rPr>
          <w:rFonts w:ascii="Times New Roman" w:hAnsi="Times New Roman" w:cs="Times New Roman"/>
          <w:sz w:val="24"/>
          <w:szCs w:val="24"/>
        </w:rPr>
        <w:t xml:space="preserve">years in 2001, commensurate with its economic progress during which time high school graduates entering higher education has increased from 26.9 </w:t>
      </w:r>
      <w:r w:rsidR="006760C4">
        <w:rPr>
          <w:rFonts w:ascii="Times New Roman" w:hAnsi="Times New Roman" w:cs="Times New Roman"/>
          <w:sz w:val="24"/>
          <w:szCs w:val="24"/>
        </w:rPr>
        <w:t xml:space="preserve">percent in 1970to 33.2 percent </w:t>
      </w:r>
      <w:r w:rsidR="00930BAF">
        <w:rPr>
          <w:rFonts w:ascii="Times New Roman" w:hAnsi="Times New Roman" w:cs="Times New Roman"/>
          <w:sz w:val="24"/>
          <w:szCs w:val="24"/>
        </w:rPr>
        <w:t>in</w:t>
      </w:r>
      <w:r w:rsidR="006760C4">
        <w:rPr>
          <w:rFonts w:ascii="Times New Roman" w:hAnsi="Times New Roman" w:cs="Times New Roman"/>
          <w:sz w:val="24"/>
          <w:szCs w:val="24"/>
        </w:rPr>
        <w:t xml:space="preserve"> 1991 and 70.5 percent in 2001(</w:t>
      </w:r>
      <w:r w:rsidR="00930BAF">
        <w:rPr>
          <w:rFonts w:ascii="Times New Roman" w:hAnsi="Times New Roman" w:cs="Times New Roman"/>
          <w:sz w:val="24"/>
          <w:szCs w:val="24"/>
        </w:rPr>
        <w:t>Song 2003).</w:t>
      </w:r>
      <w:r w:rsidR="00E1644B">
        <w:rPr>
          <w:rFonts w:ascii="Times New Roman" w:hAnsi="Times New Roman" w:cs="Times New Roman"/>
          <w:sz w:val="24"/>
          <w:szCs w:val="24"/>
        </w:rPr>
        <w:t xml:space="preserve"> Recent evidence </w:t>
      </w:r>
      <w:r w:rsidR="00E1644B" w:rsidRPr="0060772A">
        <w:rPr>
          <w:rFonts w:ascii="Times New Roman" w:hAnsi="Times New Roman" w:cs="Times New Roman"/>
          <w:sz w:val="24"/>
          <w:szCs w:val="24"/>
        </w:rPr>
        <w:t>have shown higher return</w:t>
      </w:r>
      <w:r w:rsidR="00E1644B">
        <w:rPr>
          <w:rFonts w:ascii="Times New Roman" w:hAnsi="Times New Roman" w:cs="Times New Roman"/>
          <w:sz w:val="24"/>
          <w:szCs w:val="24"/>
        </w:rPr>
        <w:t xml:space="preserve">s, </w:t>
      </w:r>
      <w:r w:rsidR="00E1644B" w:rsidRPr="0060772A">
        <w:rPr>
          <w:rFonts w:ascii="Times New Roman" w:hAnsi="Times New Roman" w:cs="Times New Roman"/>
          <w:sz w:val="24"/>
          <w:szCs w:val="24"/>
        </w:rPr>
        <w:t>in terms of increasing trend of wage</w:t>
      </w:r>
      <w:r w:rsidR="00E1644B">
        <w:rPr>
          <w:rFonts w:ascii="Times New Roman" w:hAnsi="Times New Roman" w:cs="Times New Roman"/>
          <w:sz w:val="24"/>
          <w:szCs w:val="24"/>
        </w:rPr>
        <w:t xml:space="preserve">, </w:t>
      </w:r>
      <w:r w:rsidR="00E1644B" w:rsidRPr="0060772A">
        <w:rPr>
          <w:rFonts w:ascii="Times New Roman" w:hAnsi="Times New Roman" w:cs="Times New Roman"/>
          <w:sz w:val="24"/>
          <w:szCs w:val="24"/>
        </w:rPr>
        <w:t>from tertiary education (Colclough, Kingdon, and Patrinos 2010</w:t>
      </w:r>
      <w:r w:rsidR="00E1644B">
        <w:rPr>
          <w:rFonts w:ascii="Times New Roman" w:hAnsi="Times New Roman" w:cs="Times New Roman"/>
          <w:sz w:val="24"/>
          <w:szCs w:val="24"/>
        </w:rPr>
        <w:t>; Montenegro and Patrinos 2014).</w:t>
      </w:r>
    </w:p>
    <w:p w14:paraId="2AEB6F85" w14:textId="2A4E6AE4" w:rsidR="00930BAF" w:rsidRPr="0060772A" w:rsidRDefault="00C07832" w:rsidP="00C07832">
      <w:pPr>
        <w:spacing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case of Bangladesh, </w:t>
      </w:r>
      <w:r w:rsidR="00930BAF" w:rsidRPr="0060772A">
        <w:rPr>
          <w:rFonts w:ascii="Times New Roman" w:hAnsi="Times New Roman" w:cs="Times New Roman"/>
          <w:sz w:val="24"/>
          <w:szCs w:val="24"/>
        </w:rPr>
        <w:t xml:space="preserve">Sen and Rahman (2017) observed that the past growth </w:t>
      </w:r>
      <w:r w:rsidR="00930BAF">
        <w:rPr>
          <w:rFonts w:ascii="Times New Roman" w:hAnsi="Times New Roman" w:cs="Times New Roman"/>
          <w:sz w:val="24"/>
          <w:szCs w:val="24"/>
        </w:rPr>
        <w:t xml:space="preserve">in </w:t>
      </w:r>
      <w:r w:rsidR="00930BAF" w:rsidRPr="0060772A">
        <w:rPr>
          <w:rFonts w:ascii="Times New Roman" w:hAnsi="Times New Roman" w:cs="Times New Roman"/>
          <w:sz w:val="24"/>
          <w:szCs w:val="24"/>
        </w:rPr>
        <w:t>was largely driven by relatively unskilled labou</w:t>
      </w:r>
      <w:r w:rsidR="00930BAF">
        <w:rPr>
          <w:rFonts w:ascii="Times New Roman" w:hAnsi="Times New Roman" w:cs="Times New Roman"/>
          <w:sz w:val="24"/>
          <w:szCs w:val="24"/>
        </w:rPr>
        <w:t>r</w:t>
      </w:r>
      <w:r w:rsidR="00930BAF" w:rsidRPr="0060772A">
        <w:rPr>
          <w:rFonts w:ascii="Times New Roman" w:hAnsi="Times New Roman" w:cs="Times New Roman"/>
          <w:sz w:val="24"/>
          <w:szCs w:val="24"/>
        </w:rPr>
        <w:t xml:space="preserve"> in the sense that “the earnings of relatively unskilled </w:t>
      </w:r>
      <w:r w:rsidR="006E2C5E">
        <w:rPr>
          <w:rFonts w:ascii="Times New Roman" w:hAnsi="Times New Roman" w:cs="Times New Roman"/>
          <w:sz w:val="24"/>
          <w:szCs w:val="24"/>
        </w:rPr>
        <w:t>labour</w:t>
      </w:r>
      <w:r w:rsidR="00930BAF" w:rsidRPr="0060772A">
        <w:rPr>
          <w:rFonts w:ascii="Times New Roman" w:hAnsi="Times New Roman" w:cs="Times New Roman"/>
          <w:sz w:val="24"/>
          <w:szCs w:val="24"/>
        </w:rPr>
        <w:t xml:space="preserve"> (having no or little education) have surpassed the growth in skilled labour.” Based on the analysis of labour force surveys, they also suggest that relative gains to secondary and tertiary education as opposed to “no education” have diminished between the period 2000 and 2010. As an unintended consequence of higher gains for unskilled workers, the demand for secondary and</w:t>
      </w:r>
      <w:r w:rsidR="00591BC4">
        <w:rPr>
          <w:rFonts w:ascii="Times New Roman" w:hAnsi="Times New Roman" w:cs="Times New Roman"/>
          <w:sz w:val="24"/>
          <w:szCs w:val="24"/>
        </w:rPr>
        <w:t xml:space="preserve"> </w:t>
      </w:r>
      <w:r w:rsidR="00930BAF" w:rsidRPr="0060772A">
        <w:rPr>
          <w:rFonts w:ascii="Times New Roman" w:hAnsi="Times New Roman" w:cs="Times New Roman"/>
          <w:sz w:val="24"/>
          <w:szCs w:val="24"/>
        </w:rPr>
        <w:lastRenderedPageBreak/>
        <w:t xml:space="preserve">higher education did not commensurately rise, as the authors also argue (Sen and Rahman 2017).  Indeed, despite success made in enrolments, average years of schooling in Bangladesh still remains low compared to its neighbouring counties and countries in South East Asia. While average years of schooling in Bangladesh is 5.1, this is 5.8 in India, 10.9 in Sri Lanka and 10.1 in Malaysia and 7.8 in Vietnam. </w:t>
      </w:r>
    </w:p>
    <w:p w14:paraId="6E635CFE" w14:textId="72BA8BAA" w:rsidR="00472AB3" w:rsidRDefault="000407F3" w:rsidP="00C07832">
      <w:pPr>
        <w:spacing w:after="240" w:line="276" w:lineRule="auto"/>
        <w:ind w:firstLine="720"/>
        <w:jc w:val="both"/>
        <w:rPr>
          <w:rFonts w:ascii="Times New Roman" w:hAnsi="Times New Roman" w:cs="Times New Roman"/>
          <w:color w:val="000000" w:themeColor="text1"/>
          <w:sz w:val="24"/>
          <w:szCs w:val="24"/>
        </w:rPr>
      </w:pPr>
      <w:r w:rsidRPr="0060772A">
        <w:rPr>
          <w:rFonts w:ascii="Times New Roman" w:hAnsi="Times New Roman" w:cs="Times New Roman"/>
          <w:color w:val="000000" w:themeColor="text1"/>
          <w:sz w:val="24"/>
          <w:szCs w:val="24"/>
        </w:rPr>
        <w:t>These evidence</w:t>
      </w:r>
      <w:r w:rsidR="00E6712D" w:rsidRPr="0060772A">
        <w:rPr>
          <w:rFonts w:ascii="Times New Roman" w:hAnsi="Times New Roman" w:cs="Times New Roman"/>
          <w:color w:val="000000" w:themeColor="text1"/>
          <w:sz w:val="24"/>
          <w:szCs w:val="24"/>
        </w:rPr>
        <w:t>s</w:t>
      </w:r>
      <w:r w:rsidRPr="0060772A">
        <w:rPr>
          <w:rFonts w:ascii="Times New Roman" w:hAnsi="Times New Roman" w:cs="Times New Roman"/>
          <w:color w:val="000000" w:themeColor="text1"/>
          <w:sz w:val="24"/>
          <w:szCs w:val="24"/>
        </w:rPr>
        <w:t xml:space="preserve"> has important implication</w:t>
      </w:r>
      <w:r w:rsidR="00E6712D" w:rsidRPr="0060772A">
        <w:rPr>
          <w:rFonts w:ascii="Times New Roman" w:hAnsi="Times New Roman" w:cs="Times New Roman"/>
          <w:color w:val="000000" w:themeColor="text1"/>
          <w:sz w:val="24"/>
          <w:szCs w:val="24"/>
        </w:rPr>
        <w:t>s</w:t>
      </w:r>
      <w:r w:rsidRPr="0060772A">
        <w:rPr>
          <w:rFonts w:ascii="Times New Roman" w:hAnsi="Times New Roman" w:cs="Times New Roman"/>
          <w:color w:val="000000" w:themeColor="text1"/>
          <w:sz w:val="24"/>
          <w:szCs w:val="24"/>
        </w:rPr>
        <w:t xml:space="preserve"> for formulating long-term policies for human development</w:t>
      </w:r>
      <w:r w:rsidR="002A0ADC">
        <w:rPr>
          <w:rFonts w:ascii="Times New Roman" w:hAnsi="Times New Roman" w:cs="Times New Roman"/>
          <w:color w:val="000000" w:themeColor="text1"/>
          <w:sz w:val="24"/>
          <w:szCs w:val="24"/>
        </w:rPr>
        <w:t xml:space="preserve"> for </w:t>
      </w:r>
      <w:r w:rsidR="00C07832">
        <w:rPr>
          <w:rFonts w:ascii="Times New Roman" w:hAnsi="Times New Roman" w:cs="Times New Roman"/>
          <w:color w:val="000000" w:themeColor="text1"/>
          <w:sz w:val="24"/>
          <w:szCs w:val="24"/>
        </w:rPr>
        <w:t xml:space="preserve">a </w:t>
      </w:r>
      <w:r w:rsidR="002A0ADC">
        <w:rPr>
          <w:rFonts w:ascii="Times New Roman" w:hAnsi="Times New Roman" w:cs="Times New Roman"/>
          <w:color w:val="000000" w:themeColor="text1"/>
          <w:sz w:val="24"/>
          <w:szCs w:val="24"/>
        </w:rPr>
        <w:t>developing countr</w:t>
      </w:r>
      <w:r w:rsidR="00C07832">
        <w:rPr>
          <w:rFonts w:ascii="Times New Roman" w:hAnsi="Times New Roman" w:cs="Times New Roman"/>
          <w:color w:val="000000" w:themeColor="text1"/>
          <w:sz w:val="24"/>
          <w:szCs w:val="24"/>
        </w:rPr>
        <w:t>y</w:t>
      </w:r>
      <w:r w:rsidR="002A0ADC">
        <w:rPr>
          <w:rFonts w:ascii="Times New Roman" w:hAnsi="Times New Roman" w:cs="Times New Roman"/>
          <w:color w:val="000000" w:themeColor="text1"/>
          <w:sz w:val="24"/>
          <w:szCs w:val="24"/>
        </w:rPr>
        <w:t xml:space="preserve"> like </w:t>
      </w:r>
      <w:r w:rsidR="00930BAF">
        <w:rPr>
          <w:rFonts w:ascii="Times New Roman" w:hAnsi="Times New Roman" w:cs="Times New Roman"/>
          <w:color w:val="000000" w:themeColor="text1"/>
          <w:sz w:val="24"/>
          <w:szCs w:val="24"/>
        </w:rPr>
        <w:t>Bangladesh</w:t>
      </w:r>
      <w:r w:rsidRPr="0060772A">
        <w:rPr>
          <w:rFonts w:ascii="Times New Roman" w:hAnsi="Times New Roman" w:cs="Times New Roman"/>
          <w:color w:val="000000" w:themeColor="text1"/>
          <w:sz w:val="24"/>
          <w:szCs w:val="24"/>
        </w:rPr>
        <w:t xml:space="preserve">, which </w:t>
      </w:r>
      <w:r w:rsidR="004D3D4C">
        <w:rPr>
          <w:rFonts w:ascii="Times New Roman" w:hAnsi="Times New Roman" w:cs="Times New Roman"/>
          <w:color w:val="000000" w:themeColor="text1"/>
          <w:sz w:val="24"/>
          <w:szCs w:val="24"/>
        </w:rPr>
        <w:t>also</w:t>
      </w:r>
      <w:r w:rsidRPr="0060772A">
        <w:rPr>
          <w:rFonts w:ascii="Times New Roman" w:hAnsi="Times New Roman" w:cs="Times New Roman"/>
          <w:color w:val="000000" w:themeColor="text1"/>
          <w:sz w:val="24"/>
          <w:szCs w:val="24"/>
        </w:rPr>
        <w:t xml:space="preserve"> </w:t>
      </w:r>
      <w:r w:rsidR="00890BB7" w:rsidRPr="0060772A">
        <w:rPr>
          <w:rFonts w:ascii="Times New Roman" w:hAnsi="Times New Roman" w:cs="Times New Roman"/>
          <w:color w:val="000000" w:themeColor="text1"/>
          <w:sz w:val="24"/>
          <w:szCs w:val="24"/>
        </w:rPr>
        <w:t xml:space="preserve">suggest that shortage of human capital may </w:t>
      </w:r>
      <w:r w:rsidR="001060F5" w:rsidRPr="0060772A">
        <w:rPr>
          <w:rFonts w:ascii="Times New Roman" w:hAnsi="Times New Roman" w:cs="Times New Roman"/>
          <w:color w:val="000000" w:themeColor="text1"/>
          <w:sz w:val="24"/>
          <w:szCs w:val="24"/>
        </w:rPr>
        <w:t xml:space="preserve">also </w:t>
      </w:r>
      <w:r w:rsidR="00890BB7" w:rsidRPr="0060772A">
        <w:rPr>
          <w:rFonts w:ascii="Times New Roman" w:hAnsi="Times New Roman" w:cs="Times New Roman"/>
          <w:color w:val="000000" w:themeColor="text1"/>
          <w:sz w:val="24"/>
          <w:szCs w:val="24"/>
        </w:rPr>
        <w:t>appear as constraints to further growth.</w:t>
      </w:r>
      <w:r w:rsidR="00C07832">
        <w:rPr>
          <w:rFonts w:ascii="Times New Roman" w:hAnsi="Times New Roman" w:cs="Times New Roman"/>
          <w:color w:val="000000" w:themeColor="text1"/>
          <w:sz w:val="24"/>
          <w:szCs w:val="24"/>
        </w:rPr>
        <w:t xml:space="preserve"> Importantly, globalization and the advancement of technology will require human entered development paradigm implying that knowledge and expertise will be crucial for competitiveness of individuals and societies. Thus the efficient development and use of human resources will be crucial for adapting to changing global economic environments necessitating a technically skilled workforce driving the engine of growth.</w:t>
      </w:r>
    </w:p>
    <w:p w14:paraId="3388EEE4" w14:textId="73334D8A" w:rsidR="001976C7" w:rsidRDefault="001976C7" w:rsidP="002625F4">
      <w:pPr>
        <w:pStyle w:val="ListParagraph"/>
        <w:numPr>
          <w:ilvl w:val="0"/>
          <w:numId w:val="8"/>
        </w:numPr>
        <w:spacing w:after="240" w:line="276" w:lineRule="auto"/>
        <w:jc w:val="both"/>
        <w:rPr>
          <w:rFonts w:ascii="Times New Roman" w:hAnsi="Times New Roman" w:cs="Times New Roman"/>
          <w:b/>
          <w:sz w:val="24"/>
          <w:szCs w:val="24"/>
        </w:rPr>
      </w:pPr>
      <w:r w:rsidRPr="00702379">
        <w:rPr>
          <w:rFonts w:ascii="Times New Roman" w:hAnsi="Times New Roman" w:cs="Times New Roman"/>
          <w:b/>
          <w:sz w:val="24"/>
          <w:szCs w:val="24"/>
        </w:rPr>
        <w:t>Education Sector</w:t>
      </w:r>
      <w:r w:rsidR="00702379" w:rsidRPr="00702379">
        <w:rPr>
          <w:rFonts w:ascii="Times New Roman" w:hAnsi="Times New Roman" w:cs="Times New Roman"/>
          <w:b/>
          <w:sz w:val="24"/>
          <w:szCs w:val="24"/>
        </w:rPr>
        <w:t>s</w:t>
      </w:r>
      <w:r w:rsidRPr="00702379">
        <w:rPr>
          <w:rFonts w:ascii="Times New Roman" w:hAnsi="Times New Roman" w:cs="Times New Roman"/>
          <w:b/>
          <w:sz w:val="24"/>
          <w:szCs w:val="24"/>
        </w:rPr>
        <w:t xml:space="preserve"> in Bangladesh: </w:t>
      </w:r>
      <w:r w:rsidR="00702379" w:rsidRPr="00702379">
        <w:rPr>
          <w:rFonts w:ascii="Times New Roman" w:hAnsi="Times New Roman" w:cs="Times New Roman"/>
          <w:b/>
          <w:sz w:val="24"/>
          <w:szCs w:val="24"/>
        </w:rPr>
        <w:t xml:space="preserve">Achievements, </w:t>
      </w:r>
      <w:r w:rsidRPr="00702379">
        <w:rPr>
          <w:rFonts w:ascii="Times New Roman" w:hAnsi="Times New Roman" w:cs="Times New Roman"/>
          <w:b/>
          <w:sz w:val="24"/>
          <w:szCs w:val="24"/>
        </w:rPr>
        <w:t>Challenges</w:t>
      </w:r>
      <w:r w:rsidR="00702379" w:rsidRPr="00702379">
        <w:rPr>
          <w:rFonts w:ascii="Times New Roman" w:hAnsi="Times New Roman" w:cs="Times New Roman"/>
          <w:b/>
          <w:sz w:val="24"/>
          <w:szCs w:val="24"/>
        </w:rPr>
        <w:t xml:space="preserve"> and Policies </w:t>
      </w:r>
    </w:p>
    <w:p w14:paraId="19E900E2" w14:textId="434D5608" w:rsidR="00B87235" w:rsidRPr="00B87235" w:rsidRDefault="00B87235" w:rsidP="00B82F64">
      <w:pPr>
        <w:autoSpaceDE w:val="0"/>
        <w:autoSpaceDN w:val="0"/>
        <w:adjustRightInd w:val="0"/>
        <w:spacing w:after="240" w:line="276" w:lineRule="auto"/>
        <w:jc w:val="both"/>
        <w:rPr>
          <w:rFonts w:ascii="Times New Roman" w:hAnsi="Times New Roman" w:cs="Times New Roman"/>
          <w:sz w:val="24"/>
          <w:szCs w:val="24"/>
        </w:rPr>
      </w:pPr>
      <w:r>
        <w:rPr>
          <w:rFonts w:ascii="Times New Roman" w:hAnsi="Times New Roman" w:cs="Times New Roman"/>
          <w:sz w:val="24"/>
          <w:szCs w:val="24"/>
        </w:rPr>
        <w:t>In this section we briefly review the current achievements in primary, secondary and higher education, while also highlighting the remaining challenges and on-going policies for improvement. The section highlights that quality of education and the education system still faces many challenges, despite success in terms of access and equity mostly at the primary level.</w:t>
      </w:r>
      <w:r w:rsidR="00B82F64">
        <w:rPr>
          <w:rFonts w:ascii="Times New Roman" w:hAnsi="Times New Roman" w:cs="Times New Roman"/>
          <w:sz w:val="24"/>
          <w:szCs w:val="24"/>
        </w:rPr>
        <w:t xml:space="preserve"> We also review </w:t>
      </w:r>
      <w:r w:rsidR="00B82F64" w:rsidRPr="00466EC6">
        <w:rPr>
          <w:rFonts w:ascii="Times New Roman" w:hAnsi="Times New Roman" w:cs="Times New Roman"/>
          <w:sz w:val="24"/>
          <w:szCs w:val="24"/>
        </w:rPr>
        <w:t>the management and logistic issues in ensuring quality of education</w:t>
      </w:r>
      <w:r w:rsidR="00B82F64">
        <w:rPr>
          <w:rFonts w:ascii="Times New Roman" w:hAnsi="Times New Roman" w:cs="Times New Roman"/>
          <w:sz w:val="24"/>
          <w:szCs w:val="24"/>
        </w:rPr>
        <w:t xml:space="preserve">. </w:t>
      </w:r>
      <w:r w:rsidR="00B82F64" w:rsidRPr="00466EC6">
        <w:rPr>
          <w:rFonts w:ascii="Times New Roman" w:hAnsi="Times New Roman" w:cs="Times New Roman"/>
          <w:sz w:val="24"/>
          <w:szCs w:val="24"/>
        </w:rPr>
        <w:t xml:space="preserve"> </w:t>
      </w:r>
      <w:r w:rsidR="00A515CC">
        <w:rPr>
          <w:rFonts w:ascii="Times New Roman" w:hAnsi="Times New Roman" w:cs="Times New Roman"/>
          <w:sz w:val="24"/>
          <w:szCs w:val="24"/>
        </w:rPr>
        <w:t>The following discussion to some extent draws on the review provided in the Seventh Five Year Plan (SYFP, 2015).</w:t>
      </w:r>
      <w:r>
        <w:rPr>
          <w:rFonts w:ascii="Times New Roman" w:hAnsi="Times New Roman" w:cs="Times New Roman"/>
          <w:sz w:val="24"/>
          <w:szCs w:val="24"/>
        </w:rPr>
        <w:t xml:space="preserve"> </w:t>
      </w:r>
    </w:p>
    <w:p w14:paraId="1D924E5D" w14:textId="569B5164" w:rsidR="00152A65" w:rsidRPr="00E210B1" w:rsidRDefault="00702379" w:rsidP="002625F4">
      <w:pPr>
        <w:spacing w:after="24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152A65" w:rsidRPr="00E210B1">
        <w:rPr>
          <w:rFonts w:ascii="Times New Roman" w:hAnsi="Times New Roman" w:cs="Times New Roman"/>
          <w:b/>
          <w:sz w:val="24"/>
          <w:szCs w:val="24"/>
        </w:rPr>
        <w:t>Primary education</w:t>
      </w:r>
    </w:p>
    <w:p w14:paraId="1D6DCD0B" w14:textId="7AB7E80E" w:rsidR="00F45200" w:rsidRPr="0060772A" w:rsidRDefault="00BA79E3" w:rsidP="002625F4">
      <w:pPr>
        <w:spacing w:after="240" w:line="276" w:lineRule="auto"/>
        <w:jc w:val="both"/>
        <w:rPr>
          <w:rFonts w:ascii="Times New Roman" w:hAnsi="Times New Roman" w:cs="Times New Roman"/>
          <w:sz w:val="24"/>
          <w:szCs w:val="24"/>
        </w:rPr>
      </w:pPr>
      <w:r w:rsidRPr="0060772A">
        <w:rPr>
          <w:rFonts w:ascii="Times New Roman" w:hAnsi="Times New Roman" w:cs="Times New Roman"/>
          <w:sz w:val="24"/>
          <w:szCs w:val="24"/>
        </w:rPr>
        <w:t>Banglades</w:t>
      </w:r>
      <w:r w:rsidR="00681650" w:rsidRPr="0060772A">
        <w:rPr>
          <w:rFonts w:ascii="Times New Roman" w:hAnsi="Times New Roman" w:cs="Times New Roman"/>
          <w:sz w:val="24"/>
          <w:szCs w:val="24"/>
        </w:rPr>
        <w:t xml:space="preserve">h has made tremendous progress </w:t>
      </w:r>
      <w:r w:rsidRPr="0060772A">
        <w:rPr>
          <w:rFonts w:ascii="Times New Roman" w:hAnsi="Times New Roman" w:cs="Times New Roman"/>
          <w:sz w:val="24"/>
          <w:szCs w:val="24"/>
        </w:rPr>
        <w:t>in terms of primary school enrolment</w:t>
      </w:r>
      <w:r w:rsidR="00681650" w:rsidRPr="0060772A">
        <w:rPr>
          <w:rFonts w:ascii="Times New Roman" w:hAnsi="Times New Roman" w:cs="Times New Roman"/>
          <w:sz w:val="24"/>
          <w:szCs w:val="24"/>
        </w:rPr>
        <w:t>, while almost</w:t>
      </w:r>
      <w:r w:rsidRPr="0060772A">
        <w:rPr>
          <w:rFonts w:ascii="Times New Roman" w:hAnsi="Times New Roman" w:cs="Times New Roman"/>
          <w:sz w:val="24"/>
          <w:szCs w:val="24"/>
        </w:rPr>
        <w:t xml:space="preserve"> achieving the target of universal primary education</w:t>
      </w:r>
      <w:r w:rsidR="00681650" w:rsidRPr="0060772A">
        <w:rPr>
          <w:rFonts w:ascii="Times New Roman" w:hAnsi="Times New Roman" w:cs="Times New Roman"/>
          <w:sz w:val="24"/>
          <w:szCs w:val="24"/>
        </w:rPr>
        <w:t xml:space="preserve"> under the MDG target</w:t>
      </w:r>
      <w:r w:rsidRPr="0060772A">
        <w:rPr>
          <w:rFonts w:ascii="Times New Roman" w:hAnsi="Times New Roman" w:cs="Times New Roman"/>
          <w:sz w:val="24"/>
          <w:szCs w:val="24"/>
        </w:rPr>
        <w:t>. The net primary education enrolment rate (NER) of Bangladesh increased from 62.9% in 2000 to 97.</w:t>
      </w:r>
      <w:r w:rsidR="001A525A" w:rsidRPr="0060772A">
        <w:rPr>
          <w:rFonts w:ascii="Times New Roman" w:hAnsi="Times New Roman" w:cs="Times New Roman"/>
          <w:sz w:val="24"/>
          <w:szCs w:val="24"/>
        </w:rPr>
        <w:t>7</w:t>
      </w:r>
      <w:r w:rsidRPr="0060772A">
        <w:rPr>
          <w:rFonts w:ascii="Times New Roman" w:hAnsi="Times New Roman" w:cs="Times New Roman"/>
          <w:sz w:val="24"/>
          <w:szCs w:val="24"/>
        </w:rPr>
        <w:t>% in 201</w:t>
      </w:r>
      <w:r w:rsidR="001A525A" w:rsidRPr="0060772A">
        <w:rPr>
          <w:rFonts w:ascii="Times New Roman" w:hAnsi="Times New Roman" w:cs="Times New Roman"/>
          <w:sz w:val="24"/>
          <w:szCs w:val="24"/>
        </w:rPr>
        <w:t xml:space="preserve">4, while gross primary enrolment rate was 108.4% in 2014. There has been improvement in primary cycle completion rate as well as reduction in drop-out rates as well as </w:t>
      </w:r>
      <w:r w:rsidRPr="0060772A">
        <w:rPr>
          <w:rFonts w:ascii="Times New Roman" w:hAnsi="Times New Roman" w:cs="Times New Roman"/>
          <w:sz w:val="24"/>
          <w:szCs w:val="24"/>
        </w:rPr>
        <w:t>a significant reduction of the gender disparity in access</w:t>
      </w:r>
      <w:r w:rsidR="00B87235">
        <w:rPr>
          <w:rFonts w:ascii="Times New Roman" w:hAnsi="Times New Roman" w:cs="Times New Roman"/>
          <w:sz w:val="24"/>
          <w:szCs w:val="24"/>
        </w:rPr>
        <w:t xml:space="preserve"> </w:t>
      </w:r>
      <w:r w:rsidRPr="0060772A">
        <w:rPr>
          <w:rFonts w:ascii="Times New Roman" w:hAnsi="Times New Roman" w:cs="Times New Roman"/>
          <w:sz w:val="24"/>
          <w:szCs w:val="24"/>
        </w:rPr>
        <w:t>(</w:t>
      </w:r>
      <w:r w:rsidR="00B87235">
        <w:rPr>
          <w:rFonts w:ascii="Times New Roman" w:hAnsi="Times New Roman" w:cs="Times New Roman"/>
          <w:sz w:val="24"/>
          <w:szCs w:val="24"/>
        </w:rPr>
        <w:t>Kono et. al 2018</w:t>
      </w:r>
      <w:r w:rsidRPr="0060772A">
        <w:rPr>
          <w:rFonts w:ascii="Times New Roman" w:hAnsi="Times New Roman" w:cs="Times New Roman"/>
          <w:sz w:val="24"/>
          <w:szCs w:val="24"/>
        </w:rPr>
        <w:t xml:space="preserve">). </w:t>
      </w:r>
      <w:r w:rsidR="00E210B1" w:rsidRPr="0060772A">
        <w:rPr>
          <w:rFonts w:ascii="Times New Roman" w:hAnsi="Times New Roman" w:cs="Times New Roman"/>
          <w:sz w:val="24"/>
          <w:szCs w:val="24"/>
        </w:rPr>
        <w:t xml:space="preserve">Further </w:t>
      </w:r>
      <w:r w:rsidR="00A76B1A" w:rsidRPr="0060772A">
        <w:rPr>
          <w:rFonts w:ascii="Times New Roman" w:hAnsi="Times New Roman" w:cs="Times New Roman"/>
          <w:sz w:val="24"/>
          <w:szCs w:val="24"/>
        </w:rPr>
        <w:t xml:space="preserve">to </w:t>
      </w:r>
      <w:r w:rsidRPr="0060772A">
        <w:rPr>
          <w:rFonts w:ascii="Times New Roman" w:hAnsi="Times New Roman" w:cs="Times New Roman"/>
          <w:sz w:val="24"/>
          <w:szCs w:val="24"/>
        </w:rPr>
        <w:t>government policies and engagement in improving education (Ravallion and Wodon, 2000; Ahmed and Ninno, 2002), schooling has been provided by NGOs</w:t>
      </w:r>
      <w:r w:rsidR="00A76B1A" w:rsidRPr="0060772A">
        <w:rPr>
          <w:rFonts w:ascii="Times New Roman" w:hAnsi="Times New Roman" w:cs="Times New Roman"/>
          <w:sz w:val="24"/>
          <w:szCs w:val="24"/>
        </w:rPr>
        <w:t xml:space="preserve"> in Bangladesh, </w:t>
      </w:r>
      <w:r w:rsidRPr="0060772A">
        <w:rPr>
          <w:rFonts w:ascii="Times New Roman" w:hAnsi="Times New Roman" w:cs="Times New Roman"/>
          <w:sz w:val="24"/>
          <w:szCs w:val="24"/>
        </w:rPr>
        <w:t xml:space="preserve">with the continued donor support for targeted programs and interventions resulting improving school enrolment. </w:t>
      </w:r>
      <w:r w:rsidR="00E210B1" w:rsidRPr="0060772A">
        <w:rPr>
          <w:rFonts w:ascii="Times New Roman" w:hAnsi="Times New Roman" w:cs="Times New Roman"/>
          <w:sz w:val="24"/>
          <w:szCs w:val="24"/>
        </w:rPr>
        <w:t xml:space="preserve"> </w:t>
      </w:r>
    </w:p>
    <w:p w14:paraId="5F16434D" w14:textId="4D0D19B6" w:rsidR="009A3E34" w:rsidRPr="0060772A" w:rsidRDefault="00E210B1" w:rsidP="002625F4">
      <w:pPr>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color w:val="000000" w:themeColor="text1"/>
          <w:sz w:val="24"/>
          <w:szCs w:val="24"/>
        </w:rPr>
        <w:t xml:space="preserve">The Primary education development </w:t>
      </w:r>
      <w:r w:rsidR="004C5469" w:rsidRPr="0060772A">
        <w:rPr>
          <w:rFonts w:ascii="Times New Roman" w:hAnsi="Times New Roman" w:cs="Times New Roman"/>
          <w:color w:val="000000" w:themeColor="text1"/>
          <w:sz w:val="24"/>
          <w:szCs w:val="24"/>
        </w:rPr>
        <w:t>program (</w:t>
      </w:r>
      <w:r w:rsidR="009A3E34" w:rsidRPr="0060772A">
        <w:rPr>
          <w:rFonts w:ascii="Times New Roman" w:hAnsi="Times New Roman" w:cs="Times New Roman"/>
          <w:color w:val="000000" w:themeColor="text1"/>
          <w:sz w:val="24"/>
          <w:szCs w:val="24"/>
        </w:rPr>
        <w:t>PDEP)</w:t>
      </w:r>
      <w:r w:rsidRPr="0060772A">
        <w:rPr>
          <w:rFonts w:ascii="Times New Roman" w:hAnsi="Times New Roman" w:cs="Times New Roman"/>
          <w:color w:val="000000" w:themeColor="text1"/>
          <w:sz w:val="24"/>
          <w:szCs w:val="24"/>
        </w:rPr>
        <w:t xml:space="preserve"> initiated during the period of the Sixth Five Year Plan aimed at </w:t>
      </w:r>
      <w:r w:rsidR="00FD07D6" w:rsidRPr="0060772A">
        <w:rPr>
          <w:rFonts w:ascii="Times New Roman" w:hAnsi="Times New Roman" w:cs="Times New Roman"/>
          <w:color w:val="000000" w:themeColor="text1"/>
          <w:sz w:val="24"/>
          <w:szCs w:val="24"/>
        </w:rPr>
        <w:t xml:space="preserve">further </w:t>
      </w:r>
      <w:r w:rsidRPr="0060772A">
        <w:rPr>
          <w:rFonts w:ascii="Times New Roman" w:hAnsi="Times New Roman" w:cs="Times New Roman"/>
          <w:color w:val="000000" w:themeColor="text1"/>
          <w:sz w:val="24"/>
          <w:szCs w:val="24"/>
        </w:rPr>
        <w:t xml:space="preserve">improving the standard of primary education. </w:t>
      </w:r>
      <w:r w:rsidR="00F65993" w:rsidRPr="0060772A">
        <w:rPr>
          <w:rFonts w:ascii="Times New Roman" w:hAnsi="Times New Roman" w:cs="Times New Roman"/>
          <w:color w:val="000000" w:themeColor="text1"/>
          <w:sz w:val="24"/>
          <w:szCs w:val="24"/>
        </w:rPr>
        <w:t xml:space="preserve">This has been supported by the Asian Development </w:t>
      </w:r>
      <w:r w:rsidR="009A3E34" w:rsidRPr="0060772A">
        <w:rPr>
          <w:rFonts w:ascii="Times New Roman" w:hAnsi="Times New Roman" w:cs="Times New Roman"/>
          <w:color w:val="000000" w:themeColor="text1"/>
          <w:sz w:val="24"/>
          <w:szCs w:val="24"/>
        </w:rPr>
        <w:t xml:space="preserve">Bank (ADB) </w:t>
      </w:r>
      <w:r w:rsidR="00F65993" w:rsidRPr="0060772A">
        <w:rPr>
          <w:rFonts w:ascii="Times New Roman" w:hAnsi="Times New Roman" w:cs="Times New Roman"/>
          <w:color w:val="000000" w:themeColor="text1"/>
          <w:sz w:val="24"/>
          <w:szCs w:val="24"/>
        </w:rPr>
        <w:t>Program</w:t>
      </w:r>
      <w:r w:rsidR="009A3E34" w:rsidRPr="0060772A">
        <w:rPr>
          <w:rFonts w:ascii="Times New Roman" w:hAnsi="Times New Roman" w:cs="Times New Roman"/>
          <w:color w:val="000000" w:themeColor="text1"/>
          <w:sz w:val="24"/>
          <w:szCs w:val="24"/>
        </w:rPr>
        <w:t xml:space="preserve"> known as primary education development program (PEDPII)</w:t>
      </w:r>
      <w:r w:rsidR="00F65993" w:rsidRPr="0060772A">
        <w:rPr>
          <w:rFonts w:ascii="Times New Roman" w:hAnsi="Times New Roman" w:cs="Times New Roman"/>
          <w:color w:val="000000" w:themeColor="text1"/>
          <w:sz w:val="24"/>
          <w:szCs w:val="24"/>
        </w:rPr>
        <w:t xml:space="preserve">. </w:t>
      </w:r>
      <w:r w:rsidRPr="0060772A">
        <w:rPr>
          <w:rFonts w:ascii="Times New Roman" w:hAnsi="Times New Roman" w:cs="Times New Roman"/>
          <w:color w:val="000000" w:themeColor="text1"/>
          <w:sz w:val="24"/>
          <w:szCs w:val="24"/>
        </w:rPr>
        <w:t xml:space="preserve">It highlighted six areas where progress was needed: learning outcomes, participation, reducing disparities, decentralization, and effective use of budget </w:t>
      </w:r>
      <w:r w:rsidRPr="0060772A">
        <w:rPr>
          <w:rFonts w:ascii="Times New Roman" w:hAnsi="Times New Roman" w:cs="Times New Roman"/>
          <w:color w:val="000000" w:themeColor="text1"/>
          <w:sz w:val="24"/>
          <w:szCs w:val="24"/>
        </w:rPr>
        <w:lastRenderedPageBreak/>
        <w:t>allocations as well as program planning and management. It also put emphasis on effective resource use to improve completion and quality of teaching.</w:t>
      </w:r>
      <w:r w:rsidR="009A3E34" w:rsidRPr="0060772A">
        <w:rPr>
          <w:rFonts w:ascii="Times New Roman" w:hAnsi="Times New Roman" w:cs="Times New Roman"/>
          <w:color w:val="000000" w:themeColor="text1"/>
          <w:sz w:val="24"/>
          <w:szCs w:val="24"/>
        </w:rPr>
        <w:t xml:space="preserve"> </w:t>
      </w:r>
    </w:p>
    <w:p w14:paraId="0AA048E4" w14:textId="5893EA92" w:rsidR="004C5469" w:rsidRPr="0060772A" w:rsidRDefault="00453939" w:rsidP="00F40AA9">
      <w:pPr>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sz w:val="24"/>
          <w:szCs w:val="24"/>
        </w:rPr>
        <w:t>The government sets the target for the 7</w:t>
      </w:r>
      <w:r w:rsidRPr="0060772A">
        <w:rPr>
          <w:rFonts w:ascii="Times New Roman" w:hAnsi="Times New Roman" w:cs="Times New Roman"/>
          <w:sz w:val="24"/>
          <w:szCs w:val="24"/>
          <w:vertAlign w:val="superscript"/>
        </w:rPr>
        <w:t>Th</w:t>
      </w:r>
      <w:r w:rsidRPr="0060772A">
        <w:rPr>
          <w:rFonts w:ascii="Times New Roman" w:hAnsi="Times New Roman" w:cs="Times New Roman"/>
          <w:sz w:val="24"/>
          <w:szCs w:val="24"/>
        </w:rPr>
        <w:t xml:space="preserve"> FYP, in line with the national education </w:t>
      </w:r>
      <w:r w:rsidR="00B87235" w:rsidRPr="0060772A">
        <w:rPr>
          <w:rFonts w:ascii="Times New Roman" w:hAnsi="Times New Roman" w:cs="Times New Roman"/>
          <w:sz w:val="24"/>
          <w:szCs w:val="24"/>
        </w:rPr>
        <w:t>policy (</w:t>
      </w:r>
      <w:r w:rsidR="009A3E34" w:rsidRPr="0060772A">
        <w:rPr>
          <w:rFonts w:ascii="Times New Roman" w:hAnsi="Times New Roman" w:cs="Times New Roman"/>
          <w:sz w:val="24"/>
          <w:szCs w:val="24"/>
        </w:rPr>
        <w:t>NEP 2010)</w:t>
      </w:r>
      <w:r w:rsidRPr="0060772A">
        <w:rPr>
          <w:rFonts w:ascii="Times New Roman" w:hAnsi="Times New Roman" w:cs="Times New Roman"/>
          <w:sz w:val="24"/>
          <w:szCs w:val="24"/>
        </w:rPr>
        <w:t xml:space="preserve">, that includes introduction of pre-primary and mandatory primary education for all. For the development of primary education, the main targets include 1) improving teaching and learning process in schools, 2) decentralization of management and enhance effectiveness, 3) effective planning and management. Also greater emphasis is to be given on non-formal primary education. </w:t>
      </w:r>
      <w:r w:rsidR="009A3E34" w:rsidRPr="0060772A">
        <w:rPr>
          <w:rFonts w:ascii="Times New Roman" w:hAnsi="Times New Roman" w:cs="Times New Roman"/>
          <w:sz w:val="24"/>
          <w:szCs w:val="24"/>
        </w:rPr>
        <w:t xml:space="preserve">The PEDPIII was undertaken to further improve primary education quality in addition to widen its access. </w:t>
      </w:r>
      <w:r w:rsidR="00F65993" w:rsidRPr="0060772A">
        <w:rPr>
          <w:rFonts w:ascii="Times New Roman" w:eastAsia="Times New Roman" w:hAnsi="Times New Roman" w:cs="Times New Roman"/>
          <w:color w:val="0F1010"/>
          <w:sz w:val="24"/>
          <w:szCs w:val="24"/>
          <w:lang w:val="en" w:eastAsia="en-GB"/>
        </w:rPr>
        <w:t>Under the PDEPIII notable progress wa</w:t>
      </w:r>
      <w:r w:rsidR="00955719" w:rsidRPr="0060772A">
        <w:rPr>
          <w:rFonts w:ascii="Times New Roman" w:eastAsia="Times New Roman" w:hAnsi="Times New Roman" w:cs="Times New Roman"/>
          <w:color w:val="0F1010"/>
          <w:sz w:val="24"/>
          <w:szCs w:val="24"/>
          <w:lang w:val="en" w:eastAsia="en-GB"/>
        </w:rPr>
        <w:t>s made in terms of enrollment (</w:t>
      </w:r>
      <w:r w:rsidR="00F65993" w:rsidRPr="0060772A">
        <w:rPr>
          <w:rFonts w:ascii="Times New Roman" w:eastAsia="Times New Roman" w:hAnsi="Times New Roman" w:cs="Times New Roman"/>
          <w:color w:val="0F1010"/>
          <w:sz w:val="24"/>
          <w:szCs w:val="24"/>
          <w:lang w:val="en" w:eastAsia="en-GB"/>
        </w:rPr>
        <w:t xml:space="preserve">98 </w:t>
      </w:r>
      <w:r w:rsidR="00955719" w:rsidRPr="0060772A">
        <w:rPr>
          <w:rFonts w:ascii="Times New Roman" w:eastAsia="Times New Roman" w:hAnsi="Times New Roman" w:cs="Times New Roman"/>
          <w:color w:val="0F1010"/>
          <w:sz w:val="24"/>
          <w:szCs w:val="24"/>
          <w:lang w:val="en" w:eastAsia="en-GB"/>
        </w:rPr>
        <w:t>percent net enrollment achieved</w:t>
      </w:r>
      <w:r w:rsidR="00F65993" w:rsidRPr="0060772A">
        <w:rPr>
          <w:rFonts w:ascii="Times New Roman" w:eastAsia="Times New Roman" w:hAnsi="Times New Roman" w:cs="Times New Roman"/>
          <w:color w:val="0F1010"/>
          <w:sz w:val="24"/>
          <w:szCs w:val="24"/>
          <w:lang w:val="en" w:eastAsia="en-GB"/>
        </w:rPr>
        <w:t>), teacher recruitment, organizational develop</w:t>
      </w:r>
      <w:r w:rsidR="004C5469" w:rsidRPr="0060772A">
        <w:rPr>
          <w:rFonts w:ascii="Times New Roman" w:eastAsia="Times New Roman" w:hAnsi="Times New Roman" w:cs="Times New Roman"/>
          <w:color w:val="0F1010"/>
          <w:sz w:val="24"/>
          <w:szCs w:val="24"/>
          <w:lang w:val="en" w:eastAsia="en-GB"/>
        </w:rPr>
        <w:t xml:space="preserve">ment and capacity development, </w:t>
      </w:r>
      <w:r w:rsidR="00F65993" w:rsidRPr="0060772A">
        <w:rPr>
          <w:rFonts w:ascii="Times New Roman" w:eastAsia="Times New Roman" w:hAnsi="Times New Roman" w:cs="Times New Roman"/>
          <w:color w:val="0F1010"/>
          <w:sz w:val="24"/>
          <w:szCs w:val="24"/>
          <w:lang w:val="en" w:eastAsia="en-GB"/>
        </w:rPr>
        <w:t xml:space="preserve">enhancement of educational management and information </w:t>
      </w:r>
      <w:r w:rsidR="00B87235" w:rsidRPr="0060772A">
        <w:rPr>
          <w:rFonts w:ascii="Times New Roman" w:eastAsia="Times New Roman" w:hAnsi="Times New Roman" w:cs="Times New Roman"/>
          <w:color w:val="0F1010"/>
          <w:sz w:val="24"/>
          <w:szCs w:val="24"/>
          <w:lang w:val="en" w:eastAsia="en-GB"/>
        </w:rPr>
        <w:t>system (</w:t>
      </w:r>
      <w:r w:rsidR="00F65993" w:rsidRPr="0060772A">
        <w:rPr>
          <w:rFonts w:ascii="Times New Roman" w:eastAsia="Times New Roman" w:hAnsi="Times New Roman" w:cs="Times New Roman"/>
          <w:color w:val="0F1010"/>
          <w:sz w:val="24"/>
          <w:szCs w:val="24"/>
          <w:lang w:val="en" w:eastAsia="en-GB"/>
        </w:rPr>
        <w:t>EMIS), progress in universal coverage of school level improvement plan</w:t>
      </w:r>
      <w:r w:rsidR="00F40AA9">
        <w:rPr>
          <w:rFonts w:ascii="Times New Roman" w:eastAsia="Times New Roman" w:hAnsi="Times New Roman" w:cs="Times New Roman"/>
          <w:color w:val="0F1010"/>
          <w:sz w:val="24"/>
          <w:szCs w:val="24"/>
          <w:lang w:val="en" w:eastAsia="en-GB"/>
        </w:rPr>
        <w:t xml:space="preserve"> </w:t>
      </w:r>
      <w:r w:rsidR="00F65993" w:rsidRPr="0060772A">
        <w:rPr>
          <w:rFonts w:ascii="Times New Roman" w:eastAsia="Times New Roman" w:hAnsi="Times New Roman" w:cs="Times New Roman"/>
          <w:color w:val="0F1010"/>
          <w:sz w:val="24"/>
          <w:szCs w:val="24"/>
          <w:lang w:val="en" w:eastAsia="en-GB"/>
        </w:rPr>
        <w:t>(SLIP), progress in plan for decentralization, progress in quantitative training for teachers, progress in sc</w:t>
      </w:r>
      <w:r w:rsidR="00A515CC">
        <w:rPr>
          <w:rFonts w:ascii="Times New Roman" w:eastAsia="Times New Roman" w:hAnsi="Times New Roman" w:cs="Times New Roman"/>
          <w:color w:val="0F1010"/>
          <w:sz w:val="24"/>
          <w:szCs w:val="24"/>
          <w:lang w:val="en" w:eastAsia="en-GB"/>
        </w:rPr>
        <w:t>hool infrastructure development(See SYFP 2015).</w:t>
      </w:r>
      <w:r w:rsidR="00F65993" w:rsidRPr="0060772A">
        <w:rPr>
          <w:rFonts w:ascii="Times New Roman" w:eastAsia="Times New Roman" w:hAnsi="Times New Roman" w:cs="Times New Roman"/>
          <w:color w:val="0F1010"/>
          <w:sz w:val="24"/>
          <w:szCs w:val="24"/>
          <w:lang w:val="en" w:eastAsia="en-GB"/>
        </w:rPr>
        <w:t xml:space="preserve"> It has been also noted that some targets within the primary education development plan did not see much progress and needed further attention. These included: firstly, allocation on primary education as a proportion to total education expenditure resulting from lack of allocation on education as a percentage of GDP; secondly, completion rate in primary education below target, repetition rates not decreasing at desired level, teachers training and designing incentive for teachers, capacity development of quality </w:t>
      </w:r>
      <w:r w:rsidR="00F65993" w:rsidRPr="00F40AA9">
        <w:rPr>
          <w:rFonts w:ascii="Times New Roman" w:eastAsia="Times New Roman" w:hAnsi="Times New Roman" w:cs="Times New Roman"/>
          <w:color w:val="0F1010"/>
          <w:sz w:val="24"/>
          <w:szCs w:val="24"/>
          <w:lang w:val="en" w:eastAsia="en-GB"/>
        </w:rPr>
        <w:t xml:space="preserve">enhancing institutions NAPE and NCTB still remains a big concern. </w:t>
      </w:r>
      <w:r w:rsidR="004C5469" w:rsidRPr="00F40AA9">
        <w:rPr>
          <w:rFonts w:ascii="Times New Roman" w:hAnsi="Times New Roman" w:cs="Times New Roman"/>
          <w:sz w:val="24"/>
          <w:szCs w:val="24"/>
          <w:lang w:val="en-US"/>
        </w:rPr>
        <w:t xml:space="preserve">More importantly, </w:t>
      </w:r>
      <w:r w:rsidR="004C5469" w:rsidRPr="00F40AA9">
        <w:rPr>
          <w:rFonts w:ascii="Times New Roman" w:hAnsi="Times New Roman" w:cs="Times New Roman"/>
          <w:sz w:val="24"/>
          <w:szCs w:val="24"/>
        </w:rPr>
        <w:t xml:space="preserve"> the lack of adequate student learning remain a serious concern in Bangladesh, as in other developing countries; it is found that </w:t>
      </w:r>
      <w:r w:rsidR="004C5469" w:rsidRPr="00F40AA9">
        <w:rPr>
          <w:rFonts w:ascii="Times New Roman" w:hAnsi="Times New Roman" w:cs="Times New Roman"/>
          <w:sz w:val="24"/>
          <w:szCs w:val="24"/>
          <w:lang w:val="en-US"/>
        </w:rPr>
        <w:t>five full years of primary schooling taught less than 1 in 10 children how to do simple mathematics (Asadullah and Chowdhury 2013).</w:t>
      </w:r>
      <w:r w:rsidR="004C5469" w:rsidRPr="00F40AA9">
        <w:rPr>
          <w:rStyle w:val="FootnoteReference"/>
          <w:rFonts w:ascii="Times New Roman" w:hAnsi="Times New Roman" w:cs="Times New Roman"/>
          <w:sz w:val="24"/>
          <w:szCs w:val="24"/>
          <w:lang w:val="en-US"/>
        </w:rPr>
        <w:footnoteReference w:id="1"/>
      </w:r>
      <w:r w:rsidR="004C5469" w:rsidRPr="00F40AA9">
        <w:rPr>
          <w:rFonts w:ascii="Times New Roman" w:hAnsi="Times New Roman" w:cs="Times New Roman"/>
          <w:sz w:val="24"/>
          <w:szCs w:val="24"/>
          <w:lang w:val="en-US"/>
        </w:rPr>
        <w:t xml:space="preserve"> </w:t>
      </w:r>
      <w:r w:rsidR="004C5469" w:rsidRPr="00F40AA9">
        <w:rPr>
          <w:rFonts w:ascii="Times New Roman" w:hAnsi="Times New Roman" w:cs="Times New Roman"/>
          <w:color w:val="000000" w:themeColor="text1"/>
          <w:sz w:val="24"/>
          <w:szCs w:val="24"/>
        </w:rPr>
        <w:t xml:space="preserve">On improving the quality of primary education, the policy focus would remain on </w:t>
      </w:r>
      <w:r w:rsidR="004C5469" w:rsidRPr="00F40AA9">
        <w:rPr>
          <w:rFonts w:ascii="Times New Roman" w:hAnsi="Times New Roman" w:cs="Times New Roman"/>
          <w:sz w:val="24"/>
          <w:szCs w:val="24"/>
          <w:lang w:val="en-US"/>
        </w:rPr>
        <w:t xml:space="preserve">learning outcomes and skills for life and work (see Bangladesh Education Watch </w:t>
      </w:r>
      <w:r w:rsidR="00F40AA9" w:rsidRPr="00F40AA9">
        <w:rPr>
          <w:rFonts w:ascii="Times New Roman" w:hAnsi="Times New Roman" w:cs="Times New Roman"/>
          <w:sz w:val="24"/>
          <w:szCs w:val="24"/>
          <w:lang w:val="en-US"/>
        </w:rPr>
        <w:t>Report 201</w:t>
      </w:r>
      <w:r w:rsidR="006760C4">
        <w:rPr>
          <w:rFonts w:ascii="Times New Roman" w:hAnsi="Times New Roman" w:cs="Times New Roman"/>
          <w:sz w:val="24"/>
          <w:szCs w:val="24"/>
          <w:lang w:val="en-US"/>
        </w:rPr>
        <w:t>6</w:t>
      </w:r>
      <w:r w:rsidR="004C5469" w:rsidRPr="00F40AA9">
        <w:rPr>
          <w:rFonts w:ascii="Times New Roman" w:hAnsi="Times New Roman" w:cs="Times New Roman"/>
          <w:sz w:val="24"/>
          <w:szCs w:val="24"/>
          <w:lang w:val="en-US"/>
        </w:rPr>
        <w:t>).</w:t>
      </w:r>
      <w:r w:rsidR="004C5469" w:rsidRPr="0060772A">
        <w:rPr>
          <w:rFonts w:ascii="Times New Roman" w:hAnsi="Times New Roman" w:cs="Times New Roman"/>
          <w:sz w:val="24"/>
          <w:szCs w:val="24"/>
          <w:lang w:val="en-US"/>
        </w:rPr>
        <w:t xml:space="preserve">  </w:t>
      </w:r>
    </w:p>
    <w:p w14:paraId="15770388" w14:textId="62125FFB" w:rsidR="002D742C" w:rsidRPr="0060772A" w:rsidRDefault="00F45200" w:rsidP="002625F4">
      <w:pPr>
        <w:spacing w:after="240" w:line="276" w:lineRule="auto"/>
        <w:jc w:val="both"/>
        <w:rPr>
          <w:rFonts w:ascii="Times New Roman" w:hAnsi="Times New Roman" w:cs="Times New Roman"/>
          <w:b/>
          <w:color w:val="000000" w:themeColor="text1"/>
          <w:sz w:val="24"/>
          <w:szCs w:val="24"/>
        </w:rPr>
      </w:pPr>
      <w:r w:rsidRPr="0060772A">
        <w:rPr>
          <w:rFonts w:ascii="Times New Roman" w:hAnsi="Times New Roman" w:cs="Times New Roman"/>
          <w:b/>
          <w:color w:val="000000" w:themeColor="text1"/>
          <w:sz w:val="24"/>
          <w:szCs w:val="24"/>
        </w:rPr>
        <w:t xml:space="preserve">3.1.1 </w:t>
      </w:r>
      <w:r w:rsidR="002D742C" w:rsidRPr="0060772A">
        <w:rPr>
          <w:rFonts w:ascii="Times New Roman" w:hAnsi="Times New Roman" w:cs="Times New Roman"/>
          <w:b/>
          <w:color w:val="000000" w:themeColor="text1"/>
          <w:sz w:val="24"/>
          <w:szCs w:val="24"/>
        </w:rPr>
        <w:t xml:space="preserve">Early childhood development </w:t>
      </w:r>
    </w:p>
    <w:p w14:paraId="339FD339" w14:textId="78D62129" w:rsidR="002D742C" w:rsidRDefault="00E31832" w:rsidP="002625F4">
      <w:pPr>
        <w:autoSpaceDE w:val="0"/>
        <w:autoSpaceDN w:val="0"/>
        <w:adjustRightInd w:val="0"/>
        <w:spacing w:after="240" w:line="276" w:lineRule="auto"/>
        <w:jc w:val="both"/>
        <w:rPr>
          <w:rFonts w:ascii="Times New Roman" w:hAnsi="Times New Roman" w:cs="Times New Roman"/>
          <w:sz w:val="24"/>
          <w:szCs w:val="24"/>
        </w:rPr>
      </w:pPr>
      <w:r w:rsidRPr="00F40AA9">
        <w:rPr>
          <w:rFonts w:ascii="Times New Roman" w:hAnsi="Times New Roman" w:cs="Times New Roman"/>
          <w:sz w:val="24"/>
          <w:szCs w:val="24"/>
          <w:lang w:val="en-US"/>
        </w:rPr>
        <w:t>T</w:t>
      </w:r>
      <w:r w:rsidR="002D742C" w:rsidRPr="00F40AA9">
        <w:rPr>
          <w:rFonts w:ascii="Times New Roman" w:hAnsi="Times New Roman" w:cs="Times New Roman"/>
          <w:sz w:val="24"/>
          <w:szCs w:val="24"/>
          <w:lang w:val="en-US"/>
        </w:rPr>
        <w:t xml:space="preserve">he early childhood education or preschool program with organized learning component is gaining importance to prepare children for primary school enrollment as well as </w:t>
      </w:r>
      <w:r w:rsidR="005E5E73" w:rsidRPr="00F40AA9">
        <w:rPr>
          <w:rFonts w:ascii="Times New Roman" w:hAnsi="Times New Roman" w:cs="Times New Roman"/>
          <w:sz w:val="24"/>
          <w:szCs w:val="24"/>
          <w:lang w:val="en-US"/>
        </w:rPr>
        <w:t xml:space="preserve">to </w:t>
      </w:r>
      <w:r w:rsidR="002D742C" w:rsidRPr="00F40AA9">
        <w:rPr>
          <w:rFonts w:ascii="Times New Roman" w:hAnsi="Times New Roman" w:cs="Times New Roman"/>
          <w:sz w:val="24"/>
          <w:szCs w:val="24"/>
          <w:lang w:val="en-US"/>
        </w:rPr>
        <w:t xml:space="preserve">facilitate their psycho-social development.  </w:t>
      </w:r>
      <w:r w:rsidR="005E5E73" w:rsidRPr="00F40AA9">
        <w:rPr>
          <w:rFonts w:ascii="Times New Roman" w:hAnsi="Times New Roman" w:cs="Times New Roman"/>
          <w:sz w:val="24"/>
          <w:szCs w:val="24"/>
          <w:lang w:val="en-US"/>
        </w:rPr>
        <w:t xml:space="preserve">Although the </w:t>
      </w:r>
      <w:r w:rsidR="002D742C" w:rsidRPr="00F40AA9">
        <w:rPr>
          <w:rFonts w:ascii="Times New Roman" w:hAnsi="Times New Roman" w:cs="Times New Roman"/>
          <w:sz w:val="24"/>
          <w:szCs w:val="24"/>
          <w:lang w:val="en-US"/>
        </w:rPr>
        <w:t>government</w:t>
      </w:r>
      <w:r w:rsidR="005E5E73" w:rsidRPr="00F40AA9">
        <w:rPr>
          <w:rFonts w:ascii="Times New Roman" w:hAnsi="Times New Roman" w:cs="Times New Roman"/>
          <w:sz w:val="24"/>
          <w:szCs w:val="24"/>
          <w:lang w:val="en-US"/>
        </w:rPr>
        <w:t>’s</w:t>
      </w:r>
      <w:r w:rsidR="002D742C" w:rsidRPr="00F40AA9">
        <w:rPr>
          <w:rFonts w:ascii="Times New Roman" w:hAnsi="Times New Roman" w:cs="Times New Roman"/>
          <w:sz w:val="24"/>
          <w:szCs w:val="24"/>
          <w:lang w:val="en-US"/>
        </w:rPr>
        <w:t xml:space="preserve"> education policy </w:t>
      </w:r>
      <w:r w:rsidR="005E5E73" w:rsidRPr="00F40AA9">
        <w:rPr>
          <w:rFonts w:ascii="Times New Roman" w:hAnsi="Times New Roman" w:cs="Times New Roman"/>
          <w:sz w:val="24"/>
          <w:szCs w:val="24"/>
          <w:lang w:val="en-US"/>
        </w:rPr>
        <w:t>specifies</w:t>
      </w:r>
      <w:r w:rsidR="002D742C" w:rsidRPr="00F40AA9">
        <w:rPr>
          <w:rFonts w:ascii="Times New Roman" w:hAnsi="Times New Roman" w:cs="Times New Roman"/>
          <w:sz w:val="24"/>
          <w:szCs w:val="24"/>
          <w:lang w:val="en-US"/>
        </w:rPr>
        <w:t xml:space="preserve"> two years of early education, </w:t>
      </w:r>
      <w:r w:rsidR="002D742C" w:rsidRPr="00F40AA9">
        <w:rPr>
          <w:rFonts w:ascii="Times New Roman" w:hAnsi="Times New Roman" w:cs="Times New Roman"/>
          <w:sz w:val="24"/>
          <w:szCs w:val="24"/>
        </w:rPr>
        <w:t>as reported in Micro Indicator Cluster Survey 2015</w:t>
      </w:r>
      <w:r w:rsidR="005E5E73" w:rsidRPr="00F40AA9">
        <w:rPr>
          <w:rFonts w:ascii="Times New Roman" w:hAnsi="Times New Roman" w:cs="Times New Roman"/>
          <w:sz w:val="24"/>
          <w:szCs w:val="24"/>
        </w:rPr>
        <w:t>(MICS 2015)</w:t>
      </w:r>
      <w:r w:rsidR="002D742C" w:rsidRPr="00F40AA9">
        <w:rPr>
          <w:rFonts w:ascii="Times New Roman" w:hAnsi="Times New Roman" w:cs="Times New Roman"/>
          <w:sz w:val="24"/>
          <w:szCs w:val="24"/>
        </w:rPr>
        <w:t>, only 13.4 percent of children of age 36-59 months are receiving early childhood education.  Another study reports that the net enrolment at the pre-primary level of education is still lagging behind (40.4 percent) the world average of about 54 percent (or a median of about 59 percent</w:t>
      </w:r>
      <w:r w:rsidR="00D07D41" w:rsidRPr="00F40AA9">
        <w:rPr>
          <w:rFonts w:ascii="Times New Roman" w:hAnsi="Times New Roman" w:cs="Times New Roman"/>
          <w:sz w:val="24"/>
          <w:szCs w:val="24"/>
        </w:rPr>
        <w:t>)</w:t>
      </w:r>
      <w:r w:rsidR="002D742C" w:rsidRPr="00F40AA9">
        <w:rPr>
          <w:rFonts w:ascii="Times New Roman" w:hAnsi="Times New Roman" w:cs="Times New Roman"/>
          <w:sz w:val="24"/>
          <w:szCs w:val="24"/>
        </w:rPr>
        <w:t xml:space="preserve"> (Bangladesh Education Watch 201</w:t>
      </w:r>
      <w:r w:rsidR="006760C4">
        <w:rPr>
          <w:rFonts w:ascii="Times New Roman" w:hAnsi="Times New Roman" w:cs="Times New Roman"/>
          <w:sz w:val="24"/>
          <w:szCs w:val="24"/>
        </w:rPr>
        <w:t>6</w:t>
      </w:r>
      <w:r w:rsidR="002D742C" w:rsidRPr="00F40AA9">
        <w:rPr>
          <w:rFonts w:ascii="Times New Roman" w:hAnsi="Times New Roman" w:cs="Times New Roman"/>
          <w:sz w:val="24"/>
          <w:szCs w:val="24"/>
        </w:rPr>
        <w:t>).</w:t>
      </w:r>
    </w:p>
    <w:p w14:paraId="36C940C4" w14:textId="4BAFE327" w:rsidR="003A5B4D" w:rsidRPr="0060772A" w:rsidRDefault="00F45200" w:rsidP="002625F4">
      <w:pPr>
        <w:spacing w:after="240" w:line="276" w:lineRule="auto"/>
        <w:jc w:val="both"/>
        <w:rPr>
          <w:rFonts w:ascii="Times New Roman" w:eastAsia="Times New Roman" w:hAnsi="Times New Roman" w:cs="Times New Roman"/>
          <w:b/>
          <w:color w:val="0F1010"/>
          <w:sz w:val="24"/>
          <w:szCs w:val="24"/>
          <w:lang w:val="en" w:eastAsia="en-GB"/>
        </w:rPr>
      </w:pPr>
      <w:r w:rsidRPr="0060772A">
        <w:rPr>
          <w:rFonts w:ascii="Times New Roman" w:eastAsia="Times New Roman" w:hAnsi="Times New Roman" w:cs="Times New Roman"/>
          <w:b/>
          <w:color w:val="0F1010"/>
          <w:sz w:val="24"/>
          <w:szCs w:val="24"/>
          <w:lang w:val="en" w:eastAsia="en-GB"/>
        </w:rPr>
        <w:lastRenderedPageBreak/>
        <w:t xml:space="preserve">3.1.2 </w:t>
      </w:r>
      <w:r w:rsidR="003A5B4D" w:rsidRPr="0060772A">
        <w:rPr>
          <w:rFonts w:ascii="Times New Roman" w:eastAsia="Times New Roman" w:hAnsi="Times New Roman" w:cs="Times New Roman"/>
          <w:b/>
          <w:color w:val="0F1010"/>
          <w:sz w:val="24"/>
          <w:szCs w:val="24"/>
          <w:lang w:val="en" w:eastAsia="en-GB"/>
        </w:rPr>
        <w:t xml:space="preserve">Non-formal education </w:t>
      </w:r>
    </w:p>
    <w:p w14:paraId="7D8E65A2" w14:textId="7F03FAB1" w:rsidR="002D742C" w:rsidRPr="0060772A" w:rsidRDefault="005E5E73" w:rsidP="002625F4">
      <w:pPr>
        <w:spacing w:after="240" w:line="276" w:lineRule="auto"/>
        <w:jc w:val="both"/>
        <w:rPr>
          <w:rFonts w:ascii="Times New Roman" w:eastAsia="Times New Roman" w:hAnsi="Times New Roman" w:cs="Times New Roman"/>
          <w:color w:val="0F1010"/>
          <w:sz w:val="24"/>
          <w:szCs w:val="24"/>
          <w:lang w:val="en" w:eastAsia="en-GB"/>
        </w:rPr>
      </w:pPr>
      <w:r w:rsidRPr="0060772A">
        <w:rPr>
          <w:rFonts w:ascii="Times New Roman" w:eastAsia="Times New Roman" w:hAnsi="Times New Roman" w:cs="Times New Roman"/>
          <w:color w:val="0F1010"/>
          <w:sz w:val="24"/>
          <w:szCs w:val="24"/>
          <w:lang w:val="en" w:eastAsia="en-GB"/>
        </w:rPr>
        <w:t xml:space="preserve">The </w:t>
      </w:r>
      <w:r w:rsidR="002D742C" w:rsidRPr="0060772A">
        <w:rPr>
          <w:rFonts w:ascii="Times New Roman" w:eastAsia="Times New Roman" w:hAnsi="Times New Roman" w:cs="Times New Roman"/>
          <w:color w:val="0F1010"/>
          <w:sz w:val="24"/>
          <w:szCs w:val="24"/>
          <w:lang w:val="en" w:eastAsia="en-GB"/>
        </w:rPr>
        <w:t>successive governments in Bangladesh ha</w:t>
      </w:r>
      <w:r w:rsidRPr="0060772A">
        <w:rPr>
          <w:rFonts w:ascii="Times New Roman" w:eastAsia="Times New Roman" w:hAnsi="Times New Roman" w:cs="Times New Roman"/>
          <w:color w:val="0F1010"/>
          <w:sz w:val="24"/>
          <w:szCs w:val="24"/>
          <w:lang w:val="en" w:eastAsia="en-GB"/>
        </w:rPr>
        <w:t>ve</w:t>
      </w:r>
      <w:r w:rsidR="002D742C" w:rsidRPr="0060772A">
        <w:rPr>
          <w:rFonts w:ascii="Times New Roman" w:eastAsia="Times New Roman" w:hAnsi="Times New Roman" w:cs="Times New Roman"/>
          <w:color w:val="0F1010"/>
          <w:sz w:val="24"/>
          <w:szCs w:val="24"/>
          <w:lang w:val="en" w:eastAsia="en-GB"/>
        </w:rPr>
        <w:t xml:space="preserve"> been </w:t>
      </w:r>
      <w:r w:rsidRPr="0060772A">
        <w:rPr>
          <w:rFonts w:ascii="Times New Roman" w:eastAsia="Times New Roman" w:hAnsi="Times New Roman" w:cs="Times New Roman"/>
          <w:color w:val="0F1010"/>
          <w:sz w:val="24"/>
          <w:szCs w:val="24"/>
          <w:lang w:val="en" w:eastAsia="en-GB"/>
        </w:rPr>
        <w:t>implementing non</w:t>
      </w:r>
      <w:r w:rsidR="002D742C" w:rsidRPr="0060772A">
        <w:rPr>
          <w:rFonts w:ascii="Times New Roman" w:eastAsia="Times New Roman" w:hAnsi="Times New Roman" w:cs="Times New Roman"/>
          <w:color w:val="0F1010"/>
          <w:sz w:val="24"/>
          <w:szCs w:val="24"/>
          <w:lang w:val="en" w:eastAsia="en-GB"/>
        </w:rPr>
        <w:t>-formal education programs to empower its people</w:t>
      </w:r>
      <w:r w:rsidRPr="0060772A">
        <w:rPr>
          <w:rFonts w:ascii="Times New Roman" w:eastAsia="Times New Roman" w:hAnsi="Times New Roman" w:cs="Times New Roman"/>
          <w:color w:val="0F1010"/>
          <w:sz w:val="24"/>
          <w:szCs w:val="24"/>
          <w:lang w:val="en" w:eastAsia="en-GB"/>
        </w:rPr>
        <w:t xml:space="preserve">. In </w:t>
      </w:r>
      <w:r w:rsidR="002D742C" w:rsidRPr="0060772A">
        <w:rPr>
          <w:rFonts w:ascii="Times New Roman" w:eastAsia="Times New Roman" w:hAnsi="Times New Roman" w:cs="Times New Roman"/>
          <w:color w:val="0F1010"/>
          <w:sz w:val="24"/>
          <w:szCs w:val="24"/>
          <w:lang w:val="en" w:eastAsia="en-GB"/>
        </w:rPr>
        <w:t>the 1990s the government launched major non-formal education program focusing basic literacy</w:t>
      </w:r>
      <w:r w:rsidRPr="0060772A">
        <w:rPr>
          <w:rFonts w:ascii="Times New Roman" w:eastAsia="Times New Roman" w:hAnsi="Times New Roman" w:cs="Times New Roman"/>
          <w:color w:val="0F1010"/>
          <w:sz w:val="24"/>
          <w:szCs w:val="24"/>
          <w:lang w:val="en" w:eastAsia="en-GB"/>
        </w:rPr>
        <w:t xml:space="preserve">. Later in </w:t>
      </w:r>
      <w:r w:rsidR="002D742C" w:rsidRPr="0060772A">
        <w:rPr>
          <w:rFonts w:ascii="Times New Roman" w:eastAsia="Times New Roman" w:hAnsi="Times New Roman" w:cs="Times New Roman"/>
          <w:color w:val="0F1010"/>
          <w:sz w:val="24"/>
          <w:szCs w:val="24"/>
          <w:lang w:val="en" w:eastAsia="en-GB"/>
        </w:rPr>
        <w:t>2006</w:t>
      </w:r>
      <w:r w:rsidRPr="0060772A">
        <w:rPr>
          <w:rFonts w:ascii="Times New Roman" w:eastAsia="Times New Roman" w:hAnsi="Times New Roman" w:cs="Times New Roman"/>
          <w:color w:val="0F1010"/>
          <w:sz w:val="24"/>
          <w:szCs w:val="24"/>
          <w:lang w:val="en" w:eastAsia="en-GB"/>
        </w:rPr>
        <w:t>,</w:t>
      </w:r>
      <w:r w:rsidR="002D742C" w:rsidRPr="0060772A">
        <w:rPr>
          <w:rFonts w:ascii="Times New Roman" w:eastAsia="Times New Roman" w:hAnsi="Times New Roman" w:cs="Times New Roman"/>
          <w:color w:val="0F1010"/>
          <w:sz w:val="24"/>
          <w:szCs w:val="24"/>
          <w:lang w:val="en" w:eastAsia="en-GB"/>
        </w:rPr>
        <w:t xml:space="preserve"> a non-formal education policy  was adopted </w:t>
      </w:r>
      <w:r w:rsidRPr="0060772A">
        <w:rPr>
          <w:rFonts w:ascii="Times New Roman" w:eastAsia="Times New Roman" w:hAnsi="Times New Roman" w:cs="Times New Roman"/>
          <w:color w:val="0F1010"/>
          <w:sz w:val="24"/>
          <w:szCs w:val="24"/>
          <w:lang w:val="en" w:eastAsia="en-GB"/>
        </w:rPr>
        <w:t xml:space="preserve">that envisages </w:t>
      </w:r>
      <w:r w:rsidR="002D742C" w:rsidRPr="0060772A">
        <w:rPr>
          <w:rFonts w:ascii="Times New Roman" w:eastAsia="Times New Roman" w:hAnsi="Times New Roman" w:cs="Times New Roman"/>
          <w:color w:val="0F1010"/>
          <w:sz w:val="24"/>
          <w:szCs w:val="24"/>
          <w:lang w:val="en" w:eastAsia="en-GB"/>
        </w:rPr>
        <w:t>increas</w:t>
      </w:r>
      <w:r w:rsidRPr="0060772A">
        <w:rPr>
          <w:rFonts w:ascii="Times New Roman" w:eastAsia="Times New Roman" w:hAnsi="Times New Roman" w:cs="Times New Roman"/>
          <w:color w:val="0F1010"/>
          <w:sz w:val="24"/>
          <w:szCs w:val="24"/>
          <w:lang w:val="en" w:eastAsia="en-GB"/>
        </w:rPr>
        <w:t>ing</w:t>
      </w:r>
      <w:r w:rsidR="002D742C" w:rsidRPr="0060772A">
        <w:rPr>
          <w:rFonts w:ascii="Times New Roman" w:eastAsia="Times New Roman" w:hAnsi="Times New Roman" w:cs="Times New Roman"/>
          <w:color w:val="0F1010"/>
          <w:sz w:val="24"/>
          <w:szCs w:val="24"/>
          <w:lang w:val="en" w:eastAsia="en-GB"/>
        </w:rPr>
        <w:t xml:space="preserve"> the number of literates, providing need based continuing education, pre-voc1 and pre-voc2 level of education, promotion and equivalency between formal and n</w:t>
      </w:r>
      <w:r w:rsidRPr="0060772A">
        <w:rPr>
          <w:rFonts w:ascii="Times New Roman" w:eastAsia="Times New Roman" w:hAnsi="Times New Roman" w:cs="Times New Roman"/>
          <w:color w:val="0F1010"/>
          <w:sz w:val="24"/>
          <w:szCs w:val="24"/>
          <w:lang w:val="en" w:eastAsia="en-GB"/>
        </w:rPr>
        <w:t>o</w:t>
      </w:r>
      <w:r w:rsidR="002D742C" w:rsidRPr="0060772A">
        <w:rPr>
          <w:rFonts w:ascii="Times New Roman" w:eastAsia="Times New Roman" w:hAnsi="Times New Roman" w:cs="Times New Roman"/>
          <w:color w:val="0F1010"/>
          <w:sz w:val="24"/>
          <w:szCs w:val="24"/>
          <w:lang w:val="en" w:eastAsia="en-GB"/>
        </w:rPr>
        <w:t xml:space="preserve">n-formal education and ensuring </w:t>
      </w:r>
      <w:r w:rsidRPr="0060772A">
        <w:rPr>
          <w:rFonts w:ascii="Times New Roman" w:eastAsia="Times New Roman" w:hAnsi="Times New Roman" w:cs="Times New Roman"/>
          <w:color w:val="0F1010"/>
          <w:sz w:val="24"/>
          <w:szCs w:val="24"/>
          <w:lang w:val="en" w:eastAsia="en-GB"/>
        </w:rPr>
        <w:t xml:space="preserve">the </w:t>
      </w:r>
      <w:r w:rsidR="002D742C" w:rsidRPr="0060772A">
        <w:rPr>
          <w:rFonts w:ascii="Times New Roman" w:eastAsia="Times New Roman" w:hAnsi="Times New Roman" w:cs="Times New Roman"/>
          <w:color w:val="0F1010"/>
          <w:sz w:val="24"/>
          <w:szCs w:val="24"/>
          <w:lang w:val="en" w:eastAsia="en-GB"/>
        </w:rPr>
        <w:t xml:space="preserve">sustainability of non-formal education. </w:t>
      </w:r>
      <w:r w:rsidRPr="0060772A">
        <w:rPr>
          <w:rFonts w:ascii="Times New Roman" w:eastAsia="Times New Roman" w:hAnsi="Times New Roman" w:cs="Times New Roman"/>
          <w:color w:val="0F1010"/>
          <w:sz w:val="24"/>
          <w:szCs w:val="24"/>
          <w:lang w:val="en" w:eastAsia="en-GB"/>
        </w:rPr>
        <w:t>The policy also emphasized remedial</w:t>
      </w:r>
      <w:r w:rsidR="002D742C" w:rsidRPr="0060772A">
        <w:rPr>
          <w:rFonts w:ascii="Times New Roman" w:eastAsia="Times New Roman" w:hAnsi="Times New Roman" w:cs="Times New Roman"/>
          <w:color w:val="0F1010"/>
          <w:sz w:val="24"/>
          <w:szCs w:val="24"/>
          <w:lang w:val="en" w:eastAsia="en-GB"/>
        </w:rPr>
        <w:t xml:space="preserve"> </w:t>
      </w:r>
      <w:r w:rsidRPr="0060772A">
        <w:rPr>
          <w:rFonts w:ascii="Times New Roman" w:eastAsia="Times New Roman" w:hAnsi="Times New Roman" w:cs="Times New Roman"/>
          <w:color w:val="0F1010"/>
          <w:sz w:val="24"/>
          <w:szCs w:val="24"/>
          <w:lang w:val="en" w:eastAsia="en-GB"/>
        </w:rPr>
        <w:t>education</w:t>
      </w:r>
      <w:r w:rsidR="002D742C" w:rsidRPr="0060772A">
        <w:rPr>
          <w:rFonts w:ascii="Times New Roman" w:eastAsia="Times New Roman" w:hAnsi="Times New Roman" w:cs="Times New Roman"/>
          <w:color w:val="0F1010"/>
          <w:sz w:val="24"/>
          <w:szCs w:val="24"/>
          <w:lang w:val="en" w:eastAsia="en-GB"/>
        </w:rPr>
        <w:t xml:space="preserve"> program</w:t>
      </w:r>
      <w:r w:rsidRPr="0060772A">
        <w:rPr>
          <w:rFonts w:ascii="Times New Roman" w:eastAsia="Times New Roman" w:hAnsi="Times New Roman" w:cs="Times New Roman"/>
          <w:color w:val="0F1010"/>
          <w:sz w:val="24"/>
          <w:szCs w:val="24"/>
          <w:lang w:val="en" w:eastAsia="en-GB"/>
        </w:rPr>
        <w:t>,</w:t>
      </w:r>
      <w:r w:rsidR="002D742C" w:rsidRPr="0060772A">
        <w:rPr>
          <w:rFonts w:ascii="Times New Roman" w:eastAsia="Times New Roman" w:hAnsi="Times New Roman" w:cs="Times New Roman"/>
          <w:color w:val="0F1010"/>
          <w:sz w:val="24"/>
          <w:szCs w:val="24"/>
          <w:lang w:val="en" w:eastAsia="en-GB"/>
        </w:rPr>
        <w:t xml:space="preserve"> such a second chance schooling</w:t>
      </w:r>
      <w:r w:rsidRPr="0060772A">
        <w:rPr>
          <w:rFonts w:ascii="Times New Roman" w:eastAsia="Times New Roman" w:hAnsi="Times New Roman" w:cs="Times New Roman"/>
          <w:color w:val="0F1010"/>
          <w:sz w:val="24"/>
          <w:szCs w:val="24"/>
          <w:lang w:val="en" w:eastAsia="en-GB"/>
        </w:rPr>
        <w:t>,</w:t>
      </w:r>
      <w:r w:rsidR="002D742C" w:rsidRPr="0060772A">
        <w:rPr>
          <w:rFonts w:ascii="Times New Roman" w:eastAsia="Times New Roman" w:hAnsi="Times New Roman" w:cs="Times New Roman"/>
          <w:color w:val="0F1010"/>
          <w:sz w:val="24"/>
          <w:szCs w:val="24"/>
          <w:lang w:val="en" w:eastAsia="en-GB"/>
        </w:rPr>
        <w:t xml:space="preserve"> for dropouts to enhance skill for </w:t>
      </w:r>
      <w:r w:rsidRPr="0060772A">
        <w:rPr>
          <w:rFonts w:ascii="Times New Roman" w:eastAsia="Times New Roman" w:hAnsi="Times New Roman" w:cs="Times New Roman"/>
          <w:color w:val="0F1010"/>
          <w:sz w:val="24"/>
          <w:szCs w:val="24"/>
          <w:lang w:val="en" w:eastAsia="en-GB"/>
        </w:rPr>
        <w:t>people entering</w:t>
      </w:r>
      <w:r w:rsidR="002D742C" w:rsidRPr="0060772A">
        <w:rPr>
          <w:rFonts w:ascii="Times New Roman" w:eastAsia="Times New Roman" w:hAnsi="Times New Roman" w:cs="Times New Roman"/>
          <w:color w:val="0F1010"/>
          <w:sz w:val="24"/>
          <w:szCs w:val="24"/>
          <w:lang w:val="en" w:eastAsia="en-GB"/>
        </w:rPr>
        <w:t xml:space="preserve"> </w:t>
      </w:r>
      <w:r w:rsidR="006E2C5E">
        <w:rPr>
          <w:rFonts w:ascii="Times New Roman" w:eastAsia="Times New Roman" w:hAnsi="Times New Roman" w:cs="Times New Roman"/>
          <w:color w:val="0F1010"/>
          <w:sz w:val="24"/>
          <w:szCs w:val="24"/>
          <w:lang w:val="en" w:eastAsia="en-GB"/>
        </w:rPr>
        <w:t>labour</w:t>
      </w:r>
      <w:r w:rsidR="002D742C" w:rsidRPr="0060772A">
        <w:rPr>
          <w:rFonts w:ascii="Times New Roman" w:eastAsia="Times New Roman" w:hAnsi="Times New Roman" w:cs="Times New Roman"/>
          <w:color w:val="0F1010"/>
          <w:sz w:val="24"/>
          <w:szCs w:val="24"/>
          <w:lang w:val="en" w:eastAsia="en-GB"/>
        </w:rPr>
        <w:t xml:space="preserve"> market. </w:t>
      </w:r>
      <w:r w:rsidRPr="0060772A">
        <w:rPr>
          <w:rFonts w:ascii="Times New Roman" w:eastAsia="Times New Roman" w:hAnsi="Times New Roman" w:cs="Times New Roman"/>
          <w:color w:val="0F1010"/>
          <w:sz w:val="24"/>
          <w:szCs w:val="24"/>
          <w:lang w:val="en" w:eastAsia="en-GB"/>
        </w:rPr>
        <w:t>T</w:t>
      </w:r>
      <w:r w:rsidR="002D742C" w:rsidRPr="0060772A">
        <w:rPr>
          <w:rFonts w:ascii="Times New Roman" w:eastAsia="Times New Roman" w:hAnsi="Times New Roman" w:cs="Times New Roman"/>
          <w:color w:val="0F1010"/>
          <w:sz w:val="24"/>
          <w:szCs w:val="24"/>
          <w:lang w:val="en" w:eastAsia="en-GB"/>
        </w:rPr>
        <w:t>he governments goals</w:t>
      </w:r>
      <w:r w:rsidR="00CC1A40" w:rsidRPr="0060772A">
        <w:rPr>
          <w:rFonts w:ascii="Times New Roman" w:eastAsia="Times New Roman" w:hAnsi="Times New Roman" w:cs="Times New Roman"/>
          <w:color w:val="0F1010"/>
          <w:sz w:val="24"/>
          <w:szCs w:val="24"/>
          <w:lang w:val="en" w:eastAsia="en-GB"/>
        </w:rPr>
        <w:t>, in the area of non-formal education</w:t>
      </w:r>
      <w:r w:rsidR="00912A30" w:rsidRPr="0060772A">
        <w:rPr>
          <w:rFonts w:ascii="Times New Roman" w:eastAsia="Times New Roman" w:hAnsi="Times New Roman" w:cs="Times New Roman"/>
          <w:color w:val="0F1010"/>
          <w:sz w:val="24"/>
          <w:szCs w:val="24"/>
          <w:lang w:val="en" w:eastAsia="en-GB"/>
        </w:rPr>
        <w:t>, include establishing</w:t>
      </w:r>
      <w:r w:rsidR="002D742C" w:rsidRPr="0060772A">
        <w:rPr>
          <w:rFonts w:ascii="Times New Roman" w:eastAsia="Times New Roman" w:hAnsi="Times New Roman" w:cs="Times New Roman"/>
          <w:color w:val="0F1010"/>
          <w:sz w:val="24"/>
          <w:szCs w:val="24"/>
          <w:lang w:val="en" w:eastAsia="en-GB"/>
        </w:rPr>
        <w:t xml:space="preserve"> community based network of learning centers in each union, extending opportunities for effective skill training and establishing non-formal education board to facilitate opportunities for attaining higher </w:t>
      </w:r>
      <w:r w:rsidR="002D742C" w:rsidRPr="00A515CC">
        <w:rPr>
          <w:rFonts w:ascii="Times New Roman" w:eastAsia="Times New Roman" w:hAnsi="Times New Roman" w:cs="Times New Roman"/>
          <w:color w:val="0F1010"/>
          <w:sz w:val="24"/>
          <w:szCs w:val="24"/>
          <w:lang w:val="en" w:eastAsia="en-GB"/>
        </w:rPr>
        <w:t>education  and skill through establishment of equivalence between formal and non-formal education</w:t>
      </w:r>
      <w:r w:rsidR="00CC1A40" w:rsidRPr="00A515CC">
        <w:rPr>
          <w:rFonts w:ascii="Times New Roman" w:eastAsia="Times New Roman" w:hAnsi="Times New Roman" w:cs="Times New Roman"/>
          <w:color w:val="0F1010"/>
          <w:sz w:val="24"/>
          <w:szCs w:val="24"/>
          <w:lang w:val="en" w:eastAsia="en-GB"/>
        </w:rPr>
        <w:t>(SFYP</w:t>
      </w:r>
      <w:r w:rsidR="00A515CC" w:rsidRPr="00A515CC">
        <w:rPr>
          <w:rFonts w:ascii="Times New Roman" w:eastAsia="Times New Roman" w:hAnsi="Times New Roman" w:cs="Times New Roman"/>
          <w:color w:val="0F1010"/>
          <w:sz w:val="24"/>
          <w:szCs w:val="24"/>
          <w:lang w:val="en" w:eastAsia="en-GB"/>
        </w:rPr>
        <w:t xml:space="preserve"> 2015</w:t>
      </w:r>
      <w:r w:rsidR="00CC1A40" w:rsidRPr="00A515CC">
        <w:rPr>
          <w:rFonts w:ascii="Times New Roman" w:eastAsia="Times New Roman" w:hAnsi="Times New Roman" w:cs="Times New Roman"/>
          <w:color w:val="0F1010"/>
          <w:sz w:val="24"/>
          <w:szCs w:val="24"/>
          <w:lang w:val="en" w:eastAsia="en-GB"/>
        </w:rPr>
        <w:t xml:space="preserve"> )</w:t>
      </w:r>
      <w:r w:rsidR="002D742C" w:rsidRPr="00A515CC">
        <w:rPr>
          <w:rFonts w:ascii="Times New Roman" w:eastAsia="Times New Roman" w:hAnsi="Times New Roman" w:cs="Times New Roman"/>
          <w:color w:val="0F1010"/>
          <w:sz w:val="24"/>
          <w:szCs w:val="24"/>
          <w:lang w:val="en" w:eastAsia="en-GB"/>
        </w:rPr>
        <w:t>.</w:t>
      </w:r>
    </w:p>
    <w:p w14:paraId="5ADDFE1F" w14:textId="5BE2C42C" w:rsidR="002D742C" w:rsidRPr="0060772A" w:rsidRDefault="00F45200" w:rsidP="002625F4">
      <w:pPr>
        <w:spacing w:after="240" w:line="276" w:lineRule="auto"/>
        <w:jc w:val="both"/>
        <w:rPr>
          <w:rFonts w:ascii="Times New Roman" w:eastAsia="Times New Roman" w:hAnsi="Times New Roman" w:cs="Times New Roman"/>
          <w:b/>
          <w:color w:val="0F1010"/>
          <w:sz w:val="24"/>
          <w:szCs w:val="24"/>
          <w:lang w:val="en" w:eastAsia="en-GB"/>
        </w:rPr>
      </w:pPr>
      <w:r w:rsidRPr="0060772A">
        <w:rPr>
          <w:rFonts w:ascii="Times New Roman" w:eastAsia="Times New Roman" w:hAnsi="Times New Roman" w:cs="Times New Roman"/>
          <w:b/>
          <w:color w:val="0F1010"/>
          <w:sz w:val="24"/>
          <w:szCs w:val="24"/>
          <w:lang w:val="en" w:eastAsia="en-GB"/>
        </w:rPr>
        <w:t xml:space="preserve">3.2 </w:t>
      </w:r>
      <w:r w:rsidR="002D742C" w:rsidRPr="0060772A">
        <w:rPr>
          <w:rFonts w:ascii="Times New Roman" w:eastAsia="Times New Roman" w:hAnsi="Times New Roman" w:cs="Times New Roman"/>
          <w:b/>
          <w:color w:val="0F1010"/>
          <w:sz w:val="24"/>
          <w:szCs w:val="24"/>
          <w:lang w:val="en" w:eastAsia="en-GB"/>
        </w:rPr>
        <w:t xml:space="preserve">Secondary education </w:t>
      </w:r>
    </w:p>
    <w:p w14:paraId="7D234591" w14:textId="49C3125D" w:rsidR="000B4F6B" w:rsidRPr="0060772A" w:rsidRDefault="002D742C" w:rsidP="002625F4">
      <w:pPr>
        <w:spacing w:after="240" w:line="276" w:lineRule="auto"/>
        <w:jc w:val="both"/>
        <w:rPr>
          <w:rFonts w:ascii="Times New Roman" w:hAnsi="Times New Roman" w:cs="Times New Roman"/>
          <w:sz w:val="24"/>
          <w:szCs w:val="24"/>
        </w:rPr>
      </w:pPr>
      <w:r w:rsidRPr="0060772A">
        <w:rPr>
          <w:rFonts w:ascii="Times New Roman" w:eastAsia="Times New Roman" w:hAnsi="Times New Roman" w:cs="Times New Roman"/>
          <w:color w:val="0F1010"/>
          <w:sz w:val="24"/>
          <w:szCs w:val="24"/>
          <w:lang w:val="en" w:eastAsia="en-GB"/>
        </w:rPr>
        <w:t xml:space="preserve">In </w:t>
      </w:r>
      <w:r w:rsidR="008E3414" w:rsidRPr="0060772A">
        <w:rPr>
          <w:rFonts w:ascii="Times New Roman" w:eastAsia="Times New Roman" w:hAnsi="Times New Roman" w:cs="Times New Roman"/>
          <w:color w:val="0F1010"/>
          <w:sz w:val="24"/>
          <w:szCs w:val="24"/>
          <w:lang w:val="en" w:eastAsia="en-GB"/>
        </w:rPr>
        <w:t xml:space="preserve">the </w:t>
      </w:r>
      <w:r w:rsidRPr="0060772A">
        <w:rPr>
          <w:rFonts w:ascii="Times New Roman" w:eastAsia="Times New Roman" w:hAnsi="Times New Roman" w:cs="Times New Roman"/>
          <w:color w:val="0F1010"/>
          <w:sz w:val="24"/>
          <w:szCs w:val="24"/>
          <w:lang w:val="en" w:eastAsia="en-GB"/>
        </w:rPr>
        <w:t>case of secondary education, the enrollment as well as completion rate</w:t>
      </w:r>
      <w:r w:rsidR="008E3414" w:rsidRPr="0060772A">
        <w:rPr>
          <w:rFonts w:ascii="Times New Roman" w:eastAsia="Times New Roman" w:hAnsi="Times New Roman" w:cs="Times New Roman"/>
          <w:color w:val="0F1010"/>
          <w:sz w:val="24"/>
          <w:szCs w:val="24"/>
          <w:lang w:val="en" w:eastAsia="en-GB"/>
        </w:rPr>
        <w:t>s</w:t>
      </w:r>
      <w:r w:rsidRPr="0060772A">
        <w:rPr>
          <w:rFonts w:ascii="Times New Roman" w:eastAsia="Times New Roman" w:hAnsi="Times New Roman" w:cs="Times New Roman"/>
          <w:color w:val="0F1010"/>
          <w:sz w:val="24"/>
          <w:szCs w:val="24"/>
          <w:lang w:val="en" w:eastAsia="en-GB"/>
        </w:rPr>
        <w:t xml:space="preserve"> suggest that large proportion of primary completers do not continue to secondary and that a large proportion of students do not pass the secondary school certificate (SSC) examination. The issues of learning and drop-out (both physical as well as virtual drop-outs) </w:t>
      </w:r>
      <w:r w:rsidR="008E3414" w:rsidRPr="0060772A">
        <w:rPr>
          <w:rFonts w:ascii="Times New Roman" w:eastAsia="Times New Roman" w:hAnsi="Times New Roman" w:cs="Times New Roman"/>
          <w:color w:val="0F1010"/>
          <w:sz w:val="24"/>
          <w:szCs w:val="24"/>
          <w:lang w:val="en" w:eastAsia="en-GB"/>
        </w:rPr>
        <w:t xml:space="preserve">still </w:t>
      </w:r>
      <w:r w:rsidRPr="0060772A">
        <w:rPr>
          <w:rFonts w:ascii="Times New Roman" w:eastAsia="Times New Roman" w:hAnsi="Times New Roman" w:cs="Times New Roman"/>
          <w:color w:val="0F1010"/>
          <w:sz w:val="24"/>
          <w:szCs w:val="24"/>
          <w:lang w:val="en" w:eastAsia="en-GB"/>
        </w:rPr>
        <w:t xml:space="preserve">remain </w:t>
      </w:r>
      <w:r w:rsidR="008E3414" w:rsidRPr="0060772A">
        <w:rPr>
          <w:rFonts w:ascii="Times New Roman" w:eastAsia="Times New Roman" w:hAnsi="Times New Roman" w:cs="Times New Roman"/>
          <w:color w:val="0F1010"/>
          <w:sz w:val="24"/>
          <w:szCs w:val="24"/>
          <w:lang w:val="en" w:eastAsia="en-GB"/>
        </w:rPr>
        <w:t xml:space="preserve">a </w:t>
      </w:r>
      <w:r w:rsidRPr="0060772A">
        <w:rPr>
          <w:rFonts w:ascii="Times New Roman" w:eastAsia="Times New Roman" w:hAnsi="Times New Roman" w:cs="Times New Roman"/>
          <w:color w:val="0F1010"/>
          <w:sz w:val="24"/>
          <w:szCs w:val="24"/>
          <w:lang w:val="en" w:eastAsia="en-GB"/>
        </w:rPr>
        <w:t xml:space="preserve">serious concern at the policy level. </w:t>
      </w:r>
      <w:r w:rsidR="008E3414" w:rsidRPr="0060772A">
        <w:rPr>
          <w:rFonts w:ascii="Times New Roman" w:eastAsia="Times New Roman" w:hAnsi="Times New Roman" w:cs="Times New Roman"/>
          <w:color w:val="0F1010"/>
          <w:sz w:val="24"/>
          <w:szCs w:val="24"/>
          <w:lang w:val="en" w:eastAsia="en-GB"/>
        </w:rPr>
        <w:t xml:space="preserve">Comparing with </w:t>
      </w:r>
      <w:r w:rsidR="000B4F6B" w:rsidRPr="0060772A">
        <w:rPr>
          <w:rFonts w:ascii="Times New Roman" w:hAnsi="Times New Roman" w:cs="Times New Roman"/>
          <w:sz w:val="24"/>
          <w:szCs w:val="24"/>
        </w:rPr>
        <w:t xml:space="preserve">international </w:t>
      </w:r>
      <w:r w:rsidR="008E3414" w:rsidRPr="0060772A">
        <w:rPr>
          <w:rFonts w:ascii="Times New Roman" w:hAnsi="Times New Roman" w:cs="Times New Roman"/>
          <w:sz w:val="24"/>
          <w:szCs w:val="24"/>
        </w:rPr>
        <w:t>trend</w:t>
      </w:r>
      <w:r w:rsidR="000B4F6B" w:rsidRPr="0060772A">
        <w:rPr>
          <w:rFonts w:ascii="Times New Roman" w:hAnsi="Times New Roman" w:cs="Times New Roman"/>
          <w:sz w:val="24"/>
          <w:szCs w:val="24"/>
        </w:rPr>
        <w:t xml:space="preserve">, the secondary continuation rate of Bangladesh is almost at the average level predicted by </w:t>
      </w:r>
      <w:r w:rsidR="008E3414" w:rsidRPr="0060772A">
        <w:rPr>
          <w:rFonts w:ascii="Times New Roman" w:hAnsi="Times New Roman" w:cs="Times New Roman"/>
          <w:sz w:val="24"/>
          <w:szCs w:val="24"/>
        </w:rPr>
        <w:t>country’s</w:t>
      </w:r>
      <w:r w:rsidR="000B4F6B" w:rsidRPr="0060772A">
        <w:rPr>
          <w:rFonts w:ascii="Times New Roman" w:hAnsi="Times New Roman" w:cs="Times New Roman"/>
          <w:sz w:val="24"/>
          <w:szCs w:val="24"/>
        </w:rPr>
        <w:t xml:space="preserve"> GDP per capita, while the repetition rate is slightly lower than the international average (</w:t>
      </w:r>
      <w:r w:rsidR="008E3414" w:rsidRPr="0060772A">
        <w:rPr>
          <w:rFonts w:ascii="Times New Roman" w:hAnsi="Times New Roman" w:cs="Times New Roman"/>
          <w:sz w:val="24"/>
          <w:szCs w:val="24"/>
        </w:rPr>
        <w:t xml:space="preserve">see </w:t>
      </w:r>
      <w:r w:rsidR="000B4F6B" w:rsidRPr="0060772A">
        <w:rPr>
          <w:rFonts w:ascii="Times New Roman" w:hAnsi="Times New Roman" w:cs="Times New Roman"/>
          <w:sz w:val="24"/>
          <w:szCs w:val="24"/>
        </w:rPr>
        <w:t xml:space="preserve">Kono et al 2018). They also suggest that in terms of female-to-male gender gap, Bangladesh recorded a slightly better continuation rate, but worse in the repetition rate when compared with the international trend. These findings have implications for quality and/or learning outcomes in schools. </w:t>
      </w:r>
    </w:p>
    <w:p w14:paraId="4567CF32" w14:textId="39E80D66" w:rsidR="003A7585" w:rsidRPr="0060772A" w:rsidRDefault="00E1644B" w:rsidP="002625F4">
      <w:pPr>
        <w:spacing w:after="240" w:line="276" w:lineRule="auto"/>
        <w:ind w:firstLine="720"/>
        <w:jc w:val="both"/>
        <w:rPr>
          <w:rFonts w:ascii="Times New Roman" w:hAnsi="Times New Roman" w:cs="Times New Roman"/>
          <w:color w:val="000000" w:themeColor="text1"/>
          <w:sz w:val="24"/>
          <w:szCs w:val="24"/>
        </w:rPr>
      </w:pPr>
      <w:r>
        <w:rPr>
          <w:rFonts w:ascii="Times New Roman" w:eastAsia="Times New Roman" w:hAnsi="Times New Roman" w:cs="Times New Roman"/>
          <w:color w:val="0F1010"/>
          <w:sz w:val="24"/>
          <w:szCs w:val="24"/>
          <w:lang w:val="en" w:eastAsia="en-GB"/>
        </w:rPr>
        <w:t xml:space="preserve">According to the </w:t>
      </w:r>
      <w:r w:rsidR="008E3414" w:rsidRPr="0060772A">
        <w:rPr>
          <w:rFonts w:ascii="Times New Roman" w:eastAsia="Times New Roman" w:hAnsi="Times New Roman" w:cs="Times New Roman"/>
          <w:color w:val="0F1010"/>
          <w:sz w:val="24"/>
          <w:szCs w:val="24"/>
          <w:lang w:val="en" w:eastAsia="en-GB"/>
        </w:rPr>
        <w:t>government’s documents, s</w:t>
      </w:r>
      <w:r w:rsidR="0029439E" w:rsidRPr="0060772A">
        <w:rPr>
          <w:rFonts w:ascii="Times New Roman" w:eastAsia="Times New Roman" w:hAnsi="Times New Roman" w:cs="Times New Roman"/>
          <w:color w:val="0F1010"/>
          <w:sz w:val="24"/>
          <w:szCs w:val="24"/>
          <w:lang w:val="en" w:eastAsia="en-GB"/>
        </w:rPr>
        <w:t>ome of the programs to enhance the secondary education currently underway include</w:t>
      </w:r>
      <w:r w:rsidR="008E3414" w:rsidRPr="0060772A">
        <w:rPr>
          <w:rFonts w:ascii="Times New Roman" w:eastAsia="Times New Roman" w:hAnsi="Times New Roman" w:cs="Times New Roman"/>
          <w:color w:val="0F1010"/>
          <w:sz w:val="24"/>
          <w:szCs w:val="24"/>
          <w:lang w:val="en" w:eastAsia="en-GB"/>
        </w:rPr>
        <w:t>:</w:t>
      </w:r>
      <w:r w:rsidR="0029439E" w:rsidRPr="0060772A">
        <w:rPr>
          <w:rFonts w:ascii="Times New Roman" w:eastAsia="Times New Roman" w:hAnsi="Times New Roman" w:cs="Times New Roman"/>
          <w:color w:val="0F1010"/>
          <w:sz w:val="24"/>
          <w:szCs w:val="24"/>
          <w:lang w:val="en" w:eastAsia="en-GB"/>
        </w:rPr>
        <w:t xml:space="preserve"> 1) the secondary education sector investment program (SESIP 2014-17) under which support for teaching materials and teachers training and stipend are given</w:t>
      </w:r>
      <w:r w:rsidR="008E3414" w:rsidRPr="0060772A">
        <w:rPr>
          <w:rFonts w:ascii="Times New Roman" w:eastAsia="Times New Roman" w:hAnsi="Times New Roman" w:cs="Times New Roman"/>
          <w:color w:val="0F1010"/>
          <w:sz w:val="24"/>
          <w:szCs w:val="24"/>
          <w:lang w:val="en" w:eastAsia="en-GB"/>
        </w:rPr>
        <w:t>;</w:t>
      </w:r>
      <w:r w:rsidR="0029439E" w:rsidRPr="0060772A">
        <w:rPr>
          <w:rFonts w:ascii="Times New Roman" w:eastAsia="Times New Roman" w:hAnsi="Times New Roman" w:cs="Times New Roman"/>
          <w:color w:val="0F1010"/>
          <w:sz w:val="24"/>
          <w:szCs w:val="24"/>
          <w:lang w:val="en" w:eastAsia="en-GB"/>
        </w:rPr>
        <w:t xml:space="preserve"> 2) Teaching quality Improvement II</w:t>
      </w:r>
      <w:r w:rsidR="002B3C99" w:rsidRPr="0060772A">
        <w:rPr>
          <w:rFonts w:ascii="Times New Roman" w:eastAsia="Times New Roman" w:hAnsi="Times New Roman" w:cs="Times New Roman"/>
          <w:color w:val="0F1010"/>
          <w:sz w:val="24"/>
          <w:szCs w:val="24"/>
          <w:lang w:val="en" w:eastAsia="en-GB"/>
        </w:rPr>
        <w:t xml:space="preserve"> </w:t>
      </w:r>
      <w:r w:rsidR="0029439E" w:rsidRPr="0060772A">
        <w:rPr>
          <w:rFonts w:ascii="Times New Roman" w:eastAsia="Times New Roman" w:hAnsi="Times New Roman" w:cs="Times New Roman"/>
          <w:color w:val="0F1010"/>
          <w:sz w:val="24"/>
          <w:szCs w:val="24"/>
          <w:lang w:val="en" w:eastAsia="en-GB"/>
        </w:rPr>
        <w:t>(TQI-II 2012-17) under which on-the-job, continuous training and professional development and access to office equipment a</w:t>
      </w:r>
      <w:r w:rsidR="006760C4">
        <w:rPr>
          <w:rFonts w:ascii="Times New Roman" w:eastAsia="Times New Roman" w:hAnsi="Times New Roman" w:cs="Times New Roman"/>
          <w:color w:val="0F1010"/>
          <w:sz w:val="24"/>
          <w:szCs w:val="24"/>
          <w:lang w:val="en" w:eastAsia="en-GB"/>
        </w:rPr>
        <w:t xml:space="preserve">nd ICT materials are provided. </w:t>
      </w:r>
      <w:r w:rsidR="000B4F6B" w:rsidRPr="0060772A">
        <w:rPr>
          <w:rFonts w:ascii="Times New Roman" w:hAnsi="Times New Roman" w:cs="Times New Roman"/>
          <w:color w:val="000000" w:themeColor="text1"/>
          <w:sz w:val="24"/>
          <w:szCs w:val="24"/>
        </w:rPr>
        <w:t>Enrolment in vocational and technical education as a percentage of secondary enrolment has been slowly increasing over the last decades</w:t>
      </w:r>
      <w:r w:rsidR="008E3414" w:rsidRPr="0060772A">
        <w:rPr>
          <w:rFonts w:ascii="Times New Roman" w:hAnsi="Times New Roman" w:cs="Times New Roman"/>
          <w:color w:val="000000" w:themeColor="text1"/>
          <w:sz w:val="24"/>
          <w:szCs w:val="24"/>
        </w:rPr>
        <w:t xml:space="preserve">, while less </w:t>
      </w:r>
      <w:r w:rsidR="000B4F6B" w:rsidRPr="0060772A">
        <w:rPr>
          <w:rFonts w:ascii="Times New Roman" w:hAnsi="Times New Roman" w:cs="Times New Roman"/>
          <w:color w:val="000000" w:themeColor="text1"/>
          <w:sz w:val="24"/>
          <w:szCs w:val="24"/>
        </w:rPr>
        <w:t xml:space="preserve">progress </w:t>
      </w:r>
      <w:r w:rsidR="008E3414" w:rsidRPr="0060772A">
        <w:rPr>
          <w:rFonts w:ascii="Times New Roman" w:hAnsi="Times New Roman" w:cs="Times New Roman"/>
          <w:color w:val="000000" w:themeColor="text1"/>
          <w:sz w:val="24"/>
          <w:szCs w:val="24"/>
        </w:rPr>
        <w:t>is done</w:t>
      </w:r>
      <w:r w:rsidR="000B4F6B" w:rsidRPr="0060772A">
        <w:rPr>
          <w:rFonts w:ascii="Times New Roman" w:hAnsi="Times New Roman" w:cs="Times New Roman"/>
          <w:color w:val="000000" w:themeColor="text1"/>
          <w:sz w:val="24"/>
          <w:szCs w:val="24"/>
        </w:rPr>
        <w:t xml:space="preserve"> in terms of enrolment in upper levels. </w:t>
      </w:r>
      <w:r w:rsidR="003A7585" w:rsidRPr="0060772A">
        <w:rPr>
          <w:rFonts w:ascii="Times New Roman" w:hAnsi="Times New Roman" w:cs="Times New Roman"/>
          <w:sz w:val="24"/>
          <w:szCs w:val="24"/>
        </w:rPr>
        <w:t xml:space="preserve">The government under the Sixth Five Year Plan took the initiate to strengthen the system of vocational education and training (TVET). Formal TVET consist of SSC, HSC, and diploma courses. The TVET program includes a range of courses: time bound, institution based and graded training with formal certification, which are offered by vocational training institutes, polytechnic, commercial institutes, technical training centre and specialized institutes and their governance are overseen by the directorate of technical education </w:t>
      </w:r>
      <w:r w:rsidR="003A7585" w:rsidRPr="0060772A">
        <w:rPr>
          <w:rFonts w:ascii="Times New Roman" w:hAnsi="Times New Roman" w:cs="Times New Roman"/>
          <w:sz w:val="24"/>
          <w:szCs w:val="24"/>
        </w:rPr>
        <w:lastRenderedPageBreak/>
        <w:t>and Bangladesh technical education board.</w:t>
      </w:r>
      <w:r>
        <w:rPr>
          <w:rFonts w:ascii="Times New Roman" w:hAnsi="Times New Roman" w:cs="Times New Roman"/>
          <w:sz w:val="24"/>
          <w:szCs w:val="24"/>
        </w:rPr>
        <w:t xml:space="preserve"> </w:t>
      </w:r>
      <w:r w:rsidR="003A7585" w:rsidRPr="0060772A">
        <w:rPr>
          <w:rFonts w:ascii="Times New Roman" w:hAnsi="Times New Roman" w:cs="Times New Roman"/>
          <w:sz w:val="24"/>
          <w:szCs w:val="24"/>
        </w:rPr>
        <w:t xml:space="preserve">However, there remain important challenges resulting from unsatisfactory performance of TVET sector in terms of quality. The relevance of training, circumstanced by the lack of infrastructures, lab/equipment and technical facilities in non-governmental technical institutes as well as lack of adequate resources with the technical education board limits the implementation of goals under the aforementioned policies. </w:t>
      </w:r>
      <w:r w:rsidR="00722067" w:rsidRPr="0060772A">
        <w:rPr>
          <w:rFonts w:ascii="Times New Roman" w:hAnsi="Times New Roman" w:cs="Times New Roman"/>
          <w:color w:val="000000" w:themeColor="text1"/>
          <w:sz w:val="24"/>
          <w:szCs w:val="24"/>
        </w:rPr>
        <w:t xml:space="preserve">While analysing the challenges of human capital development in Bangladesh Islam (2015) concludes that mere expansion of capacity with regards to formal technical and vocational training may not solve the skill gap that exist at the moment, particularly given the fact that degree of capacity utilization in vocational education and training institutions is found to be low (Alamgir 2013, cited in Islam (2015)). </w:t>
      </w:r>
    </w:p>
    <w:p w14:paraId="4AF82702" w14:textId="2E502884" w:rsidR="002D742C" w:rsidRPr="0060772A" w:rsidRDefault="00F45200" w:rsidP="002625F4">
      <w:pPr>
        <w:spacing w:after="240" w:line="276" w:lineRule="auto"/>
        <w:jc w:val="both"/>
        <w:rPr>
          <w:rFonts w:ascii="Times New Roman" w:eastAsia="Times New Roman" w:hAnsi="Times New Roman" w:cs="Times New Roman"/>
          <w:b/>
          <w:color w:val="0F1010"/>
          <w:sz w:val="24"/>
          <w:szCs w:val="24"/>
          <w:lang w:val="en" w:eastAsia="en-GB"/>
        </w:rPr>
      </w:pPr>
      <w:r w:rsidRPr="0060772A">
        <w:rPr>
          <w:rFonts w:ascii="Times New Roman" w:eastAsia="Times New Roman" w:hAnsi="Times New Roman" w:cs="Times New Roman"/>
          <w:b/>
          <w:color w:val="0F1010"/>
          <w:sz w:val="24"/>
          <w:szCs w:val="24"/>
          <w:lang w:val="en" w:eastAsia="en-GB"/>
        </w:rPr>
        <w:t xml:space="preserve">3.2.1 </w:t>
      </w:r>
      <w:r w:rsidR="002D742C" w:rsidRPr="0060772A">
        <w:rPr>
          <w:rFonts w:ascii="Times New Roman" w:eastAsia="Times New Roman" w:hAnsi="Times New Roman" w:cs="Times New Roman"/>
          <w:b/>
          <w:color w:val="0F1010"/>
          <w:sz w:val="24"/>
          <w:szCs w:val="24"/>
          <w:lang w:val="en" w:eastAsia="en-GB"/>
        </w:rPr>
        <w:t>Madrasa Education</w:t>
      </w:r>
    </w:p>
    <w:p w14:paraId="2CFD644D" w14:textId="052B28F6" w:rsidR="002D742C" w:rsidRPr="0060772A" w:rsidRDefault="002D742C" w:rsidP="002625F4">
      <w:pPr>
        <w:spacing w:after="240" w:line="276" w:lineRule="auto"/>
        <w:jc w:val="both"/>
        <w:rPr>
          <w:rFonts w:ascii="Times New Roman" w:eastAsia="Times New Roman" w:hAnsi="Times New Roman" w:cs="Times New Roman"/>
          <w:color w:val="0F1010"/>
          <w:sz w:val="24"/>
          <w:szCs w:val="24"/>
          <w:lang w:val="en" w:eastAsia="en-GB"/>
        </w:rPr>
      </w:pPr>
      <w:r w:rsidRPr="0060772A">
        <w:rPr>
          <w:rFonts w:ascii="Times New Roman" w:eastAsia="Times New Roman" w:hAnsi="Times New Roman" w:cs="Times New Roman"/>
          <w:color w:val="0F1010"/>
          <w:sz w:val="24"/>
          <w:szCs w:val="24"/>
          <w:lang w:val="en" w:eastAsia="en-GB"/>
        </w:rPr>
        <w:t xml:space="preserve">It has been observed that the enrollment in Madrasa’s at the secondary level has been increasing in the 1990s, particularly female enrollment, with the introduction of female stipend program. Many argue that Madrasa graduates often find it </w:t>
      </w:r>
      <w:r w:rsidR="00C879AD" w:rsidRPr="0060772A">
        <w:rPr>
          <w:rFonts w:ascii="Times New Roman" w:eastAsia="Times New Roman" w:hAnsi="Times New Roman" w:cs="Times New Roman"/>
          <w:color w:val="0F1010"/>
          <w:sz w:val="24"/>
          <w:szCs w:val="24"/>
          <w:lang w:val="en" w:eastAsia="en-GB"/>
        </w:rPr>
        <w:t xml:space="preserve">difficult to </w:t>
      </w:r>
      <w:r w:rsidRPr="0060772A">
        <w:rPr>
          <w:rFonts w:ascii="Times New Roman" w:eastAsia="Times New Roman" w:hAnsi="Times New Roman" w:cs="Times New Roman"/>
          <w:color w:val="0F1010"/>
          <w:sz w:val="24"/>
          <w:szCs w:val="24"/>
          <w:lang w:val="en" w:eastAsia="en-GB"/>
        </w:rPr>
        <w:t xml:space="preserve">compete and integrate with the mainstream education affecting their </w:t>
      </w:r>
      <w:r w:rsidR="006E2C5E">
        <w:rPr>
          <w:rFonts w:ascii="Times New Roman" w:eastAsia="Times New Roman" w:hAnsi="Times New Roman" w:cs="Times New Roman"/>
          <w:color w:val="0F1010"/>
          <w:sz w:val="24"/>
          <w:szCs w:val="24"/>
          <w:lang w:val="en" w:eastAsia="en-GB"/>
        </w:rPr>
        <w:t>labour</w:t>
      </w:r>
      <w:r w:rsidRPr="0060772A">
        <w:rPr>
          <w:rFonts w:ascii="Times New Roman" w:eastAsia="Times New Roman" w:hAnsi="Times New Roman" w:cs="Times New Roman"/>
          <w:color w:val="0F1010"/>
          <w:sz w:val="24"/>
          <w:szCs w:val="24"/>
          <w:lang w:val="en" w:eastAsia="en-GB"/>
        </w:rPr>
        <w:t xml:space="preserve"> market outcome</w:t>
      </w:r>
      <w:r w:rsidR="000D495E" w:rsidRPr="0060772A">
        <w:rPr>
          <w:rFonts w:ascii="Times New Roman" w:eastAsia="Times New Roman" w:hAnsi="Times New Roman" w:cs="Times New Roman"/>
          <w:color w:val="0F1010"/>
          <w:sz w:val="24"/>
          <w:szCs w:val="24"/>
          <w:lang w:val="en" w:eastAsia="en-GB"/>
        </w:rPr>
        <w:t>s</w:t>
      </w:r>
      <w:r w:rsidRPr="0060772A">
        <w:rPr>
          <w:rFonts w:ascii="Times New Roman" w:eastAsia="Times New Roman" w:hAnsi="Times New Roman" w:cs="Times New Roman"/>
          <w:color w:val="0F1010"/>
          <w:sz w:val="24"/>
          <w:szCs w:val="24"/>
          <w:lang w:val="en" w:eastAsia="en-GB"/>
        </w:rPr>
        <w:t xml:space="preserve">. The government’s policy focus with regards to Madrasa education in the recent years have been to make the system productive and job-oriented through introducing vocational courses </w:t>
      </w:r>
      <w:r w:rsidR="00C879AD" w:rsidRPr="0060772A">
        <w:rPr>
          <w:rFonts w:ascii="Times New Roman" w:eastAsia="Times New Roman" w:hAnsi="Times New Roman" w:cs="Times New Roman"/>
          <w:color w:val="0F1010"/>
          <w:sz w:val="24"/>
          <w:szCs w:val="24"/>
          <w:lang w:val="en" w:eastAsia="en-GB"/>
        </w:rPr>
        <w:t xml:space="preserve">at secondary level in  selected </w:t>
      </w:r>
      <w:r w:rsidRPr="0060772A">
        <w:rPr>
          <w:rFonts w:ascii="Times New Roman" w:eastAsia="Times New Roman" w:hAnsi="Times New Roman" w:cs="Times New Roman"/>
          <w:color w:val="0F1010"/>
          <w:sz w:val="24"/>
          <w:szCs w:val="24"/>
          <w:lang w:val="en" w:eastAsia="en-GB"/>
        </w:rPr>
        <w:t>Madrasas. The government under the 7</w:t>
      </w:r>
      <w:r w:rsidRPr="0060772A">
        <w:rPr>
          <w:rFonts w:ascii="Times New Roman" w:eastAsia="Times New Roman" w:hAnsi="Times New Roman" w:cs="Times New Roman"/>
          <w:color w:val="0F1010"/>
          <w:sz w:val="24"/>
          <w:szCs w:val="24"/>
          <w:vertAlign w:val="superscript"/>
          <w:lang w:val="en" w:eastAsia="en-GB"/>
        </w:rPr>
        <w:t>th</w:t>
      </w:r>
      <w:r w:rsidRPr="0060772A">
        <w:rPr>
          <w:rFonts w:ascii="Times New Roman" w:eastAsia="Times New Roman" w:hAnsi="Times New Roman" w:cs="Times New Roman"/>
          <w:color w:val="0F1010"/>
          <w:sz w:val="24"/>
          <w:szCs w:val="24"/>
          <w:lang w:val="en" w:eastAsia="en-GB"/>
        </w:rPr>
        <w:t xml:space="preserve"> FYP has taken initiatives to invest on infrastructural improvements for non-governmental Madrasas to facilitate learning environment and plans are underway in revising the curriculums at all levels of Madrasa education. The government’s </w:t>
      </w:r>
      <w:r w:rsidR="000D495E" w:rsidRPr="0060772A">
        <w:rPr>
          <w:rFonts w:ascii="Times New Roman" w:eastAsia="Times New Roman" w:hAnsi="Times New Roman" w:cs="Times New Roman"/>
          <w:color w:val="0F1010"/>
          <w:sz w:val="24"/>
          <w:szCs w:val="24"/>
          <w:lang w:val="en" w:eastAsia="en-GB"/>
        </w:rPr>
        <w:t xml:space="preserve">reform </w:t>
      </w:r>
      <w:r w:rsidRPr="0060772A">
        <w:rPr>
          <w:rFonts w:ascii="Times New Roman" w:eastAsia="Times New Roman" w:hAnsi="Times New Roman" w:cs="Times New Roman"/>
          <w:color w:val="0F1010"/>
          <w:sz w:val="24"/>
          <w:szCs w:val="24"/>
          <w:lang w:val="en" w:eastAsia="en-GB"/>
        </w:rPr>
        <w:t>agenda also includes capacity building of teachers in the use of ICT and facilitate ICT education for Madrasa students.</w:t>
      </w:r>
    </w:p>
    <w:p w14:paraId="0FFD9905" w14:textId="03BA05C1" w:rsidR="002D742C" w:rsidRPr="0060772A" w:rsidRDefault="003F4DB3" w:rsidP="002625F4">
      <w:pPr>
        <w:spacing w:after="240" w:line="276" w:lineRule="auto"/>
        <w:jc w:val="both"/>
        <w:rPr>
          <w:rFonts w:ascii="Times New Roman" w:eastAsia="Times New Roman" w:hAnsi="Times New Roman" w:cs="Times New Roman"/>
          <w:b/>
          <w:color w:val="0F1010"/>
          <w:sz w:val="24"/>
          <w:szCs w:val="24"/>
          <w:lang w:val="en" w:eastAsia="en-GB"/>
        </w:rPr>
      </w:pPr>
      <w:r w:rsidRPr="0060772A">
        <w:rPr>
          <w:rFonts w:ascii="Times New Roman" w:eastAsia="Times New Roman" w:hAnsi="Times New Roman" w:cs="Times New Roman"/>
          <w:b/>
          <w:color w:val="0F1010"/>
          <w:sz w:val="24"/>
          <w:szCs w:val="24"/>
          <w:lang w:val="en" w:eastAsia="en-GB"/>
        </w:rPr>
        <w:t xml:space="preserve">3.3 </w:t>
      </w:r>
      <w:r w:rsidR="002D742C" w:rsidRPr="0060772A">
        <w:rPr>
          <w:rFonts w:ascii="Times New Roman" w:eastAsia="Times New Roman" w:hAnsi="Times New Roman" w:cs="Times New Roman"/>
          <w:b/>
          <w:color w:val="0F1010"/>
          <w:sz w:val="24"/>
          <w:szCs w:val="24"/>
          <w:lang w:val="en" w:eastAsia="en-GB"/>
        </w:rPr>
        <w:t>Higher Education</w:t>
      </w:r>
    </w:p>
    <w:p w14:paraId="53E248EF" w14:textId="709ECB46" w:rsidR="00C879AD" w:rsidRPr="0060772A" w:rsidRDefault="00B82F64" w:rsidP="00B82F64">
      <w:pPr>
        <w:autoSpaceDE w:val="0"/>
        <w:autoSpaceDN w:val="0"/>
        <w:adjustRightInd w:val="0"/>
        <w:spacing w:after="240" w:line="276" w:lineRule="auto"/>
        <w:jc w:val="both"/>
        <w:rPr>
          <w:rFonts w:ascii="Times New Roman" w:eastAsia="Times New Roman" w:hAnsi="Times New Roman" w:cs="Times New Roman"/>
          <w:color w:val="0F1010"/>
          <w:sz w:val="24"/>
          <w:szCs w:val="24"/>
          <w:lang w:val="en" w:eastAsia="en-GB"/>
        </w:rPr>
      </w:pPr>
      <w:r>
        <w:rPr>
          <w:rFonts w:ascii="Times New Roman" w:hAnsi="Times New Roman" w:cs="Times New Roman"/>
          <w:sz w:val="24"/>
          <w:szCs w:val="24"/>
        </w:rPr>
        <w:t>Here we briefly review</w:t>
      </w:r>
      <w:r w:rsidR="00E1644B">
        <w:rPr>
          <w:rFonts w:ascii="Times New Roman" w:hAnsi="Times New Roman" w:cs="Times New Roman"/>
          <w:sz w:val="24"/>
          <w:szCs w:val="24"/>
        </w:rPr>
        <w:t xml:space="preserve"> </w:t>
      </w:r>
      <w:r w:rsidR="005F725A" w:rsidRPr="00466EC6">
        <w:rPr>
          <w:rFonts w:ascii="Times New Roman" w:hAnsi="Times New Roman" w:cs="Times New Roman"/>
          <w:sz w:val="24"/>
          <w:szCs w:val="24"/>
        </w:rPr>
        <w:t>the progress including enrolment and challenges in the higher education sector</w:t>
      </w:r>
      <w:r>
        <w:rPr>
          <w:rFonts w:ascii="Times New Roman" w:hAnsi="Times New Roman" w:cs="Times New Roman"/>
          <w:sz w:val="24"/>
          <w:szCs w:val="24"/>
        </w:rPr>
        <w:t xml:space="preserve">. </w:t>
      </w:r>
      <w:r w:rsidR="005F725A" w:rsidRPr="00466EC6">
        <w:rPr>
          <w:rFonts w:ascii="Times New Roman" w:hAnsi="Times New Roman" w:cs="Times New Roman"/>
          <w:sz w:val="24"/>
          <w:szCs w:val="24"/>
        </w:rPr>
        <w:t xml:space="preserve"> </w:t>
      </w:r>
      <w:r w:rsidR="00E10CD7" w:rsidRPr="0060772A">
        <w:rPr>
          <w:rFonts w:ascii="Times New Roman" w:hAnsi="Times New Roman" w:cs="Times New Roman"/>
          <w:sz w:val="24"/>
          <w:szCs w:val="24"/>
        </w:rPr>
        <w:t xml:space="preserve">While recent evidence have shown that higher </w:t>
      </w:r>
      <w:r w:rsidR="00682C0D" w:rsidRPr="0060772A">
        <w:rPr>
          <w:rFonts w:ascii="Times New Roman" w:hAnsi="Times New Roman" w:cs="Times New Roman"/>
          <w:sz w:val="24"/>
          <w:szCs w:val="24"/>
        </w:rPr>
        <w:t>return (</w:t>
      </w:r>
      <w:r w:rsidR="00E10CD7" w:rsidRPr="0060772A">
        <w:rPr>
          <w:rFonts w:ascii="Times New Roman" w:hAnsi="Times New Roman" w:cs="Times New Roman"/>
          <w:sz w:val="24"/>
          <w:szCs w:val="24"/>
        </w:rPr>
        <w:t xml:space="preserve">in terms of increasing trend of wage) from tertiary education (Colclough, Kingdon, and Patrinos 2010; Montenegro and Patrinos 2014), the </w:t>
      </w:r>
      <w:r w:rsidR="00682C0D" w:rsidRPr="0060772A">
        <w:rPr>
          <w:rFonts w:ascii="Times New Roman" w:hAnsi="Times New Roman" w:cs="Times New Roman"/>
          <w:sz w:val="24"/>
          <w:szCs w:val="24"/>
        </w:rPr>
        <w:t xml:space="preserve">enrolment rate at </w:t>
      </w:r>
      <w:r w:rsidR="00E10CD7" w:rsidRPr="0060772A">
        <w:rPr>
          <w:rFonts w:ascii="Times New Roman" w:hAnsi="Times New Roman" w:cs="Times New Roman"/>
          <w:sz w:val="24"/>
          <w:szCs w:val="24"/>
        </w:rPr>
        <w:t xml:space="preserve">tertiary level education is only 14% in </w:t>
      </w:r>
      <w:r w:rsidR="00E50ACA" w:rsidRPr="0060772A">
        <w:rPr>
          <w:rFonts w:ascii="Times New Roman" w:hAnsi="Times New Roman" w:cs="Times New Roman"/>
          <w:sz w:val="24"/>
          <w:szCs w:val="24"/>
        </w:rPr>
        <w:t>Bangladesh (</w:t>
      </w:r>
      <w:r w:rsidR="00E10CD7" w:rsidRPr="0060772A">
        <w:rPr>
          <w:rFonts w:ascii="Times New Roman" w:hAnsi="Times New Roman" w:cs="Times New Roman"/>
          <w:sz w:val="24"/>
          <w:szCs w:val="24"/>
        </w:rPr>
        <w:t xml:space="preserve">World Bank 2012). </w:t>
      </w:r>
      <w:r w:rsidR="003F4DB3" w:rsidRPr="0060772A">
        <w:rPr>
          <w:rFonts w:ascii="Times New Roman" w:eastAsia="Times New Roman" w:hAnsi="Times New Roman" w:cs="Times New Roman"/>
          <w:color w:val="0F1010"/>
          <w:sz w:val="24"/>
          <w:szCs w:val="24"/>
          <w:lang w:val="en" w:eastAsia="en-GB"/>
        </w:rPr>
        <w:t>At present around 20 percent of government expenditure is dev</w:t>
      </w:r>
      <w:r w:rsidR="006760C4">
        <w:rPr>
          <w:rFonts w:ascii="Times New Roman" w:eastAsia="Times New Roman" w:hAnsi="Times New Roman" w:cs="Times New Roman"/>
          <w:color w:val="0F1010"/>
          <w:sz w:val="24"/>
          <w:szCs w:val="24"/>
          <w:lang w:val="en" w:eastAsia="en-GB"/>
        </w:rPr>
        <w:t xml:space="preserve">oted on tertiary education (World Bank </w:t>
      </w:r>
      <w:r w:rsidR="003F4DB3" w:rsidRPr="0060772A">
        <w:rPr>
          <w:rFonts w:ascii="Times New Roman" w:eastAsia="Times New Roman" w:hAnsi="Times New Roman" w:cs="Times New Roman"/>
          <w:color w:val="0F1010"/>
          <w:sz w:val="24"/>
          <w:szCs w:val="24"/>
          <w:lang w:val="en" w:eastAsia="en-GB"/>
        </w:rPr>
        <w:t xml:space="preserve">2016). The gross enrollment in tertiary education has more than doubled in the recent decade. The female enrollment has also considerably increased in the recent years. </w:t>
      </w:r>
      <w:r w:rsidR="00C879AD" w:rsidRPr="0060772A">
        <w:rPr>
          <w:rFonts w:ascii="Times New Roman" w:hAnsi="Times New Roman" w:cs="Times New Roman"/>
          <w:color w:val="000000"/>
          <w:sz w:val="24"/>
          <w:szCs w:val="24"/>
        </w:rPr>
        <w:t>It has been observed that compared to the most developed countries the percentage of population having access to higher education is much less in Bangladesh; according to an estimate presently only 4.7% the population aged 18 years and above in Bangladesh has ever accessed any education above grade 12.</w:t>
      </w:r>
    </w:p>
    <w:p w14:paraId="1090CA41" w14:textId="467DCBDF" w:rsidR="00D67863" w:rsidRPr="0060772A" w:rsidRDefault="003F4DB3" w:rsidP="002625F4">
      <w:pPr>
        <w:autoSpaceDE w:val="0"/>
        <w:autoSpaceDN w:val="0"/>
        <w:adjustRightInd w:val="0"/>
        <w:spacing w:after="240" w:line="276" w:lineRule="auto"/>
        <w:ind w:firstLine="720"/>
        <w:jc w:val="both"/>
        <w:rPr>
          <w:rFonts w:ascii="Times New Roman" w:hAnsi="Times New Roman" w:cs="Times New Roman"/>
          <w:color w:val="000000"/>
          <w:sz w:val="24"/>
          <w:szCs w:val="24"/>
        </w:rPr>
      </w:pPr>
      <w:r w:rsidRPr="0060772A">
        <w:rPr>
          <w:rFonts w:ascii="Times New Roman" w:eastAsia="Times New Roman" w:hAnsi="Times New Roman" w:cs="Times New Roman"/>
          <w:color w:val="0F1010"/>
          <w:sz w:val="24"/>
          <w:szCs w:val="24"/>
          <w:lang w:val="en" w:eastAsia="en-GB"/>
        </w:rPr>
        <w:t>Until recently, higher education sector was dominated by the public sector. Last twenty years have seen tremendous growth of private higher education. In response to both social and market demand for higher education, government has allowed private sector to come forward to</w:t>
      </w:r>
      <w:r w:rsidR="000216BD">
        <w:rPr>
          <w:rFonts w:ascii="Times New Roman" w:eastAsia="Times New Roman" w:hAnsi="Times New Roman" w:cs="Times New Roman"/>
          <w:color w:val="0F1010"/>
          <w:sz w:val="24"/>
          <w:szCs w:val="24"/>
          <w:lang w:val="en" w:eastAsia="en-GB"/>
        </w:rPr>
        <w:t xml:space="preserve"> </w:t>
      </w:r>
      <w:r w:rsidR="000216BD">
        <w:rPr>
          <w:rFonts w:ascii="Times New Roman" w:eastAsia="Times New Roman" w:hAnsi="Times New Roman" w:cs="Times New Roman"/>
          <w:color w:val="0F1010"/>
          <w:sz w:val="24"/>
          <w:szCs w:val="24"/>
          <w:lang w:val="en" w:eastAsia="en-GB"/>
        </w:rPr>
        <w:lastRenderedPageBreak/>
        <w:t xml:space="preserve">provide university education. </w:t>
      </w:r>
      <w:r w:rsidRPr="0060772A">
        <w:rPr>
          <w:rFonts w:ascii="Times New Roman" w:eastAsia="Times New Roman" w:hAnsi="Times New Roman" w:cs="Times New Roman"/>
          <w:color w:val="0F1010"/>
          <w:sz w:val="24"/>
          <w:szCs w:val="24"/>
          <w:lang w:val="en" w:eastAsia="en-GB"/>
        </w:rPr>
        <w:t xml:space="preserve">According to BANBEIS (2016), there are now 38 public universities and 92 private universities in Bangladesh providing tertiary education. </w:t>
      </w:r>
      <w:r w:rsidRPr="0060772A">
        <w:rPr>
          <w:rFonts w:ascii="Times New Roman" w:hAnsi="Times New Roman" w:cs="Times New Roman"/>
          <w:color w:val="000000"/>
          <w:sz w:val="24"/>
          <w:szCs w:val="24"/>
        </w:rPr>
        <w:t>It i</w:t>
      </w:r>
      <w:r w:rsidR="00C879AD" w:rsidRPr="0060772A">
        <w:rPr>
          <w:rFonts w:ascii="Times New Roman" w:hAnsi="Times New Roman" w:cs="Times New Roman"/>
          <w:color w:val="000000"/>
          <w:sz w:val="24"/>
          <w:szCs w:val="24"/>
        </w:rPr>
        <w:t>s shown in one study that</w:t>
      </w:r>
      <w:r w:rsidRPr="0060772A">
        <w:rPr>
          <w:rFonts w:ascii="Times New Roman" w:hAnsi="Times New Roman" w:cs="Times New Roman"/>
          <w:color w:val="000000"/>
          <w:sz w:val="24"/>
          <w:szCs w:val="24"/>
        </w:rPr>
        <w:t xml:space="preserve">, </w:t>
      </w:r>
      <w:r w:rsidR="00C879AD" w:rsidRPr="0060772A">
        <w:rPr>
          <w:rFonts w:ascii="Times New Roman" w:hAnsi="Times New Roman" w:cs="Times New Roman"/>
          <w:color w:val="000000"/>
          <w:sz w:val="24"/>
          <w:szCs w:val="24"/>
        </w:rPr>
        <w:t>among</w:t>
      </w:r>
      <w:r w:rsidRPr="0060772A">
        <w:rPr>
          <w:rFonts w:ascii="Times New Roman" w:hAnsi="Times New Roman" w:cs="Times New Roman"/>
          <w:color w:val="000000"/>
          <w:sz w:val="24"/>
          <w:szCs w:val="24"/>
        </w:rPr>
        <w:t xml:space="preserve"> those accessing higher education 79% students attend affiliated colleges under the national university. Private universities in the recent years have been absorbing the demand for higher education, which however are the most expensive and have not have not encouraged better access or equity.</w:t>
      </w:r>
      <w:r w:rsidR="00D67863" w:rsidRPr="0060772A">
        <w:rPr>
          <w:rFonts w:ascii="Times New Roman" w:hAnsi="Times New Roman" w:cs="Times New Roman"/>
          <w:color w:val="000000"/>
          <w:sz w:val="24"/>
          <w:szCs w:val="24"/>
        </w:rPr>
        <w:t xml:space="preserve"> </w:t>
      </w:r>
      <w:r w:rsidR="00A515CC">
        <w:rPr>
          <w:rFonts w:ascii="Times New Roman" w:hAnsi="Times New Roman" w:cs="Times New Roman"/>
          <w:color w:val="000000"/>
          <w:sz w:val="24"/>
          <w:szCs w:val="24"/>
        </w:rPr>
        <w:t xml:space="preserve">Recent </w:t>
      </w:r>
      <w:r w:rsidR="00C879AD" w:rsidRPr="0060772A">
        <w:rPr>
          <w:rFonts w:ascii="Times New Roman" w:hAnsi="Times New Roman" w:cs="Times New Roman"/>
          <w:color w:val="000000"/>
          <w:sz w:val="24"/>
          <w:szCs w:val="24"/>
        </w:rPr>
        <w:t>study</w:t>
      </w:r>
      <w:r w:rsidR="006760C4">
        <w:rPr>
          <w:rFonts w:ascii="Times New Roman" w:hAnsi="Times New Roman" w:cs="Times New Roman"/>
          <w:color w:val="000000"/>
          <w:sz w:val="24"/>
          <w:szCs w:val="24"/>
        </w:rPr>
        <w:t xml:space="preserve"> (</w:t>
      </w:r>
      <w:r w:rsidR="00A515CC">
        <w:rPr>
          <w:rFonts w:ascii="Times New Roman" w:hAnsi="Times New Roman" w:cs="Times New Roman"/>
          <w:color w:val="000000"/>
          <w:sz w:val="24"/>
          <w:szCs w:val="24"/>
        </w:rPr>
        <w:t>World Bank 2014</w:t>
      </w:r>
      <w:r w:rsidR="00B82F64">
        <w:rPr>
          <w:rFonts w:ascii="Times New Roman" w:hAnsi="Times New Roman" w:cs="Times New Roman"/>
          <w:color w:val="000000"/>
          <w:sz w:val="24"/>
          <w:szCs w:val="24"/>
        </w:rPr>
        <w:t>)</w:t>
      </w:r>
      <w:r w:rsidR="00C879AD" w:rsidRPr="0060772A">
        <w:rPr>
          <w:rFonts w:ascii="Times New Roman" w:hAnsi="Times New Roman" w:cs="Times New Roman"/>
          <w:color w:val="000000"/>
          <w:sz w:val="24"/>
          <w:szCs w:val="24"/>
        </w:rPr>
        <w:t xml:space="preserve"> </w:t>
      </w:r>
      <w:r w:rsidR="0065451C" w:rsidRPr="0060772A">
        <w:rPr>
          <w:rFonts w:ascii="Times New Roman" w:hAnsi="Times New Roman" w:cs="Times New Roman"/>
          <w:color w:val="000000"/>
          <w:sz w:val="24"/>
          <w:szCs w:val="24"/>
        </w:rPr>
        <w:t>projects that</w:t>
      </w:r>
      <w:r w:rsidR="00D67863" w:rsidRPr="0060772A">
        <w:rPr>
          <w:rFonts w:ascii="Times New Roman" w:hAnsi="Times New Roman" w:cs="Times New Roman"/>
          <w:color w:val="000000"/>
          <w:sz w:val="24"/>
          <w:szCs w:val="24"/>
        </w:rPr>
        <w:t xml:space="preserve"> by 2030, 65% more students will try to gain admission to tertiary level institutions and suggest the importance of the private sector investment in higher education has to be increased </w:t>
      </w:r>
      <w:r w:rsidR="00D67863" w:rsidRPr="000C329C">
        <w:rPr>
          <w:rFonts w:ascii="Times New Roman" w:hAnsi="Times New Roman" w:cs="Times New Roman"/>
          <w:i/>
          <w:color w:val="000000"/>
          <w:sz w:val="24"/>
          <w:szCs w:val="24"/>
        </w:rPr>
        <w:t>vis a vis</w:t>
      </w:r>
      <w:r w:rsidR="00D67863" w:rsidRPr="0060772A">
        <w:rPr>
          <w:rFonts w:ascii="Times New Roman" w:hAnsi="Times New Roman" w:cs="Times New Roman"/>
          <w:color w:val="000000"/>
          <w:sz w:val="24"/>
          <w:szCs w:val="24"/>
        </w:rPr>
        <w:t xml:space="preserve"> public sector.  </w:t>
      </w:r>
    </w:p>
    <w:p w14:paraId="21C9C8EA" w14:textId="07F634B0" w:rsidR="0065451C" w:rsidRPr="0060772A" w:rsidRDefault="0065451C" w:rsidP="002625F4">
      <w:pPr>
        <w:autoSpaceDE w:val="0"/>
        <w:autoSpaceDN w:val="0"/>
        <w:adjustRightInd w:val="0"/>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color w:val="000000"/>
          <w:sz w:val="24"/>
          <w:szCs w:val="24"/>
        </w:rPr>
        <w:t xml:space="preserve">Available studies and policy documents suggest that the key challenges facing higher education in Bangladesh includes access and equity, quality and relevance, financing as well as governance related issues. </w:t>
      </w:r>
      <w:r w:rsidRPr="0060772A">
        <w:rPr>
          <w:rFonts w:ascii="Times New Roman" w:eastAsia="Times New Roman" w:hAnsi="Times New Roman" w:cs="Times New Roman"/>
          <w:color w:val="0F1010"/>
          <w:sz w:val="24"/>
          <w:szCs w:val="24"/>
          <w:lang w:val="en" w:eastAsia="en-GB"/>
        </w:rPr>
        <w:t xml:space="preserve">The rapid increase of private universities, which arguably face rather loose regulation, has become a concern for quality of the degrees they were offering except for a few. Importantly, the recent UGC private university act 2010 requires stronger self- regulation and specifies responsibility of all stakeholders and establishment of accreditation council for academic and instructional standards. The rapid increase of private universities, which arguably face rather loose regulation, has become a concern for quality of the degrees they were offering except for a few. Importantly, the recent UGC private university act 2010 requires stronger self- regulation and specifies responsibility of all stakeholders and establishment of accreditation council for academic and instructional standards. </w:t>
      </w:r>
    </w:p>
    <w:p w14:paraId="00CFBB70" w14:textId="77777777" w:rsidR="00A40AD0" w:rsidRPr="0060772A" w:rsidRDefault="00A40AD0" w:rsidP="002625F4">
      <w:pPr>
        <w:autoSpaceDE w:val="0"/>
        <w:autoSpaceDN w:val="0"/>
        <w:adjustRightInd w:val="0"/>
        <w:spacing w:after="240" w:line="276" w:lineRule="auto"/>
        <w:ind w:firstLine="720"/>
        <w:jc w:val="both"/>
        <w:rPr>
          <w:rFonts w:ascii="Times New Roman" w:hAnsi="Times New Roman" w:cs="Times New Roman"/>
          <w:color w:val="000000"/>
          <w:sz w:val="24"/>
          <w:szCs w:val="24"/>
        </w:rPr>
      </w:pPr>
      <w:r w:rsidRPr="0060772A">
        <w:rPr>
          <w:rFonts w:ascii="Times New Roman" w:hAnsi="Times New Roman" w:cs="Times New Roman"/>
          <w:sz w:val="24"/>
          <w:szCs w:val="24"/>
          <w:lang w:val="en-US"/>
        </w:rPr>
        <w:t xml:space="preserve">In Bangladeshi universities, research culture, scholarly atmosphere is somewhat at frustrating level and do not assume any good place in ranking even in South Asian Context. The National Education Policy 2010 of Bangladesh envisions “expanding the horizons of knowledge through creative, multidimensional, original and practical research.” This emphasis on research is a new policy focus   and seen crucial to allocate and ensure long-term availability of funds for academia to engage with research and contribute to the global knowledge. Importantly, to facilitate such mechanism focus on research universities is crucial.  </w:t>
      </w:r>
      <w:r w:rsidRPr="0060772A">
        <w:rPr>
          <w:rFonts w:ascii="Times New Roman" w:hAnsi="Times New Roman" w:cs="Times New Roman"/>
          <w:bCs/>
          <w:color w:val="000000"/>
          <w:sz w:val="24"/>
          <w:szCs w:val="24"/>
        </w:rPr>
        <w:t xml:space="preserve">It is also observed that teachers in higher education institutions do not possess required research or pedagogical training, or qualifications beyond a master’s degree and only a </w:t>
      </w:r>
      <w:r w:rsidRPr="0060772A">
        <w:rPr>
          <w:rFonts w:ascii="Times New Roman" w:hAnsi="Times New Roman" w:cs="Times New Roman"/>
          <w:color w:val="000000"/>
          <w:sz w:val="24"/>
          <w:szCs w:val="24"/>
        </w:rPr>
        <w:t xml:space="preserve">small percentage (4%) possess doctoral level or M.Phil. degrees. </w:t>
      </w:r>
    </w:p>
    <w:p w14:paraId="3AF52F3E" w14:textId="461AA4AC" w:rsidR="00A40AD0" w:rsidRPr="0060772A" w:rsidRDefault="00A40AD0" w:rsidP="002625F4">
      <w:pPr>
        <w:spacing w:after="240" w:line="276" w:lineRule="auto"/>
        <w:jc w:val="both"/>
        <w:rPr>
          <w:rFonts w:ascii="Times New Roman" w:eastAsia="Times New Roman" w:hAnsi="Times New Roman" w:cs="Times New Roman"/>
          <w:b/>
          <w:bCs/>
          <w:color w:val="0F1010"/>
          <w:sz w:val="24"/>
          <w:szCs w:val="24"/>
          <w:lang w:val="en" w:eastAsia="en-GB"/>
        </w:rPr>
      </w:pPr>
      <w:r w:rsidRPr="0060772A">
        <w:rPr>
          <w:rFonts w:ascii="Times New Roman" w:eastAsia="Times New Roman" w:hAnsi="Times New Roman" w:cs="Times New Roman"/>
          <w:b/>
          <w:bCs/>
          <w:color w:val="0F1010"/>
          <w:sz w:val="24"/>
          <w:szCs w:val="24"/>
          <w:lang w:val="en" w:eastAsia="en-GB"/>
        </w:rPr>
        <w:t>3.4 Structural</w:t>
      </w:r>
      <w:r w:rsidRPr="0060772A">
        <w:rPr>
          <w:rFonts w:ascii="Times New Roman" w:hAnsi="Times New Roman" w:cs="Times New Roman"/>
          <w:b/>
          <w:bCs/>
          <w:sz w:val="24"/>
          <w:szCs w:val="24"/>
        </w:rPr>
        <w:t xml:space="preserve"> reform challenges </w:t>
      </w:r>
    </w:p>
    <w:p w14:paraId="6B222CCC" w14:textId="77777777" w:rsidR="00A40AD0" w:rsidRPr="0060772A" w:rsidRDefault="00A40AD0" w:rsidP="002625F4">
      <w:pPr>
        <w:spacing w:after="240" w:line="276" w:lineRule="auto"/>
        <w:jc w:val="both"/>
        <w:rPr>
          <w:rFonts w:ascii="Times New Roman" w:hAnsi="Times New Roman" w:cs="Times New Roman"/>
          <w:sz w:val="24"/>
          <w:szCs w:val="24"/>
        </w:rPr>
      </w:pPr>
      <w:r w:rsidRPr="0060772A">
        <w:rPr>
          <w:rFonts w:ascii="Times New Roman" w:hAnsi="Times New Roman" w:cs="Times New Roman"/>
          <w:sz w:val="24"/>
          <w:szCs w:val="24"/>
        </w:rPr>
        <w:t xml:space="preserve">Bangladesh education sector comprises heterogeneous providers that include governmental, non-governmental (non-profit as well as for-profit) institutions. There is diverse curriculum and instructions offered at primary, secondary as well as tertiary levels. In the case of primary, about 54% of total enrolment is in government schools, followed by newly nationalized primary schools (22 percent) and religious schools (6%) and other non-formal schools comprising the rest (APSC 2013). Among the secondary schooling providers roughly two third comprise of secular/no-religious stream, 21 percent religious stream and 5% technical and vocational l </w:t>
      </w:r>
      <w:r w:rsidRPr="0060772A">
        <w:rPr>
          <w:rFonts w:ascii="Times New Roman" w:hAnsi="Times New Roman" w:cs="Times New Roman"/>
          <w:sz w:val="24"/>
          <w:szCs w:val="24"/>
        </w:rPr>
        <w:lastRenderedPageBreak/>
        <w:t>education and training (BANBEIS 2011). The higher secondary education comprises the similar streams as the junior and secondary level, in terms of providers. The tertiary level of education in Bangladesh has two broad streams offering Bachelor and Masters level education offered by public sector and private universities and colleges.</w:t>
      </w:r>
    </w:p>
    <w:p w14:paraId="191D6EB2" w14:textId="03C10C77" w:rsidR="00A40AD0" w:rsidRPr="0060772A" w:rsidRDefault="00A40AD0" w:rsidP="002625F4">
      <w:pPr>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sz w:val="24"/>
          <w:szCs w:val="24"/>
        </w:rPr>
        <w:t>The education sector in Bangladesh has a complex governance structure consisting of various overseeing bodies including the Ministry of Primary and Mass Education, Ministry of Education, Ministry of Commerce, Department of Primary Education, Ministry of Social Welfare, Bureau of Non-formal Education, Directorate of Secondary and Higher Education and the University Gran</w:t>
      </w:r>
      <w:r w:rsidR="00B82F64">
        <w:rPr>
          <w:rFonts w:ascii="Times New Roman" w:hAnsi="Times New Roman" w:cs="Times New Roman"/>
          <w:sz w:val="24"/>
          <w:szCs w:val="24"/>
        </w:rPr>
        <w:t>t</w:t>
      </w:r>
      <w:r w:rsidRPr="0060772A">
        <w:rPr>
          <w:rFonts w:ascii="Times New Roman" w:hAnsi="Times New Roman" w:cs="Times New Roman"/>
          <w:sz w:val="24"/>
          <w:szCs w:val="24"/>
        </w:rPr>
        <w:t>s Commission</w:t>
      </w:r>
      <w:r w:rsidR="00B82F64">
        <w:rPr>
          <w:rFonts w:ascii="Times New Roman" w:hAnsi="Times New Roman" w:cs="Times New Roman"/>
          <w:sz w:val="24"/>
          <w:szCs w:val="24"/>
        </w:rPr>
        <w:t xml:space="preserve"> </w:t>
      </w:r>
      <w:r w:rsidR="00A515CC">
        <w:rPr>
          <w:rFonts w:ascii="Times New Roman" w:hAnsi="Times New Roman" w:cs="Times New Roman"/>
          <w:sz w:val="24"/>
          <w:szCs w:val="24"/>
        </w:rPr>
        <w:t xml:space="preserve">(see </w:t>
      </w:r>
      <w:r w:rsidR="00B82F64">
        <w:rPr>
          <w:rFonts w:ascii="Times New Roman" w:hAnsi="Times New Roman" w:cs="Times New Roman"/>
          <w:sz w:val="24"/>
          <w:szCs w:val="24"/>
        </w:rPr>
        <w:t>SFYP</w:t>
      </w:r>
      <w:r w:rsidR="00A515CC">
        <w:rPr>
          <w:rFonts w:ascii="Times New Roman" w:hAnsi="Times New Roman" w:cs="Times New Roman"/>
          <w:sz w:val="24"/>
          <w:szCs w:val="24"/>
        </w:rPr>
        <w:t xml:space="preserve"> 2015)</w:t>
      </w:r>
      <w:r w:rsidRPr="0060772A">
        <w:rPr>
          <w:rFonts w:ascii="Times New Roman" w:hAnsi="Times New Roman" w:cs="Times New Roman"/>
          <w:sz w:val="24"/>
          <w:szCs w:val="24"/>
        </w:rPr>
        <w:t>.  As of 2005 new ministry was created to give distinct attention to primary education (up-to grade 5). This became a barrier to achieve the goal of universal access to education as well as quality enhancement in schools as such goals rather required an integrated approach focusing on sequencing curriculum, teaching and learning. This resulted in apparent failure of extending universal and compulsory primary education up to grade 8, which was the goal under NEP 2010.  The challenges to teaching-learning solution also result from a much centralised system of education in the country, whereby central agencies are involved in each aspect of technical and financial issues related to teaching and learning in hu</w:t>
      </w:r>
      <w:r w:rsidR="006760C4">
        <w:rPr>
          <w:rFonts w:ascii="Times New Roman" w:hAnsi="Times New Roman" w:cs="Times New Roman"/>
          <w:sz w:val="24"/>
          <w:szCs w:val="24"/>
        </w:rPr>
        <w:t>ndreds of institutions at the U</w:t>
      </w:r>
      <w:r w:rsidRPr="0060772A">
        <w:rPr>
          <w:rFonts w:ascii="Times New Roman" w:hAnsi="Times New Roman" w:cs="Times New Roman"/>
          <w:sz w:val="24"/>
          <w:szCs w:val="24"/>
        </w:rPr>
        <w:t>p</w:t>
      </w:r>
      <w:r w:rsidR="006760C4">
        <w:rPr>
          <w:rFonts w:ascii="Times New Roman" w:hAnsi="Times New Roman" w:cs="Times New Roman"/>
          <w:sz w:val="24"/>
          <w:szCs w:val="24"/>
        </w:rPr>
        <w:t>a</w:t>
      </w:r>
      <w:r w:rsidRPr="0060772A">
        <w:rPr>
          <w:rFonts w:ascii="Times New Roman" w:hAnsi="Times New Roman" w:cs="Times New Roman"/>
          <w:sz w:val="24"/>
          <w:szCs w:val="24"/>
        </w:rPr>
        <w:t>zilla level in the country. The regulation and assessment of non-governmental educational institutions are also managed by few central agencies.</w:t>
      </w:r>
    </w:p>
    <w:p w14:paraId="1538E8C2" w14:textId="7D94673E" w:rsidR="00A40AD0" w:rsidRPr="0060772A" w:rsidRDefault="00A40AD0" w:rsidP="002625F4">
      <w:pPr>
        <w:spacing w:after="240" w:line="276" w:lineRule="auto"/>
        <w:ind w:firstLine="720"/>
        <w:jc w:val="both"/>
        <w:rPr>
          <w:rFonts w:ascii="Times New Roman" w:hAnsi="Times New Roman" w:cs="Times New Roman"/>
          <w:bCs/>
          <w:sz w:val="24"/>
          <w:szCs w:val="24"/>
        </w:rPr>
      </w:pPr>
      <w:r w:rsidRPr="0060772A">
        <w:rPr>
          <w:rFonts w:ascii="Times New Roman" w:hAnsi="Times New Roman" w:cs="Times New Roman"/>
          <w:sz w:val="24"/>
          <w:szCs w:val="24"/>
        </w:rPr>
        <w:t xml:space="preserve">The four  types of higher education institutions in Bangladesh : a)  public and private universities,  b) public and  private  colleges  affiliated with the National University,  c)   colleges affiliated with the Islamic University,  and d) various types of professional colleges, institutions and madrasas. </w:t>
      </w:r>
      <w:r w:rsidRPr="0060772A">
        <w:rPr>
          <w:rFonts w:ascii="Times New Roman" w:eastAsia="Times New Roman" w:hAnsi="Times New Roman" w:cs="Times New Roman"/>
          <w:color w:val="0F1010"/>
          <w:sz w:val="24"/>
          <w:szCs w:val="24"/>
          <w:lang w:val="en" w:eastAsia="en-GB"/>
        </w:rPr>
        <w:t xml:space="preserve">The overall responsibility of higher education sector from preparing budget to formulating policies and providing strategic leadership falls on the Ministry of Education (MOE), while the University Grants Commission (UGC) works as the regulating body of both public and private universities. </w:t>
      </w:r>
      <w:r w:rsidRPr="0060772A">
        <w:rPr>
          <w:rFonts w:ascii="Times New Roman" w:hAnsi="Times New Roman" w:cs="Times New Roman"/>
          <w:sz w:val="24"/>
          <w:szCs w:val="24"/>
        </w:rPr>
        <w:t>On higher education management issues, a recent world Bank study</w:t>
      </w:r>
      <w:r w:rsidR="00A515CC">
        <w:rPr>
          <w:rFonts w:ascii="Times New Roman" w:hAnsi="Times New Roman" w:cs="Times New Roman"/>
          <w:sz w:val="24"/>
          <w:szCs w:val="24"/>
        </w:rPr>
        <w:t xml:space="preserve"> (World Bank 2014) </w:t>
      </w:r>
      <w:r w:rsidRPr="0060772A">
        <w:rPr>
          <w:rFonts w:ascii="Times New Roman" w:hAnsi="Times New Roman" w:cs="Times New Roman"/>
          <w:sz w:val="24"/>
          <w:szCs w:val="24"/>
        </w:rPr>
        <w:t>suggests that the national university under which about 1500 public and private colleges offering higher education require strategic coordination among key stakeholders</w:t>
      </w:r>
      <w:r w:rsidR="00B82F64">
        <w:rPr>
          <w:rFonts w:ascii="Times New Roman" w:hAnsi="Times New Roman" w:cs="Times New Roman"/>
          <w:sz w:val="24"/>
          <w:szCs w:val="24"/>
        </w:rPr>
        <w:t xml:space="preserve"> </w:t>
      </w:r>
      <w:r w:rsidRPr="0060772A">
        <w:rPr>
          <w:rFonts w:ascii="Times New Roman" w:hAnsi="Times New Roman" w:cs="Times New Roman"/>
          <w:sz w:val="24"/>
          <w:szCs w:val="24"/>
        </w:rPr>
        <w:t xml:space="preserve">(such as the ministry of education, national universities, university grants commission, department of secondary and higher education as well as public and private colleges’ representatives) in order to follow multidimensional policy framework. The suggested policy options include; </w:t>
      </w:r>
      <w:r w:rsidRPr="0060772A">
        <w:rPr>
          <w:rFonts w:ascii="Times New Roman" w:hAnsi="Times New Roman" w:cs="Times New Roman"/>
          <w:bCs/>
          <w:sz w:val="24"/>
          <w:szCs w:val="24"/>
        </w:rPr>
        <w:t xml:space="preserve">strengthening the system and service delivery, expanding in response to market and future demands, improving governance and management of the college subsector, reforming financing matters, and improving the quality of affiliated colleges. </w:t>
      </w:r>
    </w:p>
    <w:p w14:paraId="5D3FACEA" w14:textId="4EFEBCD4" w:rsidR="00A40AD0" w:rsidRPr="0060772A" w:rsidRDefault="00B82F64" w:rsidP="002625F4">
      <w:pPr>
        <w:autoSpaceDE w:val="0"/>
        <w:autoSpaceDN w:val="0"/>
        <w:adjustRightInd w:val="0"/>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sz w:val="24"/>
          <w:szCs w:val="24"/>
        </w:rPr>
        <w:t xml:space="preserve">The Private University Act 2010 under which the private universities are governed, does not provide a common framework for all and there is lack of clarification regarding the role and responsibilities of various officers/bodies within the university governance structure such as that of the university board of trustees, board of governors, syndicate, academic council, chief executive officer, vice chancellor, and of the university administration in general.  Under a </w:t>
      </w:r>
      <w:r w:rsidRPr="0060772A">
        <w:rPr>
          <w:rFonts w:ascii="Times New Roman" w:hAnsi="Times New Roman" w:cs="Times New Roman"/>
          <w:sz w:val="24"/>
          <w:szCs w:val="24"/>
        </w:rPr>
        <w:lastRenderedPageBreak/>
        <w:t>common framework and rules, both types of universities could effectively function having their own governance structure and management, also emphasized in the 7</w:t>
      </w:r>
      <w:r w:rsidRPr="0060772A">
        <w:rPr>
          <w:rFonts w:ascii="Times New Roman" w:hAnsi="Times New Roman" w:cs="Times New Roman"/>
          <w:sz w:val="24"/>
          <w:szCs w:val="24"/>
          <w:vertAlign w:val="superscript"/>
        </w:rPr>
        <w:t>th</w:t>
      </w:r>
      <w:r w:rsidRPr="0060772A">
        <w:rPr>
          <w:rFonts w:ascii="Times New Roman" w:hAnsi="Times New Roman" w:cs="Times New Roman"/>
          <w:sz w:val="24"/>
          <w:szCs w:val="24"/>
        </w:rPr>
        <w:t xml:space="preserve"> Five Year Plan. </w:t>
      </w:r>
      <w:r>
        <w:rPr>
          <w:rFonts w:ascii="Times New Roman" w:hAnsi="Times New Roman" w:cs="Times New Roman"/>
          <w:sz w:val="24"/>
          <w:szCs w:val="24"/>
        </w:rPr>
        <w:t xml:space="preserve"> </w:t>
      </w:r>
      <w:r w:rsidR="00A40AD0" w:rsidRPr="0060772A">
        <w:rPr>
          <w:rFonts w:ascii="Times New Roman" w:hAnsi="Times New Roman" w:cs="Times New Roman"/>
          <w:sz w:val="24"/>
          <w:szCs w:val="24"/>
        </w:rPr>
        <w:t xml:space="preserve">There is lack of oversight mechanism for universities in Bangladesh such as that of national accreditation council in other countries resulting in huge difficulties in assessing the quality of services rendered by the higher education institutions. For example, India’s UGC established the National Assessment and Accreditation Council in 1994 as an autonomous organization.  </w:t>
      </w:r>
    </w:p>
    <w:p w14:paraId="658CE0AE" w14:textId="2FB9D587" w:rsidR="00722067" w:rsidRPr="0060772A" w:rsidRDefault="006C34C4" w:rsidP="002625F4">
      <w:pPr>
        <w:pStyle w:val="ListParagraph"/>
        <w:numPr>
          <w:ilvl w:val="1"/>
          <w:numId w:val="8"/>
        </w:numPr>
        <w:spacing w:after="240" w:line="276" w:lineRule="auto"/>
        <w:jc w:val="both"/>
        <w:rPr>
          <w:rFonts w:ascii="Times New Roman" w:eastAsia="Times New Roman" w:hAnsi="Times New Roman" w:cs="Times New Roman"/>
          <w:b/>
          <w:color w:val="0F1010"/>
          <w:sz w:val="24"/>
          <w:szCs w:val="24"/>
          <w:lang w:val="en" w:eastAsia="en-GB"/>
        </w:rPr>
      </w:pPr>
      <w:r w:rsidRPr="0060772A">
        <w:rPr>
          <w:rFonts w:ascii="Times New Roman" w:eastAsia="Times New Roman" w:hAnsi="Times New Roman" w:cs="Times New Roman"/>
          <w:b/>
          <w:color w:val="0F1010"/>
          <w:sz w:val="24"/>
          <w:szCs w:val="24"/>
          <w:lang w:val="en" w:eastAsia="en-GB"/>
        </w:rPr>
        <w:t>Ongoing Education Sector P</w:t>
      </w:r>
      <w:r w:rsidR="00722067" w:rsidRPr="0060772A">
        <w:rPr>
          <w:rFonts w:ascii="Times New Roman" w:eastAsia="Times New Roman" w:hAnsi="Times New Roman" w:cs="Times New Roman"/>
          <w:b/>
          <w:color w:val="0F1010"/>
          <w:sz w:val="24"/>
          <w:szCs w:val="24"/>
          <w:lang w:val="en" w:eastAsia="en-GB"/>
        </w:rPr>
        <w:t>olicies</w:t>
      </w:r>
      <w:r w:rsidR="00D67863" w:rsidRPr="0060772A">
        <w:rPr>
          <w:rStyle w:val="FootnoteReference"/>
          <w:rFonts w:ascii="Times New Roman" w:eastAsia="Times New Roman" w:hAnsi="Times New Roman" w:cs="Times New Roman"/>
          <w:b/>
          <w:color w:val="0F1010"/>
          <w:sz w:val="24"/>
          <w:szCs w:val="24"/>
          <w:lang w:val="en" w:eastAsia="en-GB"/>
        </w:rPr>
        <w:footnoteReference w:id="2"/>
      </w:r>
      <w:r w:rsidR="00722067" w:rsidRPr="0060772A">
        <w:rPr>
          <w:rFonts w:ascii="Times New Roman" w:eastAsia="Times New Roman" w:hAnsi="Times New Roman" w:cs="Times New Roman"/>
          <w:b/>
          <w:color w:val="0F1010"/>
          <w:sz w:val="24"/>
          <w:szCs w:val="24"/>
          <w:lang w:val="en" w:eastAsia="en-GB"/>
        </w:rPr>
        <w:t xml:space="preserve"> </w:t>
      </w:r>
    </w:p>
    <w:p w14:paraId="689467B9" w14:textId="77777777" w:rsidR="00722067" w:rsidRPr="0060772A" w:rsidRDefault="00722067" w:rsidP="002625F4">
      <w:pPr>
        <w:spacing w:after="240" w:line="276" w:lineRule="auto"/>
        <w:jc w:val="both"/>
        <w:rPr>
          <w:rFonts w:ascii="Times New Roman" w:eastAsia="Times New Roman" w:hAnsi="Times New Roman" w:cs="Times New Roman"/>
          <w:color w:val="0F1010"/>
          <w:sz w:val="24"/>
          <w:szCs w:val="24"/>
          <w:lang w:val="en" w:eastAsia="en-GB"/>
        </w:rPr>
      </w:pPr>
      <w:r w:rsidRPr="0060772A">
        <w:rPr>
          <w:rFonts w:ascii="Times New Roman" w:eastAsia="Times New Roman" w:hAnsi="Times New Roman" w:cs="Times New Roman"/>
          <w:color w:val="0F1010"/>
          <w:sz w:val="24"/>
          <w:szCs w:val="24"/>
          <w:lang w:val="en" w:eastAsia="en-GB"/>
        </w:rPr>
        <w:t xml:space="preserve">With the aim to improve quality and capacity several measures initiatives were underway. These include:  developing competency based curriculum, revision of text books and introducing creative question paper to assess learning in the terminal exam for grade-five students. On the management side, school based sub-cluster training and subject-based in service training for teachers, Diploma in Education (Dip-Ed) training for primary school teachers, leadership and school management training for head teachers and ICT training for all teachers have been introduced. </w:t>
      </w:r>
    </w:p>
    <w:p w14:paraId="205C0F5B" w14:textId="77777777" w:rsidR="00722067" w:rsidRPr="0060772A" w:rsidRDefault="00722067" w:rsidP="002625F4">
      <w:pPr>
        <w:spacing w:after="240" w:line="276" w:lineRule="auto"/>
        <w:ind w:firstLine="720"/>
        <w:jc w:val="both"/>
        <w:rPr>
          <w:rFonts w:ascii="Times New Roman" w:eastAsia="Times New Roman" w:hAnsi="Times New Roman" w:cs="Times New Roman"/>
          <w:color w:val="0F1010"/>
          <w:sz w:val="24"/>
          <w:szCs w:val="24"/>
          <w:lang w:val="en" w:eastAsia="en-GB"/>
        </w:rPr>
      </w:pPr>
      <w:r w:rsidRPr="0060772A">
        <w:rPr>
          <w:rFonts w:ascii="Times New Roman" w:eastAsia="Times New Roman" w:hAnsi="Times New Roman" w:cs="Times New Roman"/>
          <w:color w:val="0F1010"/>
          <w:sz w:val="24"/>
          <w:szCs w:val="24"/>
          <w:lang w:val="en" w:eastAsia="en-GB"/>
        </w:rPr>
        <w:t>Under the government’s National Education Policy (NEP 2010), the government has re-emphasized further improvement in teaching learning process in schools. The latter will be evaluated through national assessments as well as continuous evaluation by teachers, whereby cognitive, effective and skill domains are planned to be evaluated and enhanced. In this context teachers’ incentive including training and development is also re-emphasized. The use of ICT in all schools including audio visual aids, adoption of quality improvement measures in curriculum and pedagogy, common curriculum in government, non-government/private  schools and Madrasas,  class room based as well as school based assessments, on- the –job training for teachers are emphasized as goals. Early childhood development and pre-primary education to prepare child for primary school as well inclusion based approaches are to be continued through nutrition program, stipend program, school feeding and health check-up programs among other efforts. A third specific goal to improve primary education within the framework of NEP 2010 and under the 7</w:t>
      </w:r>
      <w:r w:rsidRPr="0060772A">
        <w:rPr>
          <w:rFonts w:ascii="Times New Roman" w:eastAsia="Times New Roman" w:hAnsi="Times New Roman" w:cs="Times New Roman"/>
          <w:color w:val="0F1010"/>
          <w:sz w:val="24"/>
          <w:szCs w:val="24"/>
          <w:vertAlign w:val="superscript"/>
          <w:lang w:val="en" w:eastAsia="en-GB"/>
        </w:rPr>
        <w:t>th</w:t>
      </w:r>
      <w:r w:rsidRPr="0060772A">
        <w:rPr>
          <w:rFonts w:ascii="Times New Roman" w:eastAsia="Times New Roman" w:hAnsi="Times New Roman" w:cs="Times New Roman"/>
          <w:color w:val="0F1010"/>
          <w:sz w:val="24"/>
          <w:szCs w:val="24"/>
          <w:lang w:val="en" w:eastAsia="en-GB"/>
        </w:rPr>
        <w:t xml:space="preserve"> Five Year Plan is to ensure decentralization of management and enhance effectiveness, giving more autonomy to school movement committees that will increase involvement of local community. The goal also includes bringing greater transparency in governance and financial management.</w:t>
      </w:r>
    </w:p>
    <w:p w14:paraId="711B6D09" w14:textId="7AEA76A1" w:rsidR="00722067" w:rsidRPr="0060772A" w:rsidRDefault="00722067" w:rsidP="002625F4">
      <w:pPr>
        <w:autoSpaceDE w:val="0"/>
        <w:autoSpaceDN w:val="0"/>
        <w:adjustRightInd w:val="0"/>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sz w:val="24"/>
          <w:szCs w:val="24"/>
        </w:rPr>
        <w:t xml:space="preserve">With the national education policy and national skill development policy, further expansion, diversification and development of technical and vocational education has been planned. This focuses on greater secondary school enrolment in the field of technical and vocational education and training. The government has deigned National Technical and Vocational Qualifications Framework (NTVQF) has been designed to improve the quality and </w:t>
      </w:r>
      <w:r w:rsidRPr="0060772A">
        <w:rPr>
          <w:rFonts w:ascii="Times New Roman" w:hAnsi="Times New Roman" w:cs="Times New Roman"/>
          <w:sz w:val="24"/>
          <w:szCs w:val="24"/>
        </w:rPr>
        <w:lastRenderedPageBreak/>
        <w:t>consistency of nationally recognized qualifications. The latter also aim to ensure international recognition of the skills and knowledge of workers. Further, the skills and training enhancement project (STEP) has been implemented to improve the quality of training as well as enhance the employability of trainees. The Seventh Five Year Plan has re-emphasized the implementation of policies under the N</w:t>
      </w:r>
      <w:r w:rsidR="00A515CC">
        <w:rPr>
          <w:rFonts w:ascii="Times New Roman" w:hAnsi="Times New Roman" w:cs="Times New Roman"/>
          <w:sz w:val="24"/>
          <w:szCs w:val="24"/>
        </w:rPr>
        <w:t>ational Skill Development Plan</w:t>
      </w:r>
      <w:r w:rsidR="004C00E2">
        <w:rPr>
          <w:rFonts w:ascii="Times New Roman" w:hAnsi="Times New Roman" w:cs="Times New Roman"/>
          <w:sz w:val="24"/>
          <w:szCs w:val="24"/>
        </w:rPr>
        <w:t xml:space="preserve"> </w:t>
      </w:r>
      <w:r w:rsidR="00A515CC">
        <w:rPr>
          <w:rFonts w:ascii="Times New Roman" w:hAnsi="Times New Roman" w:cs="Times New Roman"/>
          <w:sz w:val="24"/>
          <w:szCs w:val="24"/>
        </w:rPr>
        <w:t>(N</w:t>
      </w:r>
      <w:r w:rsidRPr="0060772A">
        <w:rPr>
          <w:rFonts w:ascii="Times New Roman" w:hAnsi="Times New Roman" w:cs="Times New Roman"/>
          <w:sz w:val="24"/>
          <w:szCs w:val="24"/>
        </w:rPr>
        <w:t>SDP 2011</w:t>
      </w:r>
      <w:r w:rsidR="00A515CC">
        <w:rPr>
          <w:rFonts w:ascii="Times New Roman" w:hAnsi="Times New Roman" w:cs="Times New Roman"/>
          <w:sz w:val="24"/>
          <w:szCs w:val="24"/>
        </w:rPr>
        <w:t>)</w:t>
      </w:r>
      <w:r w:rsidRPr="0060772A">
        <w:rPr>
          <w:rFonts w:ascii="Times New Roman" w:hAnsi="Times New Roman" w:cs="Times New Roman"/>
          <w:sz w:val="24"/>
          <w:szCs w:val="24"/>
        </w:rPr>
        <w:t xml:space="preserve">, as a shared vision of government, industry and workers in that the skill development in Bangladesh will be recognized and supported by the government and industry for national and enterprise development, which will empower all to access decent employment and enhance global competitiveness workers through improved knowledge, qualifications and skills. Overall mission is stated as to support rapid and inclusive economic growth </w:t>
      </w:r>
      <w:r w:rsidR="004C00E2">
        <w:rPr>
          <w:rFonts w:ascii="Times New Roman" w:hAnsi="Times New Roman" w:cs="Times New Roman"/>
          <w:sz w:val="24"/>
          <w:szCs w:val="24"/>
        </w:rPr>
        <w:t>(S</w:t>
      </w:r>
      <w:r w:rsidRPr="0060772A">
        <w:rPr>
          <w:rFonts w:ascii="Times New Roman" w:hAnsi="Times New Roman" w:cs="Times New Roman"/>
          <w:sz w:val="24"/>
          <w:szCs w:val="24"/>
        </w:rPr>
        <w:t>ee chapter 11 of SFYP</w:t>
      </w:r>
      <w:r w:rsidR="004C00E2">
        <w:rPr>
          <w:rFonts w:ascii="Times New Roman" w:hAnsi="Times New Roman" w:cs="Times New Roman"/>
          <w:sz w:val="24"/>
          <w:szCs w:val="24"/>
        </w:rPr>
        <w:t xml:space="preserve"> 2015 for detail)</w:t>
      </w:r>
      <w:r w:rsidRPr="0060772A">
        <w:rPr>
          <w:rFonts w:ascii="Times New Roman" w:hAnsi="Times New Roman" w:cs="Times New Roman"/>
          <w:sz w:val="24"/>
          <w:szCs w:val="24"/>
        </w:rPr>
        <w:t>.</w:t>
      </w:r>
    </w:p>
    <w:p w14:paraId="4B0CBD38" w14:textId="6C190DF0" w:rsidR="004C00E2" w:rsidRDefault="009D4A9B" w:rsidP="002625F4">
      <w:pPr>
        <w:autoSpaceDE w:val="0"/>
        <w:autoSpaceDN w:val="0"/>
        <w:adjustRightInd w:val="0"/>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sz w:val="24"/>
          <w:szCs w:val="24"/>
        </w:rPr>
        <w:t>The Skills for Employment Investment Program (SEIP) funded by the Asian Development Bank</w:t>
      </w:r>
      <w:r w:rsidR="004C00E2">
        <w:rPr>
          <w:rFonts w:ascii="Times New Roman" w:hAnsi="Times New Roman" w:cs="Times New Roman"/>
          <w:sz w:val="24"/>
          <w:szCs w:val="24"/>
        </w:rPr>
        <w:t>(ADB 2015</w:t>
      </w:r>
      <w:r w:rsidR="00966CA7">
        <w:rPr>
          <w:rFonts w:ascii="Times New Roman" w:hAnsi="Times New Roman" w:cs="Times New Roman"/>
          <w:sz w:val="24"/>
          <w:szCs w:val="24"/>
        </w:rPr>
        <w:t>)</w:t>
      </w:r>
      <w:r w:rsidRPr="0060772A">
        <w:rPr>
          <w:rFonts w:ascii="Times New Roman" w:hAnsi="Times New Roman" w:cs="Times New Roman"/>
          <w:sz w:val="24"/>
          <w:szCs w:val="24"/>
        </w:rPr>
        <w:t>, aim to support the government’s reforms in skills development outlined in the National Skills Development Policy (NSDP). The SEIP aims to provide market responsive skills training for both private and public sector at the same time improving job placement and/or self-employment rate substantially. The four stages of training cycle include achieving of targeted enrolment,  improving quality training completion, job placement  placed of trainee within 6 months of completing training, and ensuring that the trainees stay in the jobs for at least 6 months.  It is observed that the current TVET teacher/instructor training programs produce small numbers of graduates with inadequate pedagogical and technical skills. The SEIP will implement a vocational trainer development program for trainers and assessors and a management leadership program for training provider management personnel reflecting NSDP requirements. The NSDP suggest the required changes in TVET system management, pedagogy, and certification and accordingly the SEIP aims to support the engagement of industry and external contractors to manage the delivery of training and develop a network of certified trainers and assessors, including work-based trainers and assessors.  The SEIP focuses on ensuring that key staff has the required skills, knowledge, and attitude to deliver quality training and other priorities of the NSDP</w:t>
      </w:r>
      <w:r w:rsidR="006760C4">
        <w:rPr>
          <w:rFonts w:ascii="Times New Roman" w:hAnsi="Times New Roman" w:cs="Times New Roman"/>
          <w:sz w:val="24"/>
          <w:szCs w:val="24"/>
        </w:rPr>
        <w:t xml:space="preserve"> </w:t>
      </w:r>
      <w:r w:rsidR="004C00E2">
        <w:rPr>
          <w:rFonts w:ascii="Times New Roman" w:hAnsi="Times New Roman" w:cs="Times New Roman"/>
          <w:sz w:val="24"/>
          <w:szCs w:val="24"/>
        </w:rPr>
        <w:t>(</w:t>
      </w:r>
      <w:r w:rsidR="00966CA7">
        <w:rPr>
          <w:rFonts w:ascii="Times New Roman" w:hAnsi="Times New Roman" w:cs="Times New Roman"/>
          <w:sz w:val="24"/>
          <w:szCs w:val="24"/>
        </w:rPr>
        <w:t>s</w:t>
      </w:r>
      <w:r w:rsidR="004C00E2">
        <w:rPr>
          <w:rFonts w:ascii="Times New Roman" w:hAnsi="Times New Roman" w:cs="Times New Roman"/>
          <w:sz w:val="24"/>
          <w:szCs w:val="24"/>
        </w:rPr>
        <w:t>ee ADB 2015</w:t>
      </w:r>
      <w:r w:rsidR="006760C4">
        <w:rPr>
          <w:rFonts w:ascii="Times New Roman" w:hAnsi="Times New Roman" w:cs="Times New Roman"/>
          <w:sz w:val="24"/>
          <w:szCs w:val="24"/>
        </w:rPr>
        <w:t xml:space="preserve"> </w:t>
      </w:r>
      <w:r w:rsidR="004C00E2">
        <w:rPr>
          <w:rFonts w:ascii="Times New Roman" w:hAnsi="Times New Roman" w:cs="Times New Roman"/>
          <w:sz w:val="24"/>
          <w:szCs w:val="24"/>
        </w:rPr>
        <w:t>for detail)</w:t>
      </w:r>
      <w:r w:rsidR="006760C4">
        <w:rPr>
          <w:rFonts w:ascii="Times New Roman" w:hAnsi="Times New Roman" w:cs="Times New Roman"/>
          <w:sz w:val="24"/>
          <w:szCs w:val="24"/>
        </w:rPr>
        <w:t>.</w:t>
      </w:r>
    </w:p>
    <w:p w14:paraId="4432F0AC" w14:textId="1CDDD4E4" w:rsidR="00722067" w:rsidRPr="0060772A" w:rsidRDefault="00722067" w:rsidP="002625F4">
      <w:pPr>
        <w:autoSpaceDE w:val="0"/>
        <w:autoSpaceDN w:val="0"/>
        <w:adjustRightInd w:val="0"/>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bCs/>
          <w:sz w:val="24"/>
          <w:szCs w:val="24"/>
        </w:rPr>
        <w:t xml:space="preserve">Recognizing the critical importance of tertiary education, the government </w:t>
      </w:r>
      <w:r w:rsidRPr="0060772A">
        <w:rPr>
          <w:rFonts w:ascii="Times New Roman" w:hAnsi="Times New Roman" w:cs="Times New Roman"/>
          <w:sz w:val="24"/>
          <w:szCs w:val="24"/>
        </w:rPr>
        <w:t xml:space="preserve">has developed a long term strategic plan for higher education: 2006-2026 also IDA supported Higher Education Quality Enhancement Project (HEQEP) (2009-2015) is underway, which aimed at improvement of quality of education in universities and strengthening their institutional capacity including the University Grants Commission of Bangladesh. Some of the key recommendations are of the strategic plan include:  University sector should be expanded to accommodate the increased demands of high school graduates and emphasis should be given on production of skilled manpower in the selected fields such as agriculture, bio-technology, livestock and fisheries, textile engineering; Public funds should be increased in order to increase access and improve quality while exploring other sources of funds; Accountability and institutional autonomy should be redefined; and Accreditation Council for public and private universities </w:t>
      </w:r>
      <w:r w:rsidR="004C00E2">
        <w:rPr>
          <w:rFonts w:ascii="Times New Roman" w:hAnsi="Times New Roman" w:cs="Times New Roman"/>
          <w:sz w:val="24"/>
          <w:szCs w:val="24"/>
        </w:rPr>
        <w:t>(</w:t>
      </w:r>
      <w:r w:rsidRPr="0060772A">
        <w:rPr>
          <w:rFonts w:ascii="Times New Roman" w:hAnsi="Times New Roman" w:cs="Times New Roman"/>
          <w:sz w:val="24"/>
          <w:szCs w:val="24"/>
        </w:rPr>
        <w:t>Source: Strategic Plan for Higher educati</w:t>
      </w:r>
      <w:r w:rsidR="004C00E2">
        <w:rPr>
          <w:rFonts w:ascii="Times New Roman" w:hAnsi="Times New Roman" w:cs="Times New Roman"/>
          <w:sz w:val="24"/>
          <w:szCs w:val="24"/>
        </w:rPr>
        <w:t>on in Bangladesh 2006-2026, University Grants Commission, Dhaka)</w:t>
      </w:r>
      <w:r w:rsidRPr="0060772A">
        <w:rPr>
          <w:rFonts w:ascii="Times New Roman" w:hAnsi="Times New Roman" w:cs="Times New Roman"/>
          <w:sz w:val="24"/>
          <w:szCs w:val="24"/>
        </w:rPr>
        <w:t xml:space="preserve">. </w:t>
      </w:r>
    </w:p>
    <w:p w14:paraId="3A4106EA" w14:textId="4CAF6F9F" w:rsidR="00A40AD0" w:rsidRPr="0060772A" w:rsidRDefault="00722067" w:rsidP="006760C4">
      <w:pPr>
        <w:spacing w:after="240" w:line="276" w:lineRule="auto"/>
        <w:jc w:val="both"/>
        <w:rPr>
          <w:rFonts w:ascii="Times New Roman" w:hAnsi="Times New Roman" w:cs="Times New Roman"/>
          <w:sz w:val="24"/>
          <w:szCs w:val="24"/>
        </w:rPr>
      </w:pPr>
      <w:r w:rsidRPr="0060772A">
        <w:rPr>
          <w:rFonts w:ascii="Times New Roman" w:hAnsi="Times New Roman" w:cs="Times New Roman"/>
          <w:sz w:val="24"/>
          <w:szCs w:val="24"/>
        </w:rPr>
        <w:lastRenderedPageBreak/>
        <w:t xml:space="preserve">The UGC envisions a gross enrolment rate of 15% in higher education, to be achieved by the year 2026. At an annual growth rate of 7.93%, the total number of projected tertiary students would be 3,496,135 in 2026, which implies tremendous pressure on tertiary institutions in terms of access, which will necessitate the expansion of physical facilities and human resources in the existing higher education institutions and/or the creation of new public and private universities. </w:t>
      </w:r>
      <w:r w:rsidR="009D4A9B" w:rsidRPr="0060772A">
        <w:rPr>
          <w:rFonts w:ascii="Times New Roman" w:hAnsi="Times New Roman" w:cs="Times New Roman"/>
          <w:sz w:val="24"/>
          <w:szCs w:val="24"/>
        </w:rPr>
        <w:t xml:space="preserve">In order to accommodate tertiary enrolment as per the UGC’s projected rate of 15%, there will be need to expand the number of private as well as public universities; the UGC estimates about 28 universities will be needed by the 2025 requiring huge public investment. Alternatively resources need to be employed on improving and expanding existing higher education institutions, create independent centres of excellence within the existing higher education institutes. </w:t>
      </w:r>
      <w:r w:rsidRPr="0060772A">
        <w:rPr>
          <w:rFonts w:ascii="Times New Roman" w:hAnsi="Times New Roman" w:cs="Times New Roman"/>
          <w:sz w:val="24"/>
          <w:szCs w:val="24"/>
        </w:rPr>
        <w:t xml:space="preserve">Some of the strategies to accommodate wider access to higher </w:t>
      </w:r>
      <w:r w:rsidR="00966CA7">
        <w:rPr>
          <w:rFonts w:ascii="Times New Roman" w:hAnsi="Times New Roman" w:cs="Times New Roman"/>
          <w:sz w:val="24"/>
          <w:szCs w:val="24"/>
        </w:rPr>
        <w:t xml:space="preserve">education that are suggested : </w:t>
      </w:r>
      <w:r w:rsidRPr="0060772A">
        <w:rPr>
          <w:rFonts w:ascii="Times New Roman" w:hAnsi="Times New Roman" w:cs="Times New Roman"/>
          <w:sz w:val="24"/>
          <w:szCs w:val="24"/>
        </w:rPr>
        <w:t>expanding open university (BOU) to provide greater access,   allowing private universities to operate distance education programs; granting permission to international universities to open campuses in Bangladesh; and providing facilities for e-learning in higher education, especially through the creation of virtual universities</w:t>
      </w:r>
      <w:r w:rsidR="004C00E2">
        <w:rPr>
          <w:rFonts w:ascii="Times New Roman" w:hAnsi="Times New Roman" w:cs="Times New Roman"/>
          <w:sz w:val="24"/>
          <w:szCs w:val="24"/>
        </w:rPr>
        <w:t>(SFYP 2015)</w:t>
      </w:r>
      <w:r w:rsidRPr="0060772A">
        <w:rPr>
          <w:rFonts w:ascii="Times New Roman" w:hAnsi="Times New Roman" w:cs="Times New Roman"/>
          <w:sz w:val="24"/>
          <w:szCs w:val="24"/>
        </w:rPr>
        <w:t xml:space="preserve">. </w:t>
      </w:r>
    </w:p>
    <w:p w14:paraId="382906C1" w14:textId="635A3DC2" w:rsidR="0072245D" w:rsidRPr="0060772A" w:rsidRDefault="0072245D" w:rsidP="002625F4">
      <w:pPr>
        <w:pStyle w:val="ListParagraph"/>
        <w:numPr>
          <w:ilvl w:val="0"/>
          <w:numId w:val="8"/>
        </w:numPr>
        <w:spacing w:after="240" w:line="276" w:lineRule="auto"/>
        <w:jc w:val="both"/>
        <w:rPr>
          <w:rFonts w:ascii="Times New Roman" w:hAnsi="Times New Roman" w:cs="Times New Roman"/>
          <w:b/>
          <w:color w:val="000000" w:themeColor="text1"/>
          <w:sz w:val="24"/>
          <w:szCs w:val="24"/>
        </w:rPr>
      </w:pPr>
      <w:r w:rsidRPr="0060772A">
        <w:rPr>
          <w:rFonts w:ascii="Times New Roman" w:hAnsi="Times New Roman" w:cs="Times New Roman"/>
          <w:b/>
          <w:color w:val="000000" w:themeColor="text1"/>
          <w:sz w:val="24"/>
          <w:szCs w:val="24"/>
        </w:rPr>
        <w:t xml:space="preserve">Challenges of Human </w:t>
      </w:r>
      <w:r w:rsidR="007708FC" w:rsidRPr="0060772A">
        <w:rPr>
          <w:rFonts w:ascii="Times New Roman" w:hAnsi="Times New Roman" w:cs="Times New Roman"/>
          <w:b/>
          <w:color w:val="000000" w:themeColor="text1"/>
          <w:sz w:val="24"/>
          <w:szCs w:val="24"/>
        </w:rPr>
        <w:t>D</w:t>
      </w:r>
      <w:r w:rsidRPr="0060772A">
        <w:rPr>
          <w:rFonts w:ascii="Times New Roman" w:hAnsi="Times New Roman" w:cs="Times New Roman"/>
          <w:b/>
          <w:color w:val="000000" w:themeColor="text1"/>
          <w:sz w:val="24"/>
          <w:szCs w:val="24"/>
        </w:rPr>
        <w:t>evelopment</w:t>
      </w:r>
      <w:r w:rsidR="00E43124" w:rsidRPr="0060772A">
        <w:rPr>
          <w:rFonts w:ascii="Times New Roman" w:hAnsi="Times New Roman" w:cs="Times New Roman"/>
          <w:b/>
          <w:color w:val="000000" w:themeColor="text1"/>
          <w:sz w:val="24"/>
          <w:szCs w:val="24"/>
        </w:rPr>
        <w:t xml:space="preserve"> for 2041</w:t>
      </w:r>
    </w:p>
    <w:p w14:paraId="45CBE015" w14:textId="7CBA9D86" w:rsidR="007C68DD" w:rsidRDefault="004867E9" w:rsidP="002625F4">
      <w:pPr>
        <w:autoSpaceDE w:val="0"/>
        <w:autoSpaceDN w:val="0"/>
        <w:adjustRightInd w:val="0"/>
        <w:spacing w:after="240" w:line="276" w:lineRule="auto"/>
        <w:jc w:val="both"/>
        <w:rPr>
          <w:rFonts w:ascii="Times New Roman" w:hAnsi="Times New Roman" w:cs="Times New Roman"/>
          <w:sz w:val="24"/>
          <w:szCs w:val="24"/>
        </w:rPr>
      </w:pPr>
      <w:r w:rsidRPr="0060772A">
        <w:rPr>
          <w:rFonts w:ascii="Times New Roman" w:hAnsi="Times New Roman" w:cs="Times New Roman"/>
          <w:sz w:val="24"/>
          <w:szCs w:val="24"/>
        </w:rPr>
        <w:t xml:space="preserve">In Bangladesh, with its journey towards industrialization, it is observed that workers skill are not aligned with the stage of growth and that low level of skills remains a fundamental constraint to future growth prospects. As low skill implies lower productivity, the labour potential is not harnessed to the extent needed to realise the growth potential of economy. For example, shortage of skilled worker and management personnel appears limiting factor harnessing the growth potential of RMG industry. Also inadequate human capital can be constraining to the absorption of 2 million plus </w:t>
      </w:r>
      <w:r w:rsidR="006E2C5E">
        <w:rPr>
          <w:rFonts w:ascii="Times New Roman" w:hAnsi="Times New Roman" w:cs="Times New Roman"/>
          <w:sz w:val="24"/>
          <w:szCs w:val="24"/>
        </w:rPr>
        <w:t>labour</w:t>
      </w:r>
      <w:r w:rsidRPr="0060772A">
        <w:rPr>
          <w:rFonts w:ascii="Times New Roman" w:hAnsi="Times New Roman" w:cs="Times New Roman"/>
          <w:sz w:val="24"/>
          <w:szCs w:val="24"/>
        </w:rPr>
        <w:t xml:space="preserve"> each year, according to the </w:t>
      </w:r>
      <w:r w:rsidR="0002215A">
        <w:rPr>
          <w:rFonts w:ascii="Times New Roman" w:hAnsi="Times New Roman" w:cs="Times New Roman"/>
          <w:sz w:val="24"/>
          <w:szCs w:val="24"/>
        </w:rPr>
        <w:t>Seventh Five Year Plan (SFYP</w:t>
      </w:r>
      <w:r w:rsidR="004C00E2">
        <w:rPr>
          <w:rFonts w:ascii="Times New Roman" w:hAnsi="Times New Roman" w:cs="Times New Roman"/>
          <w:sz w:val="24"/>
          <w:szCs w:val="24"/>
        </w:rPr>
        <w:t xml:space="preserve"> 2015</w:t>
      </w:r>
      <w:r w:rsidR="0002215A">
        <w:rPr>
          <w:rFonts w:ascii="Times New Roman" w:hAnsi="Times New Roman" w:cs="Times New Roman"/>
          <w:sz w:val="24"/>
          <w:szCs w:val="24"/>
        </w:rPr>
        <w:t>)</w:t>
      </w:r>
      <w:r w:rsidRPr="0060772A">
        <w:rPr>
          <w:rFonts w:ascii="Times New Roman" w:hAnsi="Times New Roman" w:cs="Times New Roman"/>
          <w:sz w:val="24"/>
          <w:szCs w:val="24"/>
        </w:rPr>
        <w:t>.</w:t>
      </w:r>
      <w:r w:rsidR="007C68DD" w:rsidRPr="0060772A">
        <w:rPr>
          <w:rFonts w:ascii="Times New Roman" w:hAnsi="Times New Roman" w:cs="Times New Roman"/>
          <w:sz w:val="24"/>
          <w:szCs w:val="24"/>
        </w:rPr>
        <w:t xml:space="preserve"> </w:t>
      </w:r>
      <w:r w:rsidR="006B1D12" w:rsidRPr="0060772A">
        <w:rPr>
          <w:rFonts w:ascii="Times New Roman" w:hAnsi="Times New Roman" w:cs="Times New Roman"/>
          <w:sz w:val="24"/>
          <w:szCs w:val="24"/>
        </w:rPr>
        <w:t xml:space="preserve">The education profile of </w:t>
      </w:r>
      <w:r w:rsidR="006E2C5E">
        <w:rPr>
          <w:rFonts w:ascii="Times New Roman" w:hAnsi="Times New Roman" w:cs="Times New Roman"/>
          <w:sz w:val="24"/>
          <w:szCs w:val="24"/>
        </w:rPr>
        <w:t>labour</w:t>
      </w:r>
      <w:r w:rsidR="006B1D12" w:rsidRPr="0060772A">
        <w:rPr>
          <w:rFonts w:ascii="Times New Roman" w:hAnsi="Times New Roman" w:cs="Times New Roman"/>
          <w:sz w:val="24"/>
          <w:szCs w:val="24"/>
        </w:rPr>
        <w:t xml:space="preserve"> force (see </w:t>
      </w:r>
      <w:r w:rsidR="0002215A">
        <w:rPr>
          <w:rFonts w:ascii="Times New Roman" w:hAnsi="Times New Roman" w:cs="Times New Roman"/>
          <w:sz w:val="24"/>
          <w:szCs w:val="24"/>
        </w:rPr>
        <w:t>Table 1</w:t>
      </w:r>
      <w:r w:rsidR="006B1D12" w:rsidRPr="0060772A">
        <w:rPr>
          <w:rFonts w:ascii="Times New Roman" w:hAnsi="Times New Roman" w:cs="Times New Roman"/>
          <w:sz w:val="24"/>
          <w:szCs w:val="24"/>
        </w:rPr>
        <w:t xml:space="preserve">) also depicts the inadequacy of needed human capital for further economic transformation. </w:t>
      </w:r>
    </w:p>
    <w:p w14:paraId="517C7738" w14:textId="5229FA32" w:rsidR="006B1D12" w:rsidRPr="00177984" w:rsidRDefault="006760C4" w:rsidP="00177984">
      <w:pPr>
        <w:pStyle w:val="Caption"/>
        <w:keepNext/>
        <w:pBdr>
          <w:bottom w:val="single" w:sz="4" w:space="1" w:color="auto"/>
        </w:pBdr>
        <w:spacing w:after="0" w:line="360" w:lineRule="auto"/>
        <w:rPr>
          <w:rFonts w:ascii="Times New Roman" w:hAnsi="Times New Roman" w:cs="Times New Roman"/>
          <w:b/>
          <w:i w:val="0"/>
          <w:color w:val="auto"/>
          <w:sz w:val="22"/>
          <w:szCs w:val="22"/>
        </w:rPr>
      </w:pPr>
      <w:r>
        <w:rPr>
          <w:rFonts w:ascii="Times New Roman" w:hAnsi="Times New Roman" w:cs="Times New Roman"/>
          <w:b/>
          <w:i w:val="0"/>
          <w:color w:val="auto"/>
          <w:sz w:val="22"/>
          <w:szCs w:val="22"/>
        </w:rPr>
        <w:t>T</w:t>
      </w:r>
      <w:r w:rsidR="006B1D12" w:rsidRPr="00177984">
        <w:rPr>
          <w:rFonts w:ascii="Times New Roman" w:hAnsi="Times New Roman" w:cs="Times New Roman"/>
          <w:b/>
          <w:i w:val="0"/>
          <w:color w:val="auto"/>
          <w:sz w:val="22"/>
          <w:szCs w:val="22"/>
        </w:rPr>
        <w:t xml:space="preserve">able </w:t>
      </w:r>
      <w:r w:rsidR="006B1D12" w:rsidRPr="00177984">
        <w:rPr>
          <w:rFonts w:ascii="Times New Roman" w:hAnsi="Times New Roman" w:cs="Times New Roman"/>
          <w:b/>
          <w:i w:val="0"/>
          <w:color w:val="auto"/>
          <w:sz w:val="22"/>
          <w:szCs w:val="22"/>
        </w:rPr>
        <w:fldChar w:fldCharType="begin"/>
      </w:r>
      <w:r w:rsidR="006B1D12" w:rsidRPr="00177984">
        <w:rPr>
          <w:rFonts w:ascii="Times New Roman" w:hAnsi="Times New Roman" w:cs="Times New Roman"/>
          <w:b/>
          <w:i w:val="0"/>
          <w:color w:val="auto"/>
          <w:sz w:val="22"/>
          <w:szCs w:val="22"/>
        </w:rPr>
        <w:instrText xml:space="preserve"> SEQ Table \* ARABIC </w:instrText>
      </w:r>
      <w:r w:rsidR="006B1D12" w:rsidRPr="00177984">
        <w:rPr>
          <w:rFonts w:ascii="Times New Roman" w:hAnsi="Times New Roman" w:cs="Times New Roman"/>
          <w:b/>
          <w:i w:val="0"/>
          <w:color w:val="auto"/>
          <w:sz w:val="22"/>
          <w:szCs w:val="22"/>
        </w:rPr>
        <w:fldChar w:fldCharType="separate"/>
      </w:r>
      <w:r w:rsidR="005166FF">
        <w:rPr>
          <w:rFonts w:ascii="Times New Roman" w:hAnsi="Times New Roman" w:cs="Times New Roman"/>
          <w:b/>
          <w:i w:val="0"/>
          <w:noProof/>
          <w:color w:val="auto"/>
          <w:sz w:val="22"/>
          <w:szCs w:val="22"/>
        </w:rPr>
        <w:t>1</w:t>
      </w:r>
      <w:r w:rsidR="006B1D12" w:rsidRPr="00177984">
        <w:rPr>
          <w:rFonts w:ascii="Times New Roman" w:hAnsi="Times New Roman" w:cs="Times New Roman"/>
          <w:b/>
          <w:i w:val="0"/>
          <w:color w:val="auto"/>
          <w:sz w:val="22"/>
          <w:szCs w:val="22"/>
        </w:rPr>
        <w:fldChar w:fldCharType="end"/>
      </w:r>
      <w:r w:rsidR="007A106A">
        <w:rPr>
          <w:rFonts w:ascii="Times New Roman" w:hAnsi="Times New Roman" w:cs="Times New Roman"/>
          <w:b/>
          <w:i w:val="0"/>
          <w:color w:val="auto"/>
          <w:sz w:val="22"/>
          <w:szCs w:val="22"/>
        </w:rPr>
        <w:t>.</w:t>
      </w:r>
      <w:r w:rsidR="006B1D12" w:rsidRPr="00177984">
        <w:rPr>
          <w:rFonts w:ascii="Times New Roman" w:hAnsi="Times New Roman" w:cs="Times New Roman"/>
          <w:b/>
          <w:i w:val="0"/>
          <w:color w:val="auto"/>
          <w:sz w:val="22"/>
          <w:szCs w:val="22"/>
        </w:rPr>
        <w:t xml:space="preserve"> Distribution of Employment by levels of Education in Bangladesh: 2015-2016</w:t>
      </w:r>
    </w:p>
    <w:tbl>
      <w:tblPr>
        <w:tblStyle w:val="TableGrid"/>
        <w:tblW w:w="0" w:type="auto"/>
        <w:jc w:val="center"/>
        <w:tblLook w:val="04A0" w:firstRow="1" w:lastRow="0" w:firstColumn="1" w:lastColumn="0" w:noHBand="0" w:noVBand="1"/>
      </w:tblPr>
      <w:tblGrid>
        <w:gridCol w:w="4788"/>
        <w:gridCol w:w="4788"/>
      </w:tblGrid>
      <w:tr w:rsidR="006B1D12" w:rsidRPr="00177984" w14:paraId="7F9E2A63" w14:textId="77777777" w:rsidTr="001D6B56">
        <w:trPr>
          <w:jc w:val="center"/>
        </w:trPr>
        <w:tc>
          <w:tcPr>
            <w:tcW w:w="4788" w:type="dxa"/>
            <w:tcBorders>
              <w:top w:val="nil"/>
              <w:left w:val="nil"/>
              <w:bottom w:val="single" w:sz="4" w:space="0" w:color="auto"/>
              <w:right w:val="nil"/>
            </w:tcBorders>
          </w:tcPr>
          <w:p w14:paraId="2EF68519" w14:textId="77777777" w:rsidR="006B1D12" w:rsidRPr="00177984" w:rsidRDefault="006B1D12" w:rsidP="00177984">
            <w:pPr>
              <w:keepNext/>
              <w:jc w:val="both"/>
              <w:rPr>
                <w:rFonts w:ascii="Times New Roman" w:hAnsi="Times New Roman" w:cs="Times New Roman"/>
              </w:rPr>
            </w:pPr>
            <w:r w:rsidRPr="00177984">
              <w:rPr>
                <w:rFonts w:ascii="Times New Roman" w:hAnsi="Times New Roman" w:cs="Times New Roman"/>
              </w:rPr>
              <w:t xml:space="preserve">Levels of education </w:t>
            </w:r>
          </w:p>
        </w:tc>
        <w:tc>
          <w:tcPr>
            <w:tcW w:w="4788" w:type="dxa"/>
            <w:tcBorders>
              <w:top w:val="nil"/>
              <w:left w:val="nil"/>
              <w:bottom w:val="single" w:sz="4" w:space="0" w:color="auto"/>
              <w:right w:val="nil"/>
            </w:tcBorders>
          </w:tcPr>
          <w:p w14:paraId="425CDD2F" w14:textId="77777777" w:rsidR="006B1D12" w:rsidRPr="00177984" w:rsidRDefault="006B1D12" w:rsidP="00177984">
            <w:pPr>
              <w:keepNext/>
              <w:jc w:val="center"/>
              <w:rPr>
                <w:rFonts w:ascii="Times New Roman" w:hAnsi="Times New Roman" w:cs="Times New Roman"/>
              </w:rPr>
            </w:pPr>
            <w:r w:rsidRPr="00177984">
              <w:rPr>
                <w:rFonts w:ascii="Times New Roman" w:hAnsi="Times New Roman" w:cs="Times New Roman"/>
              </w:rPr>
              <w:t>Percent of Employment</w:t>
            </w:r>
          </w:p>
        </w:tc>
      </w:tr>
      <w:tr w:rsidR="006B1D12" w:rsidRPr="00177984" w14:paraId="1D011797" w14:textId="77777777" w:rsidTr="001D6B56">
        <w:trPr>
          <w:jc w:val="center"/>
        </w:trPr>
        <w:tc>
          <w:tcPr>
            <w:tcW w:w="4788" w:type="dxa"/>
            <w:tcBorders>
              <w:top w:val="single" w:sz="4" w:space="0" w:color="auto"/>
              <w:left w:val="nil"/>
              <w:bottom w:val="nil"/>
              <w:right w:val="nil"/>
            </w:tcBorders>
          </w:tcPr>
          <w:p w14:paraId="71CD21C1" w14:textId="77777777" w:rsidR="006B1D12" w:rsidRPr="00177984" w:rsidRDefault="006B1D12" w:rsidP="00177984">
            <w:pPr>
              <w:keepNext/>
              <w:jc w:val="both"/>
              <w:rPr>
                <w:rFonts w:ascii="Times New Roman" w:hAnsi="Times New Roman" w:cs="Times New Roman"/>
              </w:rPr>
            </w:pPr>
            <w:r w:rsidRPr="00177984">
              <w:rPr>
                <w:rFonts w:ascii="Times New Roman" w:hAnsi="Times New Roman" w:cs="Times New Roman"/>
              </w:rPr>
              <w:t>No Education</w:t>
            </w:r>
          </w:p>
        </w:tc>
        <w:tc>
          <w:tcPr>
            <w:tcW w:w="4788" w:type="dxa"/>
            <w:tcBorders>
              <w:top w:val="single" w:sz="4" w:space="0" w:color="auto"/>
              <w:left w:val="nil"/>
              <w:bottom w:val="nil"/>
              <w:right w:val="nil"/>
            </w:tcBorders>
          </w:tcPr>
          <w:p w14:paraId="6594EAD0" w14:textId="77777777" w:rsidR="006B1D12" w:rsidRPr="00177984" w:rsidRDefault="006B1D12" w:rsidP="00177984">
            <w:pPr>
              <w:keepNext/>
              <w:jc w:val="center"/>
              <w:rPr>
                <w:rFonts w:ascii="Times New Roman" w:hAnsi="Times New Roman" w:cs="Times New Roman"/>
              </w:rPr>
            </w:pPr>
            <w:r w:rsidRPr="00177984">
              <w:rPr>
                <w:rFonts w:ascii="Times New Roman" w:hAnsi="Times New Roman" w:cs="Times New Roman"/>
              </w:rPr>
              <w:t>32.5</w:t>
            </w:r>
          </w:p>
        </w:tc>
      </w:tr>
      <w:tr w:rsidR="006B1D12" w:rsidRPr="00177984" w14:paraId="6B438468" w14:textId="77777777" w:rsidTr="001D6B56">
        <w:trPr>
          <w:jc w:val="center"/>
        </w:trPr>
        <w:tc>
          <w:tcPr>
            <w:tcW w:w="4788" w:type="dxa"/>
            <w:tcBorders>
              <w:top w:val="nil"/>
              <w:left w:val="nil"/>
              <w:bottom w:val="nil"/>
              <w:right w:val="nil"/>
            </w:tcBorders>
          </w:tcPr>
          <w:p w14:paraId="4DF2B028" w14:textId="77777777" w:rsidR="006B1D12" w:rsidRPr="00177984" w:rsidRDefault="006B1D12" w:rsidP="00177984">
            <w:pPr>
              <w:keepNext/>
              <w:jc w:val="both"/>
              <w:rPr>
                <w:rFonts w:ascii="Times New Roman" w:hAnsi="Times New Roman" w:cs="Times New Roman"/>
              </w:rPr>
            </w:pPr>
            <w:r w:rsidRPr="00177984">
              <w:rPr>
                <w:rFonts w:ascii="Times New Roman" w:hAnsi="Times New Roman" w:cs="Times New Roman"/>
              </w:rPr>
              <w:t>Primary</w:t>
            </w:r>
          </w:p>
        </w:tc>
        <w:tc>
          <w:tcPr>
            <w:tcW w:w="4788" w:type="dxa"/>
            <w:tcBorders>
              <w:top w:val="nil"/>
              <w:left w:val="nil"/>
              <w:bottom w:val="nil"/>
              <w:right w:val="nil"/>
            </w:tcBorders>
          </w:tcPr>
          <w:p w14:paraId="725CC020" w14:textId="77777777" w:rsidR="006B1D12" w:rsidRPr="00177984" w:rsidRDefault="006B1D12" w:rsidP="00177984">
            <w:pPr>
              <w:keepNext/>
              <w:jc w:val="center"/>
              <w:rPr>
                <w:rFonts w:ascii="Times New Roman" w:hAnsi="Times New Roman" w:cs="Times New Roman"/>
              </w:rPr>
            </w:pPr>
            <w:r w:rsidRPr="00177984">
              <w:rPr>
                <w:rFonts w:ascii="Times New Roman" w:hAnsi="Times New Roman" w:cs="Times New Roman"/>
              </w:rPr>
              <w:t>25.9</w:t>
            </w:r>
          </w:p>
        </w:tc>
      </w:tr>
      <w:tr w:rsidR="006B1D12" w:rsidRPr="00177984" w14:paraId="1CF8728A" w14:textId="77777777" w:rsidTr="001D6B56">
        <w:trPr>
          <w:jc w:val="center"/>
        </w:trPr>
        <w:tc>
          <w:tcPr>
            <w:tcW w:w="4788" w:type="dxa"/>
            <w:tcBorders>
              <w:top w:val="nil"/>
              <w:left w:val="nil"/>
              <w:bottom w:val="nil"/>
              <w:right w:val="nil"/>
            </w:tcBorders>
          </w:tcPr>
          <w:p w14:paraId="183B827E" w14:textId="77777777" w:rsidR="006B1D12" w:rsidRPr="00177984" w:rsidRDefault="006B1D12" w:rsidP="00177984">
            <w:pPr>
              <w:keepNext/>
              <w:jc w:val="both"/>
              <w:rPr>
                <w:rFonts w:ascii="Times New Roman" w:hAnsi="Times New Roman" w:cs="Times New Roman"/>
              </w:rPr>
            </w:pPr>
            <w:r w:rsidRPr="00177984">
              <w:rPr>
                <w:rFonts w:ascii="Times New Roman" w:hAnsi="Times New Roman" w:cs="Times New Roman"/>
              </w:rPr>
              <w:t>Secondary</w:t>
            </w:r>
          </w:p>
        </w:tc>
        <w:tc>
          <w:tcPr>
            <w:tcW w:w="4788" w:type="dxa"/>
            <w:tcBorders>
              <w:top w:val="nil"/>
              <w:left w:val="nil"/>
              <w:bottom w:val="nil"/>
              <w:right w:val="nil"/>
            </w:tcBorders>
          </w:tcPr>
          <w:p w14:paraId="3E09E73A" w14:textId="77777777" w:rsidR="006B1D12" w:rsidRPr="00177984" w:rsidRDefault="006B1D12" w:rsidP="00177984">
            <w:pPr>
              <w:keepNext/>
              <w:jc w:val="center"/>
              <w:rPr>
                <w:rFonts w:ascii="Times New Roman" w:hAnsi="Times New Roman" w:cs="Times New Roman"/>
              </w:rPr>
            </w:pPr>
            <w:r w:rsidRPr="00177984">
              <w:rPr>
                <w:rFonts w:ascii="Times New Roman" w:hAnsi="Times New Roman" w:cs="Times New Roman"/>
              </w:rPr>
              <w:t>30.1</w:t>
            </w:r>
          </w:p>
        </w:tc>
      </w:tr>
      <w:tr w:rsidR="006B1D12" w:rsidRPr="00177984" w14:paraId="09C67808" w14:textId="77777777" w:rsidTr="001D6B56">
        <w:trPr>
          <w:jc w:val="center"/>
        </w:trPr>
        <w:tc>
          <w:tcPr>
            <w:tcW w:w="4788" w:type="dxa"/>
            <w:tcBorders>
              <w:top w:val="nil"/>
              <w:left w:val="nil"/>
              <w:bottom w:val="nil"/>
              <w:right w:val="nil"/>
            </w:tcBorders>
          </w:tcPr>
          <w:p w14:paraId="024EE324" w14:textId="77777777" w:rsidR="006B1D12" w:rsidRPr="00177984" w:rsidRDefault="006B1D12" w:rsidP="00177984">
            <w:pPr>
              <w:keepNext/>
              <w:jc w:val="both"/>
              <w:rPr>
                <w:rFonts w:ascii="Times New Roman" w:hAnsi="Times New Roman" w:cs="Times New Roman"/>
              </w:rPr>
            </w:pPr>
            <w:r w:rsidRPr="00177984">
              <w:rPr>
                <w:rFonts w:ascii="Times New Roman" w:hAnsi="Times New Roman" w:cs="Times New Roman"/>
              </w:rPr>
              <w:t>Higher Secondary</w:t>
            </w:r>
          </w:p>
        </w:tc>
        <w:tc>
          <w:tcPr>
            <w:tcW w:w="4788" w:type="dxa"/>
            <w:tcBorders>
              <w:top w:val="nil"/>
              <w:left w:val="nil"/>
              <w:bottom w:val="nil"/>
              <w:right w:val="nil"/>
            </w:tcBorders>
          </w:tcPr>
          <w:p w14:paraId="276C88BD" w14:textId="77777777" w:rsidR="006B1D12" w:rsidRPr="00177984" w:rsidRDefault="006B1D12" w:rsidP="00177984">
            <w:pPr>
              <w:keepNext/>
              <w:jc w:val="center"/>
              <w:rPr>
                <w:rFonts w:ascii="Times New Roman" w:hAnsi="Times New Roman" w:cs="Times New Roman"/>
              </w:rPr>
            </w:pPr>
            <w:r w:rsidRPr="00177984">
              <w:rPr>
                <w:rFonts w:ascii="Times New Roman" w:hAnsi="Times New Roman" w:cs="Times New Roman"/>
              </w:rPr>
              <w:t>6.0</w:t>
            </w:r>
          </w:p>
        </w:tc>
      </w:tr>
      <w:tr w:rsidR="006B1D12" w:rsidRPr="00177984" w14:paraId="69BC117B" w14:textId="77777777" w:rsidTr="001D6B56">
        <w:trPr>
          <w:jc w:val="center"/>
        </w:trPr>
        <w:tc>
          <w:tcPr>
            <w:tcW w:w="4788" w:type="dxa"/>
            <w:tcBorders>
              <w:top w:val="nil"/>
              <w:left w:val="nil"/>
              <w:bottom w:val="nil"/>
              <w:right w:val="nil"/>
            </w:tcBorders>
          </w:tcPr>
          <w:p w14:paraId="1DF78C52" w14:textId="77777777" w:rsidR="006B1D12" w:rsidRPr="00177984" w:rsidRDefault="006B1D12" w:rsidP="00177984">
            <w:pPr>
              <w:keepNext/>
              <w:jc w:val="both"/>
              <w:rPr>
                <w:rFonts w:ascii="Times New Roman" w:hAnsi="Times New Roman" w:cs="Times New Roman"/>
              </w:rPr>
            </w:pPr>
            <w:r w:rsidRPr="00177984">
              <w:rPr>
                <w:rFonts w:ascii="Times New Roman" w:hAnsi="Times New Roman" w:cs="Times New Roman"/>
              </w:rPr>
              <w:t>Tertiary</w:t>
            </w:r>
          </w:p>
        </w:tc>
        <w:tc>
          <w:tcPr>
            <w:tcW w:w="4788" w:type="dxa"/>
            <w:tcBorders>
              <w:top w:val="nil"/>
              <w:left w:val="nil"/>
              <w:bottom w:val="nil"/>
              <w:right w:val="nil"/>
            </w:tcBorders>
          </w:tcPr>
          <w:p w14:paraId="3CCEEF38" w14:textId="77777777" w:rsidR="006B1D12" w:rsidRPr="00177984" w:rsidRDefault="006B1D12" w:rsidP="00177984">
            <w:pPr>
              <w:keepNext/>
              <w:jc w:val="center"/>
              <w:rPr>
                <w:rFonts w:ascii="Times New Roman" w:hAnsi="Times New Roman" w:cs="Times New Roman"/>
              </w:rPr>
            </w:pPr>
            <w:r w:rsidRPr="00177984">
              <w:rPr>
                <w:rFonts w:ascii="Times New Roman" w:hAnsi="Times New Roman" w:cs="Times New Roman"/>
              </w:rPr>
              <w:t>5.3</w:t>
            </w:r>
          </w:p>
        </w:tc>
      </w:tr>
      <w:tr w:rsidR="006B1D12" w:rsidRPr="00177984" w14:paraId="3F348A68" w14:textId="77777777" w:rsidTr="001D6B56">
        <w:trPr>
          <w:jc w:val="center"/>
        </w:trPr>
        <w:tc>
          <w:tcPr>
            <w:tcW w:w="4788" w:type="dxa"/>
            <w:tcBorders>
              <w:top w:val="nil"/>
              <w:left w:val="nil"/>
              <w:bottom w:val="single" w:sz="4" w:space="0" w:color="auto"/>
              <w:right w:val="nil"/>
            </w:tcBorders>
          </w:tcPr>
          <w:p w14:paraId="6EF7893A" w14:textId="77777777" w:rsidR="006B1D12" w:rsidRPr="00177984" w:rsidRDefault="006B1D12" w:rsidP="00177984">
            <w:pPr>
              <w:keepNext/>
              <w:jc w:val="both"/>
              <w:rPr>
                <w:rFonts w:ascii="Times New Roman" w:hAnsi="Times New Roman" w:cs="Times New Roman"/>
              </w:rPr>
            </w:pPr>
            <w:r w:rsidRPr="00177984">
              <w:rPr>
                <w:rFonts w:ascii="Times New Roman" w:hAnsi="Times New Roman" w:cs="Times New Roman"/>
              </w:rPr>
              <w:t>Others</w:t>
            </w:r>
          </w:p>
        </w:tc>
        <w:tc>
          <w:tcPr>
            <w:tcW w:w="4788" w:type="dxa"/>
            <w:tcBorders>
              <w:top w:val="nil"/>
              <w:left w:val="nil"/>
              <w:bottom w:val="single" w:sz="4" w:space="0" w:color="auto"/>
              <w:right w:val="nil"/>
            </w:tcBorders>
          </w:tcPr>
          <w:p w14:paraId="29586557" w14:textId="77777777" w:rsidR="006B1D12" w:rsidRPr="00177984" w:rsidRDefault="006B1D12" w:rsidP="00177984">
            <w:pPr>
              <w:keepNext/>
              <w:jc w:val="center"/>
              <w:rPr>
                <w:rFonts w:ascii="Times New Roman" w:hAnsi="Times New Roman" w:cs="Times New Roman"/>
              </w:rPr>
            </w:pPr>
            <w:r w:rsidRPr="00177984">
              <w:rPr>
                <w:rFonts w:ascii="Times New Roman" w:hAnsi="Times New Roman" w:cs="Times New Roman"/>
              </w:rPr>
              <w:t>0.2</w:t>
            </w:r>
          </w:p>
        </w:tc>
      </w:tr>
      <w:tr w:rsidR="006B1D12" w:rsidRPr="00177984" w14:paraId="09E7D709" w14:textId="77777777" w:rsidTr="001D6B56">
        <w:trPr>
          <w:jc w:val="center"/>
        </w:trPr>
        <w:tc>
          <w:tcPr>
            <w:tcW w:w="9576" w:type="dxa"/>
            <w:gridSpan w:val="2"/>
            <w:tcBorders>
              <w:top w:val="single" w:sz="4" w:space="0" w:color="auto"/>
              <w:left w:val="nil"/>
              <w:bottom w:val="nil"/>
              <w:right w:val="nil"/>
            </w:tcBorders>
          </w:tcPr>
          <w:p w14:paraId="5DAE7C6A" w14:textId="5CCEF54B" w:rsidR="006B1D12" w:rsidRPr="00177984" w:rsidRDefault="006B1D12" w:rsidP="00177984">
            <w:pPr>
              <w:keepNext/>
              <w:jc w:val="both"/>
              <w:rPr>
                <w:rFonts w:ascii="Times New Roman" w:hAnsi="Times New Roman" w:cs="Times New Roman"/>
              </w:rPr>
            </w:pPr>
            <w:r w:rsidRPr="001B30A7">
              <w:rPr>
                <w:rFonts w:ascii="Times New Roman" w:hAnsi="Times New Roman" w:cs="Times New Roman"/>
              </w:rPr>
              <w:t>Source: Bangladesh Bureau of</w:t>
            </w:r>
            <w:r w:rsidR="005E0FCC">
              <w:rPr>
                <w:rFonts w:ascii="Times New Roman" w:hAnsi="Times New Roman" w:cs="Times New Roman"/>
              </w:rPr>
              <w:t xml:space="preserve"> Statistics, </w:t>
            </w:r>
            <w:r w:rsidR="006E2C5E">
              <w:rPr>
                <w:rFonts w:ascii="Times New Roman" w:hAnsi="Times New Roman" w:cs="Times New Roman"/>
              </w:rPr>
              <w:t>Labour</w:t>
            </w:r>
            <w:r w:rsidR="005E0FCC">
              <w:rPr>
                <w:rFonts w:ascii="Times New Roman" w:hAnsi="Times New Roman" w:cs="Times New Roman"/>
              </w:rPr>
              <w:t xml:space="preserve"> Force Survey 2015</w:t>
            </w:r>
          </w:p>
        </w:tc>
      </w:tr>
    </w:tbl>
    <w:p w14:paraId="08D79504" w14:textId="77777777" w:rsidR="006B1D12" w:rsidRPr="0060772A" w:rsidRDefault="006B1D12" w:rsidP="0060772A">
      <w:pPr>
        <w:autoSpaceDE w:val="0"/>
        <w:autoSpaceDN w:val="0"/>
        <w:adjustRightInd w:val="0"/>
        <w:spacing w:after="0" w:line="360" w:lineRule="auto"/>
        <w:ind w:firstLine="720"/>
        <w:jc w:val="both"/>
        <w:rPr>
          <w:rFonts w:ascii="Times New Roman" w:hAnsi="Times New Roman" w:cs="Times New Roman"/>
          <w:sz w:val="24"/>
          <w:szCs w:val="24"/>
        </w:rPr>
      </w:pPr>
    </w:p>
    <w:p w14:paraId="4046E43D" w14:textId="3FB8B38E" w:rsidR="004867E9" w:rsidRPr="0060772A" w:rsidRDefault="006760C4" w:rsidP="002625F4">
      <w:pPr>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color w:val="000000" w:themeColor="text1"/>
          <w:sz w:val="24"/>
          <w:szCs w:val="24"/>
        </w:rPr>
        <w:t xml:space="preserve">While at the early stages of development basic education may be adequate for many jobs in the economy, however, </w:t>
      </w:r>
      <w:r w:rsidRPr="0060772A">
        <w:rPr>
          <w:rFonts w:ascii="Times New Roman" w:hAnsi="Times New Roman" w:cs="Times New Roman"/>
          <w:sz w:val="24"/>
          <w:szCs w:val="24"/>
        </w:rPr>
        <w:t xml:space="preserve">with the advancement of technology, it is more likely that new set of skills would be necessary for jobs particularly in the manufacturing as well as service sector. Even with changes in demand for skills, the necessity of basic skills and knowledge would not </w:t>
      </w:r>
      <w:r w:rsidRPr="0060772A">
        <w:rPr>
          <w:rFonts w:ascii="Times New Roman" w:hAnsi="Times New Roman" w:cs="Times New Roman"/>
          <w:sz w:val="24"/>
          <w:szCs w:val="24"/>
        </w:rPr>
        <w:lastRenderedPageBreak/>
        <w:t xml:space="preserve">disappear. Importantly returns to learning are expected to increase – both in case of cognitive and non-cognitive skills. </w:t>
      </w:r>
      <w:r w:rsidR="004867E9" w:rsidRPr="0060772A">
        <w:rPr>
          <w:rFonts w:ascii="Times New Roman" w:hAnsi="Times New Roman" w:cs="Times New Roman"/>
          <w:sz w:val="24"/>
          <w:szCs w:val="24"/>
        </w:rPr>
        <w:t>It is envisaged, under the perspective plan policy framework, for achieving high and sustained growth to be an upper middle income country by 2031 and high income country by 2046, the total factor productivity would have to grow from the current average of 0.3 to 2.3 during 2021-2031 and 3.6 during 2032-2046</w:t>
      </w:r>
      <w:r w:rsidR="0002215A">
        <w:rPr>
          <w:rFonts w:ascii="Times New Roman" w:hAnsi="Times New Roman" w:cs="Times New Roman"/>
          <w:sz w:val="24"/>
          <w:szCs w:val="24"/>
        </w:rPr>
        <w:t>(Alamgir 2015)</w:t>
      </w:r>
      <w:r w:rsidR="004867E9" w:rsidRPr="0060772A">
        <w:rPr>
          <w:rFonts w:ascii="Times New Roman" w:hAnsi="Times New Roman" w:cs="Times New Roman"/>
          <w:sz w:val="24"/>
          <w:szCs w:val="24"/>
        </w:rPr>
        <w:t xml:space="preserve">. This will require, inter alia, higher investment in human capital. For example, South Korea moved from low-income in 1974 to high income country in early 2000.  Korea’s transition to upper middle income country experiences an average </w:t>
      </w:r>
      <w:r w:rsidR="006E2C5E">
        <w:rPr>
          <w:rFonts w:ascii="Times New Roman" w:hAnsi="Times New Roman" w:cs="Times New Roman"/>
          <w:sz w:val="24"/>
          <w:szCs w:val="24"/>
        </w:rPr>
        <w:t>labour</w:t>
      </w:r>
      <w:r w:rsidR="004867E9" w:rsidRPr="0060772A">
        <w:rPr>
          <w:rFonts w:ascii="Times New Roman" w:hAnsi="Times New Roman" w:cs="Times New Roman"/>
          <w:sz w:val="24"/>
          <w:szCs w:val="24"/>
        </w:rPr>
        <w:t xml:space="preserve"> productivity growth of 4.2 percent which is attributed to the country’s historically high literacy rate</w:t>
      </w:r>
      <w:r w:rsidR="000C329C">
        <w:rPr>
          <w:rFonts w:ascii="Times New Roman" w:hAnsi="Times New Roman" w:cs="Times New Roman"/>
          <w:sz w:val="24"/>
          <w:szCs w:val="24"/>
        </w:rPr>
        <w:t>(</w:t>
      </w:r>
      <w:r w:rsidR="0002215A">
        <w:rPr>
          <w:rFonts w:ascii="Times New Roman" w:hAnsi="Times New Roman" w:cs="Times New Roman"/>
          <w:sz w:val="24"/>
          <w:szCs w:val="24"/>
        </w:rPr>
        <w:t>Alamgir 2015</w:t>
      </w:r>
      <w:r w:rsidR="000C329C">
        <w:rPr>
          <w:rFonts w:ascii="Times New Roman" w:hAnsi="Times New Roman" w:cs="Times New Roman"/>
          <w:sz w:val="24"/>
          <w:szCs w:val="24"/>
        </w:rPr>
        <w:t>)</w:t>
      </w:r>
      <w:r w:rsidR="004867E9" w:rsidRPr="0060772A">
        <w:rPr>
          <w:rFonts w:ascii="Times New Roman" w:hAnsi="Times New Roman" w:cs="Times New Roman"/>
          <w:sz w:val="24"/>
          <w:szCs w:val="24"/>
        </w:rPr>
        <w:t xml:space="preserve">. In the next phase of Korea’s transition to higher income country, it was able to maintain stable 2.7 percent total factor productivity through its emphasis on skill development programs, higher allocation in research and development and expansion of tertiary education. In Korea </w:t>
      </w:r>
      <w:r w:rsidR="006E2C5E">
        <w:rPr>
          <w:rFonts w:ascii="Times New Roman" w:hAnsi="Times New Roman" w:cs="Times New Roman"/>
          <w:sz w:val="24"/>
          <w:szCs w:val="24"/>
        </w:rPr>
        <w:t>labour</w:t>
      </w:r>
      <w:r w:rsidR="004867E9" w:rsidRPr="0060772A">
        <w:rPr>
          <w:rFonts w:ascii="Times New Roman" w:hAnsi="Times New Roman" w:cs="Times New Roman"/>
          <w:sz w:val="24"/>
          <w:szCs w:val="24"/>
        </w:rPr>
        <w:t xml:space="preserve"> productivity increased substantially over the period- its trans</w:t>
      </w:r>
      <w:r w:rsidR="000C329C">
        <w:rPr>
          <w:rFonts w:ascii="Times New Roman" w:hAnsi="Times New Roman" w:cs="Times New Roman"/>
          <w:sz w:val="24"/>
          <w:szCs w:val="24"/>
        </w:rPr>
        <w:t>ition to higher income country (</w:t>
      </w:r>
      <w:r w:rsidR="0002215A">
        <w:rPr>
          <w:rFonts w:ascii="Times New Roman" w:hAnsi="Times New Roman" w:cs="Times New Roman"/>
          <w:sz w:val="24"/>
          <w:szCs w:val="24"/>
        </w:rPr>
        <w:t>Alamgir 2015</w:t>
      </w:r>
      <w:r w:rsidR="000C329C">
        <w:rPr>
          <w:rFonts w:ascii="Times New Roman" w:hAnsi="Times New Roman" w:cs="Times New Roman"/>
          <w:sz w:val="24"/>
          <w:szCs w:val="24"/>
        </w:rPr>
        <w:t>).</w:t>
      </w:r>
    </w:p>
    <w:p w14:paraId="7CC4EE1F" w14:textId="212DAE43" w:rsidR="007C68DD" w:rsidRPr="001B30A7" w:rsidRDefault="007C68DD" w:rsidP="0060772A">
      <w:pPr>
        <w:keepNext/>
        <w:spacing w:after="0" w:line="360" w:lineRule="auto"/>
        <w:rPr>
          <w:rFonts w:ascii="Times New Roman" w:hAnsi="Times New Roman" w:cs="Times New Roman"/>
          <w:sz w:val="24"/>
          <w:szCs w:val="24"/>
        </w:rPr>
      </w:pPr>
      <w:r w:rsidRPr="001B30A7">
        <w:rPr>
          <w:rFonts w:ascii="Times New Roman" w:hAnsi="Times New Roman" w:cs="Times New Roman"/>
          <w:sz w:val="24"/>
          <w:szCs w:val="24"/>
        </w:rPr>
        <w:t xml:space="preserve">Figure </w:t>
      </w:r>
      <w:r w:rsidR="001B30A7" w:rsidRPr="001B30A7">
        <w:rPr>
          <w:rFonts w:ascii="Times New Roman" w:hAnsi="Times New Roman" w:cs="Times New Roman"/>
          <w:sz w:val="24"/>
          <w:szCs w:val="24"/>
        </w:rPr>
        <w:t xml:space="preserve">1. </w:t>
      </w:r>
      <w:r w:rsidRPr="001B30A7">
        <w:rPr>
          <w:rFonts w:ascii="Times New Roman" w:hAnsi="Times New Roman" w:cs="Times New Roman"/>
          <w:sz w:val="24"/>
          <w:szCs w:val="24"/>
        </w:rPr>
        <w:t xml:space="preserve"> Enrolment in Tertiary Education for Different Groups of Countries </w:t>
      </w:r>
    </w:p>
    <w:p w14:paraId="29F01A31" w14:textId="77777777" w:rsidR="007C68DD" w:rsidRPr="0060772A" w:rsidRDefault="007C68DD" w:rsidP="0060772A">
      <w:pPr>
        <w:keepNext/>
        <w:spacing w:after="0" w:line="360" w:lineRule="auto"/>
        <w:rPr>
          <w:rFonts w:ascii="Times New Roman" w:hAnsi="Times New Roman" w:cs="Times New Roman"/>
          <w:sz w:val="24"/>
          <w:szCs w:val="24"/>
        </w:rPr>
      </w:pPr>
      <w:r w:rsidRPr="0060772A">
        <w:rPr>
          <w:rFonts w:ascii="Times New Roman" w:hAnsi="Times New Roman" w:cs="Times New Roman"/>
          <w:noProof/>
          <w:sz w:val="24"/>
          <w:szCs w:val="24"/>
          <w:lang w:eastAsia="en-GB"/>
        </w:rPr>
        <w:drawing>
          <wp:inline distT="0" distB="0" distL="0" distR="0" wp14:anchorId="3C56697A" wp14:editId="5A194E93">
            <wp:extent cx="4572000" cy="2499360"/>
            <wp:effectExtent l="0" t="0" r="1905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BCF02C" w14:textId="77777777" w:rsidR="007C68DD" w:rsidRPr="00E33FEB" w:rsidRDefault="007C68DD" w:rsidP="00E33FEB">
      <w:pPr>
        <w:keepNext/>
        <w:spacing w:after="0" w:line="276" w:lineRule="auto"/>
        <w:rPr>
          <w:rFonts w:ascii="Times New Roman" w:hAnsi="Times New Roman" w:cs="Times New Roman"/>
          <w:sz w:val="20"/>
          <w:szCs w:val="20"/>
        </w:rPr>
      </w:pPr>
      <w:r w:rsidRPr="00E33FEB">
        <w:rPr>
          <w:rFonts w:ascii="Times New Roman" w:hAnsi="Times New Roman" w:cs="Times New Roman"/>
          <w:sz w:val="20"/>
          <w:szCs w:val="20"/>
        </w:rPr>
        <w:t xml:space="preserve">Source: World Development Indicators (2016) </w:t>
      </w:r>
    </w:p>
    <w:p w14:paraId="263E8489" w14:textId="77777777" w:rsidR="007C68DD" w:rsidRPr="0060772A" w:rsidRDefault="007C68DD" w:rsidP="0060772A">
      <w:pPr>
        <w:spacing w:after="0" w:line="360" w:lineRule="auto"/>
        <w:ind w:firstLine="720"/>
        <w:jc w:val="both"/>
        <w:rPr>
          <w:rFonts w:ascii="Times New Roman" w:hAnsi="Times New Roman" w:cs="Times New Roman"/>
          <w:sz w:val="24"/>
          <w:szCs w:val="24"/>
        </w:rPr>
      </w:pPr>
    </w:p>
    <w:p w14:paraId="133CAE2D" w14:textId="77777777" w:rsidR="006760C4" w:rsidRDefault="006760C4" w:rsidP="006760C4">
      <w:pPr>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sz w:val="24"/>
          <w:szCs w:val="24"/>
        </w:rPr>
        <w:t>One important focus thus would be the tertiary education both in terms of quality and quality. The enrolment in tertiary education has not been increasing or at the level of global proportion, particularly if we look at the level of higher and middle income countries. Indeed it has been lower to South Asian average in the recent decades (See Figure</w:t>
      </w:r>
      <w:r>
        <w:rPr>
          <w:rFonts w:ascii="Times New Roman" w:hAnsi="Times New Roman" w:cs="Times New Roman"/>
          <w:sz w:val="24"/>
          <w:szCs w:val="24"/>
        </w:rPr>
        <w:t xml:space="preserve"> 1</w:t>
      </w:r>
      <w:r w:rsidRPr="0060772A">
        <w:rPr>
          <w:rFonts w:ascii="Times New Roman" w:hAnsi="Times New Roman" w:cs="Times New Roman"/>
          <w:sz w:val="24"/>
          <w:szCs w:val="24"/>
        </w:rPr>
        <w:t xml:space="preserve">).  </w:t>
      </w:r>
      <w:r w:rsidRPr="0060772A">
        <w:rPr>
          <w:rFonts w:ascii="Times New Roman" w:hAnsi="Times New Roman" w:cs="Times New Roman"/>
          <w:color w:val="000000"/>
          <w:sz w:val="24"/>
          <w:szCs w:val="24"/>
        </w:rPr>
        <w:t xml:space="preserve">The relevance of higher education in Bangladesh suffers from the limited options of studying science and engineering and subjects that have market demand. This is substantiated by the fact that the highest level of unemployment (9%) is among the higher (tertiary) educated people (Bangladesh </w:t>
      </w:r>
      <w:r>
        <w:rPr>
          <w:rFonts w:ascii="Times New Roman" w:hAnsi="Times New Roman" w:cs="Times New Roman"/>
          <w:color w:val="000000"/>
          <w:sz w:val="24"/>
          <w:szCs w:val="24"/>
        </w:rPr>
        <w:t>Labour</w:t>
      </w:r>
      <w:r w:rsidRPr="0060772A">
        <w:rPr>
          <w:rFonts w:ascii="Times New Roman" w:hAnsi="Times New Roman" w:cs="Times New Roman"/>
          <w:color w:val="000000"/>
          <w:sz w:val="24"/>
          <w:szCs w:val="24"/>
        </w:rPr>
        <w:t xml:space="preserve"> Force Survey 2015-16). This also creates supply-demand mismatch or skill gap. </w:t>
      </w:r>
      <w:r w:rsidRPr="0060772A">
        <w:rPr>
          <w:rFonts w:ascii="Times New Roman" w:hAnsi="Times New Roman" w:cs="Times New Roman"/>
          <w:sz w:val="24"/>
          <w:szCs w:val="24"/>
        </w:rPr>
        <w:t xml:space="preserve">There is also lack of systematic studies that will inform education policy makers about the job market relevance of the higher education in Bangladesh. </w:t>
      </w:r>
    </w:p>
    <w:p w14:paraId="1B397EC3" w14:textId="5F5B0E27" w:rsidR="007C68DD" w:rsidRDefault="001B30A7" w:rsidP="002625F4">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Thus the </w:t>
      </w:r>
      <w:r w:rsidR="006B1D12" w:rsidRPr="0060772A">
        <w:rPr>
          <w:rFonts w:ascii="Times New Roman" w:hAnsi="Times New Roman" w:cs="Times New Roman"/>
          <w:sz w:val="24"/>
          <w:szCs w:val="24"/>
        </w:rPr>
        <w:t xml:space="preserve">important question would then </w:t>
      </w:r>
      <w:r w:rsidR="00177984">
        <w:rPr>
          <w:rFonts w:ascii="Times New Roman" w:hAnsi="Times New Roman" w:cs="Times New Roman"/>
          <w:sz w:val="24"/>
          <w:szCs w:val="24"/>
        </w:rPr>
        <w:t>is</w:t>
      </w:r>
      <w:r w:rsidR="006B1D12" w:rsidRPr="0060772A">
        <w:rPr>
          <w:rFonts w:ascii="Times New Roman" w:hAnsi="Times New Roman" w:cs="Times New Roman"/>
          <w:sz w:val="24"/>
          <w:szCs w:val="24"/>
        </w:rPr>
        <w:t xml:space="preserve"> what kind of targets in the area of human capital </w:t>
      </w:r>
      <w:r w:rsidR="00E33FEB">
        <w:rPr>
          <w:rFonts w:ascii="Times New Roman" w:hAnsi="Times New Roman" w:cs="Times New Roman"/>
          <w:sz w:val="24"/>
          <w:szCs w:val="24"/>
        </w:rPr>
        <w:t xml:space="preserve">would </w:t>
      </w:r>
      <w:r w:rsidR="006B1D12" w:rsidRPr="0060772A">
        <w:rPr>
          <w:rFonts w:ascii="Times New Roman" w:hAnsi="Times New Roman" w:cs="Times New Roman"/>
          <w:sz w:val="24"/>
          <w:szCs w:val="24"/>
        </w:rPr>
        <w:t xml:space="preserve">commensurate with future growth prospect </w:t>
      </w:r>
      <w:r w:rsidR="00AA237E" w:rsidRPr="0060772A">
        <w:rPr>
          <w:rFonts w:ascii="Times New Roman" w:hAnsi="Times New Roman" w:cs="Times New Roman"/>
          <w:sz w:val="24"/>
          <w:szCs w:val="24"/>
        </w:rPr>
        <w:t>of the country</w:t>
      </w:r>
      <w:r w:rsidR="00177984">
        <w:rPr>
          <w:rFonts w:ascii="Times New Roman" w:hAnsi="Times New Roman" w:cs="Times New Roman"/>
          <w:sz w:val="24"/>
          <w:szCs w:val="24"/>
        </w:rPr>
        <w:t>?</w:t>
      </w:r>
      <w:r w:rsidR="00AA237E" w:rsidRPr="0060772A">
        <w:rPr>
          <w:rFonts w:ascii="Times New Roman" w:hAnsi="Times New Roman" w:cs="Times New Roman"/>
          <w:sz w:val="24"/>
          <w:szCs w:val="24"/>
        </w:rPr>
        <w:t xml:space="preserve"> Following the approach taken in Islam</w:t>
      </w:r>
      <w:r>
        <w:rPr>
          <w:rFonts w:ascii="Times New Roman" w:hAnsi="Times New Roman" w:cs="Times New Roman"/>
          <w:sz w:val="24"/>
          <w:szCs w:val="24"/>
        </w:rPr>
        <w:t xml:space="preserve"> </w:t>
      </w:r>
      <w:r w:rsidR="00AA237E" w:rsidRPr="0060772A">
        <w:rPr>
          <w:rFonts w:ascii="Times New Roman" w:hAnsi="Times New Roman" w:cs="Times New Roman"/>
          <w:sz w:val="24"/>
          <w:szCs w:val="24"/>
        </w:rPr>
        <w:t xml:space="preserve">(2015), we attempt to provide some indicative scenario based on international experiences. The basis of the exercise is to address </w:t>
      </w:r>
      <w:r>
        <w:rPr>
          <w:rFonts w:ascii="Times New Roman" w:hAnsi="Times New Roman" w:cs="Times New Roman"/>
          <w:sz w:val="24"/>
          <w:szCs w:val="24"/>
        </w:rPr>
        <w:t xml:space="preserve">whether </w:t>
      </w:r>
      <w:r w:rsidR="00AA237E" w:rsidRPr="0060772A">
        <w:rPr>
          <w:rFonts w:ascii="Times New Roman" w:hAnsi="Times New Roman" w:cs="Times New Roman"/>
          <w:sz w:val="24"/>
          <w:szCs w:val="24"/>
        </w:rPr>
        <w:t xml:space="preserve">Bangladesh can aim to achieve certain level of human capital that that other middle/higher income countries experienced at the similar stage of development. We particularly compare the situation with Malaysia and Thailand when providing </w:t>
      </w:r>
      <w:r>
        <w:rPr>
          <w:rFonts w:ascii="Times New Roman" w:hAnsi="Times New Roman" w:cs="Times New Roman"/>
          <w:sz w:val="24"/>
          <w:szCs w:val="24"/>
        </w:rPr>
        <w:t>such</w:t>
      </w:r>
      <w:r w:rsidR="00AA237E" w:rsidRPr="0060772A">
        <w:rPr>
          <w:rFonts w:ascii="Times New Roman" w:hAnsi="Times New Roman" w:cs="Times New Roman"/>
          <w:sz w:val="24"/>
          <w:szCs w:val="24"/>
        </w:rPr>
        <w:t xml:space="preserve"> scenario.</w:t>
      </w:r>
      <w:r w:rsidR="004D46C4">
        <w:rPr>
          <w:rFonts w:ascii="Times New Roman" w:hAnsi="Times New Roman" w:cs="Times New Roman"/>
          <w:sz w:val="24"/>
          <w:szCs w:val="24"/>
        </w:rPr>
        <w:t xml:space="preserve"> </w:t>
      </w:r>
    </w:p>
    <w:p w14:paraId="666FC171" w14:textId="77777777" w:rsidR="007C311B" w:rsidRPr="0060772A" w:rsidRDefault="007C311B" w:rsidP="007C311B">
      <w:pPr>
        <w:spacing w:after="0" w:line="276" w:lineRule="auto"/>
        <w:ind w:firstLine="720"/>
        <w:jc w:val="both"/>
        <w:rPr>
          <w:rFonts w:ascii="Times New Roman" w:hAnsi="Times New Roman" w:cs="Times New Roman"/>
          <w:sz w:val="24"/>
          <w:szCs w:val="24"/>
        </w:rPr>
      </w:pPr>
    </w:p>
    <w:p w14:paraId="1C1C7DEA" w14:textId="60F2111C" w:rsidR="003F5146" w:rsidRPr="00C34757" w:rsidRDefault="00AA237E" w:rsidP="00E33FEB">
      <w:pPr>
        <w:keepNext/>
        <w:spacing w:after="0" w:line="240" w:lineRule="auto"/>
        <w:rPr>
          <w:rFonts w:ascii="Times New Roman" w:hAnsi="Times New Roman" w:cs="Times New Roman"/>
          <w:b/>
        </w:rPr>
      </w:pPr>
      <w:r w:rsidRPr="00C34757">
        <w:rPr>
          <w:rFonts w:ascii="Times New Roman" w:hAnsi="Times New Roman" w:cs="Times New Roman"/>
          <w:b/>
        </w:rPr>
        <w:t>T</w:t>
      </w:r>
      <w:r w:rsidR="003F5146" w:rsidRPr="00C34757">
        <w:rPr>
          <w:rFonts w:ascii="Times New Roman" w:hAnsi="Times New Roman" w:cs="Times New Roman"/>
          <w:b/>
        </w:rPr>
        <w:t>able</w:t>
      </w:r>
      <w:r w:rsidR="001B30A7">
        <w:rPr>
          <w:rFonts w:ascii="Times New Roman" w:hAnsi="Times New Roman" w:cs="Times New Roman"/>
          <w:b/>
        </w:rPr>
        <w:t xml:space="preserve"> 2. </w:t>
      </w:r>
      <w:r w:rsidR="003F5146" w:rsidRPr="00C34757">
        <w:rPr>
          <w:rFonts w:ascii="Times New Roman" w:hAnsi="Times New Roman" w:cs="Times New Roman"/>
          <w:b/>
        </w:rPr>
        <w:t xml:space="preserve"> Some Indicative Targets for Education and Skill development for Bangladesh</w:t>
      </w:r>
      <w:r w:rsidR="005E0FCC">
        <w:rPr>
          <w:rStyle w:val="FootnoteReference"/>
          <w:rFonts w:ascii="Times New Roman" w:hAnsi="Times New Roman" w:cs="Times New Roman"/>
          <w:b/>
        </w:rPr>
        <w:footnoteReference w:id="3"/>
      </w:r>
      <w:r w:rsidR="003F5146" w:rsidRPr="00C34757">
        <w:rPr>
          <w:rFonts w:ascii="Times New Roman" w:hAnsi="Times New Roman" w:cs="Times New Roman"/>
          <w:b/>
        </w:rPr>
        <w:t xml:space="preserve"> </w:t>
      </w:r>
    </w:p>
    <w:tbl>
      <w:tblPr>
        <w:tblW w:w="7400" w:type="dxa"/>
        <w:tblLook w:val="04A0" w:firstRow="1" w:lastRow="0" w:firstColumn="1" w:lastColumn="0" w:noHBand="0" w:noVBand="1"/>
      </w:tblPr>
      <w:tblGrid>
        <w:gridCol w:w="2680"/>
        <w:gridCol w:w="1220"/>
        <w:gridCol w:w="1840"/>
        <w:gridCol w:w="1660"/>
      </w:tblGrid>
      <w:tr w:rsidR="003F5146" w:rsidRPr="00C34757" w14:paraId="08B6D7D3" w14:textId="77777777" w:rsidTr="001D6B56">
        <w:trPr>
          <w:trHeight w:val="600"/>
        </w:trPr>
        <w:tc>
          <w:tcPr>
            <w:tcW w:w="2680" w:type="dxa"/>
            <w:tcBorders>
              <w:top w:val="single" w:sz="4" w:space="0" w:color="auto"/>
              <w:bottom w:val="single" w:sz="4" w:space="0" w:color="auto"/>
            </w:tcBorders>
            <w:shd w:val="clear" w:color="auto" w:fill="auto"/>
            <w:noWrap/>
            <w:vAlign w:val="bottom"/>
            <w:hideMark/>
          </w:tcPr>
          <w:p w14:paraId="0C1736A1"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p>
        </w:tc>
        <w:tc>
          <w:tcPr>
            <w:tcW w:w="1220" w:type="dxa"/>
            <w:tcBorders>
              <w:top w:val="single" w:sz="4" w:space="0" w:color="auto"/>
              <w:bottom w:val="single" w:sz="4" w:space="0" w:color="auto"/>
            </w:tcBorders>
            <w:shd w:val="clear" w:color="auto" w:fill="auto"/>
            <w:vAlign w:val="bottom"/>
            <w:hideMark/>
          </w:tcPr>
          <w:p w14:paraId="3791B5D0" w14:textId="77777777" w:rsidR="003F5146"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2015-16</w:t>
            </w:r>
          </w:p>
          <w:p w14:paraId="71976FF0" w14:textId="41FA1745" w:rsidR="00055CA0" w:rsidRPr="00C34757" w:rsidRDefault="00055CA0" w:rsidP="00E33FEB">
            <w:pPr>
              <w:keepNext/>
              <w:spacing w:after="0" w:line="240" w:lineRule="auto"/>
              <w:jc w:val="center"/>
              <w:rPr>
                <w:rFonts w:ascii="Times New Roman" w:eastAsia="Times New Roman" w:hAnsi="Times New Roman" w:cs="Times New Roman"/>
                <w:color w:val="000000"/>
              </w:rPr>
            </w:pPr>
          </w:p>
        </w:tc>
        <w:tc>
          <w:tcPr>
            <w:tcW w:w="1840" w:type="dxa"/>
            <w:tcBorders>
              <w:top w:val="single" w:sz="4" w:space="0" w:color="auto"/>
              <w:bottom w:val="single" w:sz="4" w:space="0" w:color="auto"/>
            </w:tcBorders>
            <w:shd w:val="clear" w:color="auto" w:fill="auto"/>
            <w:vAlign w:val="bottom"/>
            <w:hideMark/>
          </w:tcPr>
          <w:p w14:paraId="59AE45E5" w14:textId="77777777" w:rsidR="003F5146" w:rsidRPr="00C34757" w:rsidRDefault="003F5146" w:rsidP="00E33FEB">
            <w:pPr>
              <w:keepNext/>
              <w:spacing w:after="0" w:line="240" w:lineRule="auto"/>
              <w:jc w:val="center"/>
              <w:rPr>
                <w:rFonts w:ascii="Times New Roman" w:eastAsia="Times New Roman" w:hAnsi="Times New Roman" w:cs="Times New Roman"/>
              </w:rPr>
            </w:pPr>
            <w:r w:rsidRPr="00C34757">
              <w:rPr>
                <w:rFonts w:ascii="Times New Roman" w:eastAsia="Times New Roman" w:hAnsi="Times New Roman" w:cs="Times New Roman"/>
              </w:rPr>
              <w:t>Possible Target for 2030**</w:t>
            </w:r>
          </w:p>
        </w:tc>
        <w:tc>
          <w:tcPr>
            <w:tcW w:w="1660" w:type="dxa"/>
            <w:tcBorders>
              <w:top w:val="single" w:sz="4" w:space="0" w:color="auto"/>
              <w:bottom w:val="single" w:sz="4" w:space="0" w:color="auto"/>
            </w:tcBorders>
            <w:shd w:val="clear" w:color="auto" w:fill="auto"/>
            <w:vAlign w:val="bottom"/>
            <w:hideMark/>
          </w:tcPr>
          <w:p w14:paraId="0DBC37D6" w14:textId="77777777" w:rsidR="003F5146" w:rsidRPr="00C34757" w:rsidRDefault="003F5146" w:rsidP="00E33FEB">
            <w:pPr>
              <w:keepNext/>
              <w:spacing w:after="0" w:line="240" w:lineRule="auto"/>
              <w:jc w:val="center"/>
              <w:rPr>
                <w:rFonts w:ascii="Times New Roman" w:eastAsia="Times New Roman" w:hAnsi="Times New Roman" w:cs="Times New Roman"/>
              </w:rPr>
            </w:pPr>
            <w:r w:rsidRPr="00C34757">
              <w:rPr>
                <w:rFonts w:ascii="Times New Roman" w:eastAsia="Times New Roman" w:hAnsi="Times New Roman" w:cs="Times New Roman"/>
              </w:rPr>
              <w:t>Possible Target for 2040***</w:t>
            </w:r>
          </w:p>
        </w:tc>
      </w:tr>
      <w:tr w:rsidR="003F5146" w:rsidRPr="00C34757" w14:paraId="17995C61" w14:textId="77777777" w:rsidTr="001D6B56">
        <w:trPr>
          <w:trHeight w:val="300"/>
        </w:trPr>
        <w:tc>
          <w:tcPr>
            <w:tcW w:w="2680" w:type="dxa"/>
            <w:tcBorders>
              <w:top w:val="single" w:sz="4" w:space="0" w:color="auto"/>
              <w:bottom w:val="single" w:sz="4" w:space="0" w:color="auto"/>
            </w:tcBorders>
            <w:shd w:val="clear" w:color="auto" w:fill="auto"/>
            <w:noWrap/>
            <w:vAlign w:val="bottom"/>
            <w:hideMark/>
          </w:tcPr>
          <w:p w14:paraId="69826D47" w14:textId="148C4660" w:rsidR="003F5146" w:rsidRPr="00C34757" w:rsidRDefault="003F5146" w:rsidP="00E33FEB">
            <w:pPr>
              <w:keepNext/>
              <w:spacing w:after="0" w:line="240" w:lineRule="auto"/>
              <w:rPr>
                <w:rFonts w:ascii="Times New Roman" w:eastAsia="Times New Roman" w:hAnsi="Times New Roman" w:cs="Times New Roman"/>
                <w:color w:val="000000"/>
              </w:rPr>
            </w:pPr>
            <w:r w:rsidRPr="00C34757">
              <w:rPr>
                <w:rFonts w:ascii="Times New Roman" w:eastAsia="Times New Roman" w:hAnsi="Times New Roman" w:cs="Times New Roman"/>
                <w:color w:val="000000"/>
              </w:rPr>
              <w:t xml:space="preserve">% of </w:t>
            </w:r>
            <w:r w:rsidR="006E2C5E">
              <w:rPr>
                <w:rFonts w:ascii="Times New Roman" w:eastAsia="Times New Roman" w:hAnsi="Times New Roman" w:cs="Times New Roman"/>
                <w:color w:val="000000"/>
              </w:rPr>
              <w:t>labour</w:t>
            </w:r>
            <w:r w:rsidRPr="00C34757">
              <w:rPr>
                <w:rFonts w:ascii="Times New Roman" w:eastAsia="Times New Roman" w:hAnsi="Times New Roman" w:cs="Times New Roman"/>
                <w:color w:val="000000"/>
              </w:rPr>
              <w:t xml:space="preserve"> force with</w:t>
            </w:r>
          </w:p>
        </w:tc>
        <w:tc>
          <w:tcPr>
            <w:tcW w:w="1220" w:type="dxa"/>
            <w:tcBorders>
              <w:top w:val="single" w:sz="4" w:space="0" w:color="auto"/>
              <w:bottom w:val="single" w:sz="4" w:space="0" w:color="auto"/>
            </w:tcBorders>
            <w:shd w:val="clear" w:color="auto" w:fill="auto"/>
            <w:noWrap/>
            <w:vAlign w:val="bottom"/>
            <w:hideMark/>
          </w:tcPr>
          <w:p w14:paraId="4BA71C67" w14:textId="77777777" w:rsidR="003F5146" w:rsidRPr="00C34757" w:rsidRDefault="003F5146" w:rsidP="00E33FEB">
            <w:pPr>
              <w:keepNext/>
              <w:spacing w:after="0" w:line="240" w:lineRule="auto"/>
              <w:rPr>
                <w:rFonts w:ascii="Times New Roman" w:eastAsia="Times New Roman" w:hAnsi="Times New Roman" w:cs="Times New Roman"/>
                <w:color w:val="000000"/>
              </w:rPr>
            </w:pPr>
            <w:r w:rsidRPr="00C34757">
              <w:rPr>
                <w:rFonts w:ascii="Times New Roman" w:eastAsia="Times New Roman" w:hAnsi="Times New Roman" w:cs="Times New Roman"/>
                <w:color w:val="000000"/>
              </w:rPr>
              <w:t> </w:t>
            </w:r>
          </w:p>
        </w:tc>
        <w:tc>
          <w:tcPr>
            <w:tcW w:w="1840" w:type="dxa"/>
            <w:tcBorders>
              <w:top w:val="single" w:sz="4" w:space="0" w:color="auto"/>
              <w:bottom w:val="single" w:sz="4" w:space="0" w:color="auto"/>
            </w:tcBorders>
            <w:shd w:val="clear" w:color="auto" w:fill="auto"/>
            <w:noWrap/>
            <w:vAlign w:val="bottom"/>
            <w:hideMark/>
          </w:tcPr>
          <w:p w14:paraId="64F96C90" w14:textId="77777777" w:rsidR="003F5146" w:rsidRPr="00C34757" w:rsidRDefault="003F5146" w:rsidP="00E33FEB">
            <w:pPr>
              <w:keepNext/>
              <w:spacing w:after="0" w:line="240" w:lineRule="auto"/>
              <w:rPr>
                <w:rFonts w:ascii="Times New Roman" w:eastAsia="Times New Roman" w:hAnsi="Times New Roman" w:cs="Times New Roman"/>
                <w:color w:val="000000"/>
              </w:rPr>
            </w:pPr>
            <w:r w:rsidRPr="00C34757">
              <w:rPr>
                <w:rFonts w:ascii="Times New Roman" w:eastAsia="Times New Roman" w:hAnsi="Times New Roman" w:cs="Times New Roman"/>
                <w:color w:val="000000"/>
              </w:rPr>
              <w:t> </w:t>
            </w:r>
          </w:p>
        </w:tc>
        <w:tc>
          <w:tcPr>
            <w:tcW w:w="1660" w:type="dxa"/>
            <w:tcBorders>
              <w:top w:val="single" w:sz="4" w:space="0" w:color="auto"/>
              <w:bottom w:val="single" w:sz="4" w:space="0" w:color="auto"/>
            </w:tcBorders>
            <w:shd w:val="clear" w:color="auto" w:fill="auto"/>
            <w:noWrap/>
            <w:vAlign w:val="bottom"/>
            <w:hideMark/>
          </w:tcPr>
          <w:p w14:paraId="4FC6C5A6" w14:textId="77777777" w:rsidR="003F5146" w:rsidRPr="00C34757" w:rsidRDefault="003F5146" w:rsidP="00E33FEB">
            <w:pPr>
              <w:keepNext/>
              <w:spacing w:after="0" w:line="240" w:lineRule="auto"/>
              <w:rPr>
                <w:rFonts w:ascii="Times New Roman" w:eastAsia="Times New Roman" w:hAnsi="Times New Roman" w:cs="Times New Roman"/>
                <w:color w:val="000000"/>
              </w:rPr>
            </w:pPr>
            <w:r w:rsidRPr="00C34757">
              <w:rPr>
                <w:rFonts w:ascii="Times New Roman" w:eastAsia="Times New Roman" w:hAnsi="Times New Roman" w:cs="Times New Roman"/>
                <w:color w:val="000000"/>
              </w:rPr>
              <w:t> </w:t>
            </w:r>
          </w:p>
        </w:tc>
      </w:tr>
      <w:tr w:rsidR="003F5146" w:rsidRPr="00C34757" w14:paraId="3BC238A2" w14:textId="77777777" w:rsidTr="001D6B56">
        <w:trPr>
          <w:trHeight w:val="300"/>
        </w:trPr>
        <w:tc>
          <w:tcPr>
            <w:tcW w:w="2680" w:type="dxa"/>
            <w:tcBorders>
              <w:top w:val="single" w:sz="4" w:space="0" w:color="auto"/>
            </w:tcBorders>
            <w:shd w:val="clear" w:color="auto" w:fill="auto"/>
            <w:noWrap/>
            <w:vAlign w:val="bottom"/>
            <w:hideMark/>
          </w:tcPr>
          <w:p w14:paraId="7179BE5E" w14:textId="77777777" w:rsidR="003F5146" w:rsidRPr="00C34757" w:rsidRDefault="003F5146" w:rsidP="00E33FEB">
            <w:pPr>
              <w:keepNext/>
              <w:spacing w:after="0" w:line="240" w:lineRule="auto"/>
              <w:rPr>
                <w:rFonts w:ascii="Times New Roman" w:eastAsia="Times New Roman" w:hAnsi="Times New Roman" w:cs="Times New Roman"/>
                <w:color w:val="000000"/>
              </w:rPr>
            </w:pPr>
            <w:r w:rsidRPr="00C34757">
              <w:rPr>
                <w:rFonts w:ascii="Times New Roman" w:eastAsia="Times New Roman" w:hAnsi="Times New Roman" w:cs="Times New Roman"/>
                <w:color w:val="000000"/>
              </w:rPr>
              <w:t>Basic education</w:t>
            </w:r>
          </w:p>
        </w:tc>
        <w:tc>
          <w:tcPr>
            <w:tcW w:w="1220" w:type="dxa"/>
            <w:tcBorders>
              <w:top w:val="single" w:sz="4" w:space="0" w:color="auto"/>
            </w:tcBorders>
            <w:shd w:val="clear" w:color="auto" w:fill="auto"/>
            <w:noWrap/>
            <w:vAlign w:val="bottom"/>
            <w:hideMark/>
          </w:tcPr>
          <w:p w14:paraId="668900C6"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34.90</w:t>
            </w:r>
          </w:p>
        </w:tc>
        <w:tc>
          <w:tcPr>
            <w:tcW w:w="1840" w:type="dxa"/>
            <w:tcBorders>
              <w:top w:val="single" w:sz="4" w:space="0" w:color="auto"/>
            </w:tcBorders>
            <w:shd w:val="clear" w:color="auto" w:fill="auto"/>
            <w:noWrap/>
            <w:vAlign w:val="bottom"/>
            <w:hideMark/>
          </w:tcPr>
          <w:p w14:paraId="30EFAA09"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46.70</w:t>
            </w:r>
          </w:p>
        </w:tc>
        <w:tc>
          <w:tcPr>
            <w:tcW w:w="1660" w:type="dxa"/>
            <w:tcBorders>
              <w:top w:val="single" w:sz="4" w:space="0" w:color="auto"/>
            </w:tcBorders>
            <w:shd w:val="clear" w:color="auto" w:fill="auto"/>
            <w:noWrap/>
            <w:vAlign w:val="bottom"/>
            <w:hideMark/>
          </w:tcPr>
          <w:p w14:paraId="755AE9A4"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61.30</w:t>
            </w:r>
          </w:p>
        </w:tc>
      </w:tr>
      <w:tr w:rsidR="003F5146" w:rsidRPr="00C34757" w14:paraId="27A1B7B8" w14:textId="77777777" w:rsidTr="001D6B56">
        <w:trPr>
          <w:trHeight w:val="300"/>
        </w:trPr>
        <w:tc>
          <w:tcPr>
            <w:tcW w:w="2680" w:type="dxa"/>
            <w:shd w:val="clear" w:color="auto" w:fill="auto"/>
            <w:noWrap/>
            <w:vAlign w:val="bottom"/>
            <w:hideMark/>
          </w:tcPr>
          <w:p w14:paraId="250362AA" w14:textId="77777777" w:rsidR="003F5146" w:rsidRPr="00C34757" w:rsidRDefault="003F5146" w:rsidP="00E33FEB">
            <w:pPr>
              <w:keepNext/>
              <w:spacing w:after="0" w:line="240" w:lineRule="auto"/>
              <w:rPr>
                <w:rFonts w:ascii="Times New Roman" w:eastAsia="Times New Roman" w:hAnsi="Times New Roman" w:cs="Times New Roman"/>
                <w:color w:val="000000"/>
              </w:rPr>
            </w:pPr>
            <w:r w:rsidRPr="00C34757">
              <w:rPr>
                <w:rFonts w:ascii="Times New Roman" w:eastAsia="Times New Roman" w:hAnsi="Times New Roman" w:cs="Times New Roman"/>
                <w:color w:val="000000"/>
              </w:rPr>
              <w:t>Intermediate education</w:t>
            </w:r>
          </w:p>
        </w:tc>
        <w:tc>
          <w:tcPr>
            <w:tcW w:w="1220" w:type="dxa"/>
            <w:shd w:val="clear" w:color="auto" w:fill="auto"/>
            <w:noWrap/>
            <w:vAlign w:val="bottom"/>
            <w:hideMark/>
          </w:tcPr>
          <w:p w14:paraId="0DECD5FF"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28.40</w:t>
            </w:r>
          </w:p>
        </w:tc>
        <w:tc>
          <w:tcPr>
            <w:tcW w:w="1840" w:type="dxa"/>
            <w:shd w:val="clear" w:color="auto" w:fill="auto"/>
            <w:noWrap/>
            <w:vAlign w:val="bottom"/>
            <w:hideMark/>
          </w:tcPr>
          <w:p w14:paraId="51DA60FE"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53.90</w:t>
            </w:r>
          </w:p>
        </w:tc>
        <w:tc>
          <w:tcPr>
            <w:tcW w:w="1660" w:type="dxa"/>
            <w:shd w:val="clear" w:color="auto" w:fill="auto"/>
            <w:noWrap/>
            <w:vAlign w:val="bottom"/>
            <w:hideMark/>
          </w:tcPr>
          <w:p w14:paraId="41C7C372"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63.70</w:t>
            </w:r>
          </w:p>
        </w:tc>
      </w:tr>
      <w:tr w:rsidR="003F5146" w:rsidRPr="00C34757" w14:paraId="42D9C615" w14:textId="77777777" w:rsidTr="001D6B56">
        <w:trPr>
          <w:trHeight w:val="300"/>
        </w:trPr>
        <w:tc>
          <w:tcPr>
            <w:tcW w:w="2680" w:type="dxa"/>
            <w:shd w:val="clear" w:color="auto" w:fill="auto"/>
            <w:noWrap/>
            <w:vAlign w:val="bottom"/>
            <w:hideMark/>
          </w:tcPr>
          <w:p w14:paraId="0211D661" w14:textId="77777777" w:rsidR="003F5146" w:rsidRPr="00C34757" w:rsidRDefault="003F5146" w:rsidP="00E33FEB">
            <w:pPr>
              <w:keepNext/>
              <w:spacing w:after="0" w:line="240" w:lineRule="auto"/>
              <w:rPr>
                <w:rFonts w:ascii="Times New Roman" w:eastAsia="Times New Roman" w:hAnsi="Times New Roman" w:cs="Times New Roman"/>
                <w:color w:val="000000"/>
              </w:rPr>
            </w:pPr>
            <w:r w:rsidRPr="00C34757">
              <w:rPr>
                <w:rFonts w:ascii="Times New Roman" w:eastAsia="Times New Roman" w:hAnsi="Times New Roman" w:cs="Times New Roman"/>
                <w:color w:val="000000"/>
              </w:rPr>
              <w:t>Advanced education</w:t>
            </w:r>
          </w:p>
        </w:tc>
        <w:tc>
          <w:tcPr>
            <w:tcW w:w="1220" w:type="dxa"/>
            <w:shd w:val="clear" w:color="auto" w:fill="auto"/>
            <w:noWrap/>
            <w:vAlign w:val="bottom"/>
            <w:hideMark/>
          </w:tcPr>
          <w:p w14:paraId="0159F420"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52.90</w:t>
            </w:r>
          </w:p>
        </w:tc>
        <w:tc>
          <w:tcPr>
            <w:tcW w:w="1840" w:type="dxa"/>
            <w:shd w:val="clear" w:color="auto" w:fill="auto"/>
            <w:noWrap/>
            <w:vAlign w:val="bottom"/>
            <w:hideMark/>
          </w:tcPr>
          <w:p w14:paraId="72F71B88"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65.40</w:t>
            </w:r>
          </w:p>
        </w:tc>
        <w:tc>
          <w:tcPr>
            <w:tcW w:w="1660" w:type="dxa"/>
            <w:shd w:val="clear" w:color="auto" w:fill="auto"/>
            <w:noWrap/>
            <w:vAlign w:val="bottom"/>
            <w:hideMark/>
          </w:tcPr>
          <w:p w14:paraId="0CE8322E"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83.70</w:t>
            </w:r>
          </w:p>
        </w:tc>
      </w:tr>
      <w:tr w:rsidR="003F5146" w:rsidRPr="00C34757" w14:paraId="0CF59295" w14:textId="77777777" w:rsidTr="001D6B56">
        <w:trPr>
          <w:trHeight w:val="300"/>
        </w:trPr>
        <w:tc>
          <w:tcPr>
            <w:tcW w:w="2680" w:type="dxa"/>
            <w:shd w:val="clear" w:color="auto" w:fill="auto"/>
            <w:noWrap/>
            <w:vAlign w:val="bottom"/>
            <w:hideMark/>
          </w:tcPr>
          <w:p w14:paraId="3790F663" w14:textId="77777777" w:rsidR="003F5146" w:rsidRPr="00C34757" w:rsidRDefault="003F5146" w:rsidP="00E33FEB">
            <w:pPr>
              <w:keepNext/>
              <w:spacing w:after="0" w:line="240" w:lineRule="auto"/>
              <w:rPr>
                <w:rFonts w:ascii="Times New Roman" w:eastAsia="Times New Roman" w:hAnsi="Times New Roman" w:cs="Times New Roman"/>
                <w:b/>
                <w:color w:val="000000"/>
              </w:rPr>
            </w:pPr>
            <w:r w:rsidRPr="00C34757">
              <w:rPr>
                <w:rFonts w:ascii="Times New Roman" w:eastAsia="Times New Roman" w:hAnsi="Times New Roman" w:cs="Times New Roman"/>
                <w:b/>
                <w:color w:val="000000"/>
              </w:rPr>
              <w:t>Enrolment in education at</w:t>
            </w:r>
          </w:p>
        </w:tc>
        <w:tc>
          <w:tcPr>
            <w:tcW w:w="1220" w:type="dxa"/>
            <w:shd w:val="clear" w:color="auto" w:fill="auto"/>
            <w:noWrap/>
            <w:vAlign w:val="bottom"/>
            <w:hideMark/>
          </w:tcPr>
          <w:p w14:paraId="4F48F6E0"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p>
        </w:tc>
        <w:tc>
          <w:tcPr>
            <w:tcW w:w="1840" w:type="dxa"/>
            <w:shd w:val="clear" w:color="auto" w:fill="auto"/>
            <w:noWrap/>
            <w:vAlign w:val="bottom"/>
            <w:hideMark/>
          </w:tcPr>
          <w:p w14:paraId="3D33D115"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p>
        </w:tc>
        <w:tc>
          <w:tcPr>
            <w:tcW w:w="1660" w:type="dxa"/>
            <w:shd w:val="clear" w:color="auto" w:fill="auto"/>
            <w:noWrap/>
            <w:vAlign w:val="bottom"/>
            <w:hideMark/>
          </w:tcPr>
          <w:p w14:paraId="07E8E714"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p>
        </w:tc>
      </w:tr>
      <w:tr w:rsidR="003F5146" w:rsidRPr="00C34757" w14:paraId="0E3594D9" w14:textId="77777777" w:rsidTr="001D6B56">
        <w:trPr>
          <w:trHeight w:val="300"/>
        </w:trPr>
        <w:tc>
          <w:tcPr>
            <w:tcW w:w="2680" w:type="dxa"/>
            <w:shd w:val="clear" w:color="auto" w:fill="auto"/>
            <w:noWrap/>
            <w:vAlign w:val="bottom"/>
            <w:hideMark/>
          </w:tcPr>
          <w:p w14:paraId="440506F7" w14:textId="77777777" w:rsidR="003F5146" w:rsidRPr="00C34757" w:rsidRDefault="003F5146" w:rsidP="00E33FEB">
            <w:pPr>
              <w:keepNext/>
              <w:spacing w:after="0" w:line="240" w:lineRule="auto"/>
              <w:rPr>
                <w:rFonts w:ascii="Times New Roman" w:eastAsia="Times New Roman" w:hAnsi="Times New Roman" w:cs="Times New Roman"/>
                <w:color w:val="000000"/>
              </w:rPr>
            </w:pPr>
            <w:r w:rsidRPr="00C34757">
              <w:rPr>
                <w:rFonts w:ascii="Times New Roman" w:eastAsia="Times New Roman" w:hAnsi="Times New Roman" w:cs="Times New Roman"/>
                <w:color w:val="000000"/>
              </w:rPr>
              <w:t>Primary level</w:t>
            </w:r>
          </w:p>
        </w:tc>
        <w:tc>
          <w:tcPr>
            <w:tcW w:w="1220" w:type="dxa"/>
            <w:shd w:val="clear" w:color="auto" w:fill="auto"/>
            <w:noWrap/>
            <w:vAlign w:val="bottom"/>
            <w:hideMark/>
          </w:tcPr>
          <w:p w14:paraId="0FE90B59"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120.43</w:t>
            </w:r>
          </w:p>
        </w:tc>
        <w:tc>
          <w:tcPr>
            <w:tcW w:w="1840" w:type="dxa"/>
            <w:shd w:val="clear" w:color="auto" w:fill="auto"/>
            <w:noWrap/>
            <w:vAlign w:val="bottom"/>
            <w:hideMark/>
          </w:tcPr>
          <w:p w14:paraId="7A651218"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101.79</w:t>
            </w:r>
          </w:p>
        </w:tc>
        <w:tc>
          <w:tcPr>
            <w:tcW w:w="1660" w:type="dxa"/>
            <w:shd w:val="clear" w:color="auto" w:fill="auto"/>
            <w:noWrap/>
            <w:vAlign w:val="bottom"/>
            <w:hideMark/>
          </w:tcPr>
          <w:p w14:paraId="12742ED6"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102.73</w:t>
            </w:r>
          </w:p>
        </w:tc>
      </w:tr>
      <w:tr w:rsidR="003F5146" w:rsidRPr="00C34757" w14:paraId="7C0989EC" w14:textId="77777777" w:rsidTr="001D6B56">
        <w:trPr>
          <w:trHeight w:val="300"/>
        </w:trPr>
        <w:tc>
          <w:tcPr>
            <w:tcW w:w="2680" w:type="dxa"/>
            <w:shd w:val="clear" w:color="auto" w:fill="auto"/>
            <w:noWrap/>
            <w:vAlign w:val="bottom"/>
            <w:hideMark/>
          </w:tcPr>
          <w:p w14:paraId="389BF8C9" w14:textId="77777777" w:rsidR="003F5146" w:rsidRPr="00C34757" w:rsidRDefault="003F5146" w:rsidP="00E33FEB">
            <w:pPr>
              <w:keepNext/>
              <w:spacing w:after="0" w:line="240" w:lineRule="auto"/>
              <w:rPr>
                <w:rFonts w:ascii="Times New Roman" w:eastAsia="Times New Roman" w:hAnsi="Times New Roman" w:cs="Times New Roman"/>
                <w:color w:val="000000"/>
              </w:rPr>
            </w:pPr>
            <w:r w:rsidRPr="00C34757">
              <w:rPr>
                <w:rFonts w:ascii="Times New Roman" w:eastAsia="Times New Roman" w:hAnsi="Times New Roman" w:cs="Times New Roman"/>
                <w:color w:val="000000"/>
              </w:rPr>
              <w:t>Secondary level</w:t>
            </w:r>
          </w:p>
        </w:tc>
        <w:tc>
          <w:tcPr>
            <w:tcW w:w="1220" w:type="dxa"/>
            <w:shd w:val="clear" w:color="auto" w:fill="auto"/>
            <w:noWrap/>
            <w:vAlign w:val="bottom"/>
            <w:hideMark/>
          </w:tcPr>
          <w:p w14:paraId="52A41A73"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63.52</w:t>
            </w:r>
          </w:p>
        </w:tc>
        <w:tc>
          <w:tcPr>
            <w:tcW w:w="1840" w:type="dxa"/>
            <w:shd w:val="clear" w:color="auto" w:fill="auto"/>
            <w:noWrap/>
            <w:vAlign w:val="bottom"/>
            <w:hideMark/>
          </w:tcPr>
          <w:p w14:paraId="7C978909"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77.57</w:t>
            </w:r>
          </w:p>
        </w:tc>
        <w:tc>
          <w:tcPr>
            <w:tcW w:w="1660" w:type="dxa"/>
            <w:shd w:val="clear" w:color="auto" w:fill="auto"/>
            <w:noWrap/>
            <w:vAlign w:val="bottom"/>
            <w:hideMark/>
          </w:tcPr>
          <w:p w14:paraId="5C71279D"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129.00</w:t>
            </w:r>
          </w:p>
        </w:tc>
      </w:tr>
      <w:tr w:rsidR="003F5146" w:rsidRPr="00C34757" w14:paraId="4CC827D0" w14:textId="77777777" w:rsidTr="001D6B56">
        <w:trPr>
          <w:trHeight w:val="300"/>
        </w:trPr>
        <w:tc>
          <w:tcPr>
            <w:tcW w:w="2680" w:type="dxa"/>
            <w:shd w:val="clear" w:color="auto" w:fill="auto"/>
            <w:noWrap/>
            <w:vAlign w:val="bottom"/>
            <w:hideMark/>
          </w:tcPr>
          <w:p w14:paraId="14FD256A" w14:textId="77777777" w:rsidR="003F5146" w:rsidRPr="00C34757" w:rsidRDefault="003F5146" w:rsidP="00E33FEB">
            <w:pPr>
              <w:keepNext/>
              <w:spacing w:after="0" w:line="240" w:lineRule="auto"/>
              <w:rPr>
                <w:rFonts w:ascii="Times New Roman" w:eastAsia="Times New Roman" w:hAnsi="Times New Roman" w:cs="Times New Roman"/>
              </w:rPr>
            </w:pPr>
            <w:r w:rsidRPr="00C34757">
              <w:rPr>
                <w:rFonts w:ascii="Times New Roman" w:eastAsia="Times New Roman" w:hAnsi="Times New Roman" w:cs="Times New Roman"/>
              </w:rPr>
              <w:t>Tertiary level</w:t>
            </w:r>
          </w:p>
        </w:tc>
        <w:tc>
          <w:tcPr>
            <w:tcW w:w="1220" w:type="dxa"/>
            <w:shd w:val="clear" w:color="auto" w:fill="auto"/>
            <w:noWrap/>
            <w:vAlign w:val="bottom"/>
            <w:hideMark/>
          </w:tcPr>
          <w:p w14:paraId="4E90FE97" w14:textId="77777777" w:rsidR="003F5146" w:rsidRPr="00C34757" w:rsidRDefault="003F5146" w:rsidP="00E33FEB">
            <w:pPr>
              <w:keepNext/>
              <w:spacing w:after="0" w:line="240" w:lineRule="auto"/>
              <w:jc w:val="center"/>
              <w:rPr>
                <w:rFonts w:ascii="Times New Roman" w:eastAsia="Times New Roman" w:hAnsi="Times New Roman" w:cs="Times New Roman"/>
              </w:rPr>
            </w:pPr>
            <w:r w:rsidRPr="00C34757">
              <w:rPr>
                <w:rFonts w:ascii="Times New Roman" w:eastAsia="Times New Roman" w:hAnsi="Times New Roman" w:cs="Times New Roman"/>
              </w:rPr>
              <w:t>13.44*</w:t>
            </w:r>
          </w:p>
        </w:tc>
        <w:tc>
          <w:tcPr>
            <w:tcW w:w="1840" w:type="dxa"/>
            <w:shd w:val="clear" w:color="auto" w:fill="auto"/>
            <w:noWrap/>
            <w:vAlign w:val="bottom"/>
            <w:hideMark/>
          </w:tcPr>
          <w:p w14:paraId="2B83D1B4" w14:textId="77777777" w:rsidR="003F5146" w:rsidRPr="00C34757" w:rsidRDefault="003F5146" w:rsidP="00E33FEB">
            <w:pPr>
              <w:keepNext/>
              <w:spacing w:after="0" w:line="240" w:lineRule="auto"/>
              <w:jc w:val="center"/>
              <w:rPr>
                <w:rFonts w:ascii="Times New Roman" w:eastAsia="Times New Roman" w:hAnsi="Times New Roman" w:cs="Times New Roman"/>
              </w:rPr>
            </w:pPr>
            <w:r w:rsidRPr="00C34757">
              <w:rPr>
                <w:rFonts w:ascii="Times New Roman" w:eastAsia="Times New Roman" w:hAnsi="Times New Roman" w:cs="Times New Roman"/>
              </w:rPr>
              <w:t>26.07</w:t>
            </w:r>
          </w:p>
        </w:tc>
        <w:tc>
          <w:tcPr>
            <w:tcW w:w="1660" w:type="dxa"/>
            <w:shd w:val="clear" w:color="auto" w:fill="auto"/>
            <w:noWrap/>
            <w:vAlign w:val="bottom"/>
            <w:hideMark/>
          </w:tcPr>
          <w:p w14:paraId="7B10C0FA" w14:textId="77777777" w:rsidR="003F5146" w:rsidRPr="00C34757" w:rsidRDefault="003F5146" w:rsidP="00E33FEB">
            <w:pPr>
              <w:keepNext/>
              <w:spacing w:after="0" w:line="240" w:lineRule="auto"/>
              <w:jc w:val="center"/>
              <w:rPr>
                <w:rFonts w:ascii="Times New Roman" w:eastAsia="Times New Roman" w:hAnsi="Times New Roman" w:cs="Times New Roman"/>
              </w:rPr>
            </w:pPr>
            <w:r w:rsidRPr="00C34757">
              <w:rPr>
                <w:rFonts w:ascii="Times New Roman" w:eastAsia="Times New Roman" w:hAnsi="Times New Roman" w:cs="Times New Roman"/>
              </w:rPr>
              <w:t>48.86</w:t>
            </w:r>
          </w:p>
        </w:tc>
      </w:tr>
      <w:tr w:rsidR="003F5146" w:rsidRPr="00C34757" w14:paraId="7E1C3F8C" w14:textId="77777777" w:rsidTr="001D6B56">
        <w:trPr>
          <w:trHeight w:val="300"/>
        </w:trPr>
        <w:tc>
          <w:tcPr>
            <w:tcW w:w="2680" w:type="dxa"/>
            <w:tcBorders>
              <w:bottom w:val="single" w:sz="4" w:space="0" w:color="auto"/>
            </w:tcBorders>
            <w:shd w:val="clear" w:color="auto" w:fill="auto"/>
            <w:noWrap/>
            <w:vAlign w:val="bottom"/>
            <w:hideMark/>
          </w:tcPr>
          <w:p w14:paraId="35AC2D1B" w14:textId="77777777" w:rsidR="003F5146" w:rsidRPr="00C34757" w:rsidRDefault="003F5146" w:rsidP="00E33FEB">
            <w:pPr>
              <w:keepNext/>
              <w:spacing w:after="0" w:line="240" w:lineRule="auto"/>
              <w:rPr>
                <w:rFonts w:ascii="Times New Roman" w:eastAsia="Times New Roman" w:hAnsi="Times New Roman" w:cs="Times New Roman"/>
                <w:color w:val="000000"/>
              </w:rPr>
            </w:pPr>
            <w:r w:rsidRPr="00C34757">
              <w:rPr>
                <w:rFonts w:ascii="Times New Roman" w:eastAsia="Times New Roman" w:hAnsi="Times New Roman" w:cs="Times New Roman"/>
                <w:color w:val="000000"/>
              </w:rPr>
              <w:t xml:space="preserve">Vocational education  as percentage  of secondary  </w:t>
            </w:r>
          </w:p>
        </w:tc>
        <w:tc>
          <w:tcPr>
            <w:tcW w:w="1220" w:type="dxa"/>
            <w:tcBorders>
              <w:bottom w:val="single" w:sz="4" w:space="0" w:color="auto"/>
            </w:tcBorders>
            <w:shd w:val="clear" w:color="auto" w:fill="auto"/>
            <w:noWrap/>
            <w:vAlign w:val="bottom"/>
            <w:hideMark/>
          </w:tcPr>
          <w:p w14:paraId="294B36C8"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4.13</w:t>
            </w:r>
          </w:p>
        </w:tc>
        <w:tc>
          <w:tcPr>
            <w:tcW w:w="1840" w:type="dxa"/>
            <w:tcBorders>
              <w:bottom w:val="single" w:sz="4" w:space="0" w:color="auto"/>
            </w:tcBorders>
            <w:shd w:val="clear" w:color="auto" w:fill="auto"/>
            <w:noWrap/>
            <w:vAlign w:val="bottom"/>
            <w:hideMark/>
          </w:tcPr>
          <w:p w14:paraId="4581658E"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11.16</w:t>
            </w:r>
          </w:p>
        </w:tc>
        <w:tc>
          <w:tcPr>
            <w:tcW w:w="1660" w:type="dxa"/>
            <w:tcBorders>
              <w:bottom w:val="single" w:sz="4" w:space="0" w:color="auto"/>
            </w:tcBorders>
            <w:shd w:val="clear" w:color="auto" w:fill="auto"/>
            <w:noWrap/>
            <w:vAlign w:val="bottom"/>
            <w:hideMark/>
          </w:tcPr>
          <w:p w14:paraId="1021DCB2" w14:textId="77777777" w:rsidR="003F5146" w:rsidRPr="00C34757" w:rsidRDefault="003F5146" w:rsidP="00E33FEB">
            <w:pPr>
              <w:keepNext/>
              <w:spacing w:after="0" w:line="240" w:lineRule="auto"/>
              <w:jc w:val="center"/>
              <w:rPr>
                <w:rFonts w:ascii="Times New Roman" w:eastAsia="Times New Roman" w:hAnsi="Times New Roman" w:cs="Times New Roman"/>
                <w:color w:val="000000"/>
              </w:rPr>
            </w:pPr>
            <w:r w:rsidRPr="00C34757">
              <w:rPr>
                <w:rFonts w:ascii="Times New Roman" w:eastAsia="Times New Roman" w:hAnsi="Times New Roman" w:cs="Times New Roman"/>
                <w:color w:val="000000"/>
              </w:rPr>
              <w:t>10.14</w:t>
            </w:r>
          </w:p>
        </w:tc>
      </w:tr>
    </w:tbl>
    <w:p w14:paraId="1CBEE87B" w14:textId="77777777" w:rsidR="003F5146" w:rsidRPr="00E33FEB" w:rsidRDefault="003F5146" w:rsidP="00E33FEB">
      <w:pPr>
        <w:keepNext/>
        <w:spacing w:after="0" w:line="276" w:lineRule="auto"/>
        <w:jc w:val="both"/>
        <w:rPr>
          <w:rFonts w:ascii="Times New Roman" w:hAnsi="Times New Roman" w:cs="Times New Roman"/>
          <w:sz w:val="20"/>
          <w:szCs w:val="20"/>
        </w:rPr>
      </w:pPr>
      <w:r w:rsidRPr="00E33FEB">
        <w:rPr>
          <w:rFonts w:ascii="Times New Roman" w:hAnsi="Times New Roman" w:cs="Times New Roman"/>
          <w:sz w:val="20"/>
          <w:szCs w:val="20"/>
        </w:rPr>
        <w:t>Source: World Development Indicators (2016)</w:t>
      </w:r>
    </w:p>
    <w:p w14:paraId="62E96B82" w14:textId="77777777" w:rsidR="003F5146" w:rsidRPr="00E33FEB" w:rsidRDefault="003F5146" w:rsidP="00E33FEB">
      <w:pPr>
        <w:keepNext/>
        <w:spacing w:after="0" w:line="276" w:lineRule="auto"/>
        <w:jc w:val="both"/>
        <w:rPr>
          <w:rFonts w:ascii="Times New Roman" w:hAnsi="Times New Roman" w:cs="Times New Roman"/>
          <w:sz w:val="20"/>
          <w:szCs w:val="20"/>
        </w:rPr>
      </w:pPr>
      <w:r w:rsidRPr="00E33FEB">
        <w:rPr>
          <w:rFonts w:ascii="Times New Roman" w:hAnsi="Times New Roman" w:cs="Times New Roman"/>
          <w:sz w:val="20"/>
          <w:szCs w:val="20"/>
        </w:rPr>
        <w:t xml:space="preserve">Notes: * 2014 data; ** indicates that these levels prevailing in Malaysia in 2015; </w:t>
      </w:r>
    </w:p>
    <w:p w14:paraId="75A23907" w14:textId="6CB117FC" w:rsidR="003F5146" w:rsidRPr="00E33FEB" w:rsidRDefault="003F5146" w:rsidP="00E33FEB">
      <w:pPr>
        <w:keepNext/>
        <w:spacing w:after="0" w:line="276" w:lineRule="auto"/>
        <w:jc w:val="both"/>
        <w:rPr>
          <w:rFonts w:ascii="Times New Roman" w:hAnsi="Times New Roman" w:cs="Times New Roman"/>
          <w:sz w:val="20"/>
          <w:szCs w:val="20"/>
        </w:rPr>
      </w:pPr>
      <w:r w:rsidRPr="00E33FEB">
        <w:rPr>
          <w:rFonts w:ascii="Times New Roman" w:hAnsi="Times New Roman" w:cs="Times New Roman"/>
          <w:sz w:val="20"/>
          <w:szCs w:val="20"/>
        </w:rPr>
        <w:t xml:space="preserve">*** indicates that these levels prevailing in Thailand in 2015.  </w:t>
      </w:r>
    </w:p>
    <w:p w14:paraId="79906419" w14:textId="77777777" w:rsidR="0072245D" w:rsidRDefault="0072245D" w:rsidP="0060772A">
      <w:pPr>
        <w:spacing w:after="0" w:line="360" w:lineRule="auto"/>
        <w:jc w:val="both"/>
        <w:rPr>
          <w:rFonts w:ascii="Times New Roman" w:hAnsi="Times New Roman" w:cs="Times New Roman"/>
          <w:color w:val="000000" w:themeColor="text1"/>
          <w:sz w:val="24"/>
          <w:szCs w:val="24"/>
        </w:rPr>
      </w:pPr>
    </w:p>
    <w:p w14:paraId="7F18CD3D" w14:textId="70801E56" w:rsidR="00D87528" w:rsidRDefault="00CD6910" w:rsidP="006760C4">
      <w:pPr>
        <w:pStyle w:val="ListParagraph"/>
        <w:spacing w:after="240" w:line="276" w:lineRule="auto"/>
        <w:ind w:left="0"/>
        <w:jc w:val="both"/>
        <w:rPr>
          <w:rFonts w:ascii="Times New Roman" w:hAnsi="Times New Roman" w:cs="Times New Roman"/>
          <w:sz w:val="24"/>
          <w:szCs w:val="24"/>
        </w:rPr>
      </w:pPr>
      <w:r w:rsidRPr="00A656B9">
        <w:rPr>
          <w:rFonts w:ascii="Times New Roman" w:hAnsi="Times New Roman" w:cs="Times New Roman"/>
          <w:sz w:val="24"/>
          <w:szCs w:val="24"/>
        </w:rPr>
        <w:t xml:space="preserve">Bangladesh has witnessed structural transformation in terms of sectoral shares of GDP implying structural changes in employment should follow. Thus equipping the </w:t>
      </w:r>
      <w:r w:rsidR="006E2C5E">
        <w:rPr>
          <w:rFonts w:ascii="Times New Roman" w:hAnsi="Times New Roman" w:cs="Times New Roman"/>
          <w:sz w:val="24"/>
          <w:szCs w:val="24"/>
        </w:rPr>
        <w:t>labour</w:t>
      </w:r>
      <w:r w:rsidRPr="00A656B9">
        <w:rPr>
          <w:rFonts w:ascii="Times New Roman" w:hAnsi="Times New Roman" w:cs="Times New Roman"/>
          <w:sz w:val="24"/>
          <w:szCs w:val="24"/>
        </w:rPr>
        <w:t xml:space="preserve"> force with the kind of education and skills commensurate with structural transformation in the economy will be crucial for achieving further advancement of the economy</w:t>
      </w:r>
      <w:r w:rsidR="001B30A7">
        <w:rPr>
          <w:rFonts w:ascii="Times New Roman" w:hAnsi="Times New Roman" w:cs="Times New Roman"/>
          <w:sz w:val="24"/>
          <w:szCs w:val="24"/>
        </w:rPr>
        <w:t>.</w:t>
      </w:r>
      <w:r w:rsidRPr="00A656B9">
        <w:rPr>
          <w:rFonts w:ascii="Times New Roman" w:hAnsi="Times New Roman" w:cs="Times New Roman"/>
          <w:sz w:val="24"/>
          <w:szCs w:val="24"/>
        </w:rPr>
        <w:t xml:space="preserve"> </w:t>
      </w:r>
      <w:r w:rsidR="00980D15">
        <w:rPr>
          <w:rFonts w:ascii="Times New Roman" w:hAnsi="Times New Roman" w:cs="Times New Roman"/>
          <w:sz w:val="24"/>
          <w:szCs w:val="24"/>
        </w:rPr>
        <w:t xml:space="preserve">The transformation that the </w:t>
      </w:r>
      <w:r w:rsidR="00980D15" w:rsidRPr="00DE0F98">
        <w:rPr>
          <w:rFonts w:ascii="Times New Roman" w:hAnsi="Times New Roman" w:cs="Times New Roman"/>
          <w:sz w:val="24"/>
          <w:szCs w:val="24"/>
        </w:rPr>
        <w:t>now</w:t>
      </w:r>
      <w:r w:rsidR="00DE0F98" w:rsidRPr="00DE0F98">
        <w:rPr>
          <w:rFonts w:ascii="Times New Roman" w:hAnsi="Times New Roman" w:cs="Times New Roman"/>
          <w:sz w:val="24"/>
          <w:szCs w:val="24"/>
        </w:rPr>
        <w:t>-</w:t>
      </w:r>
      <w:r w:rsidR="00980D15" w:rsidRPr="00DE0F98">
        <w:rPr>
          <w:rFonts w:ascii="Times New Roman" w:hAnsi="Times New Roman" w:cs="Times New Roman"/>
          <w:sz w:val="24"/>
          <w:szCs w:val="24"/>
        </w:rPr>
        <w:t xml:space="preserve"> industrialized countries experienced has been accompanied by a shift to more </w:t>
      </w:r>
      <w:r w:rsidR="001B30A7">
        <w:rPr>
          <w:rFonts w:ascii="Times New Roman" w:hAnsi="Times New Roman" w:cs="Times New Roman"/>
          <w:sz w:val="24"/>
          <w:szCs w:val="24"/>
        </w:rPr>
        <w:t>s</w:t>
      </w:r>
      <w:r w:rsidR="00980D15" w:rsidRPr="00DE0F98">
        <w:rPr>
          <w:rFonts w:ascii="Times New Roman" w:hAnsi="Times New Roman" w:cs="Times New Roman"/>
          <w:sz w:val="24"/>
          <w:szCs w:val="24"/>
        </w:rPr>
        <w:t xml:space="preserve">kill intensive jobs. </w:t>
      </w:r>
      <w:r w:rsidR="00DE0F98" w:rsidRPr="00DE0F98">
        <w:rPr>
          <w:rFonts w:ascii="Times New Roman" w:hAnsi="Times New Roman" w:cs="Times New Roman"/>
          <w:sz w:val="24"/>
          <w:szCs w:val="24"/>
        </w:rPr>
        <w:t xml:space="preserve">Countries which were at the same level of development </w:t>
      </w:r>
      <w:r w:rsidR="001B30A7">
        <w:rPr>
          <w:rFonts w:ascii="Times New Roman" w:hAnsi="Times New Roman" w:cs="Times New Roman"/>
          <w:sz w:val="24"/>
          <w:szCs w:val="24"/>
        </w:rPr>
        <w:t xml:space="preserve">had </w:t>
      </w:r>
      <w:r w:rsidR="00DE0F98" w:rsidRPr="00DE0F98">
        <w:rPr>
          <w:rFonts w:ascii="Times New Roman" w:hAnsi="Times New Roman" w:cs="Times New Roman"/>
          <w:sz w:val="24"/>
          <w:szCs w:val="24"/>
        </w:rPr>
        <w:t xml:space="preserve">also undergone shift in </w:t>
      </w:r>
      <w:r w:rsidR="006E2C5E">
        <w:rPr>
          <w:rFonts w:ascii="Times New Roman" w:hAnsi="Times New Roman" w:cs="Times New Roman"/>
          <w:sz w:val="24"/>
          <w:szCs w:val="24"/>
        </w:rPr>
        <w:t>labour</w:t>
      </w:r>
      <w:r w:rsidR="00DE0F98" w:rsidRPr="00DE0F98">
        <w:rPr>
          <w:rFonts w:ascii="Times New Roman" w:hAnsi="Times New Roman" w:cs="Times New Roman"/>
          <w:sz w:val="24"/>
          <w:szCs w:val="24"/>
        </w:rPr>
        <w:t xml:space="preserve"> force from manual jobs to skill intensive non-manual jobs and from traditional type to modern jobs that would require basic to improved skills in order to perform non-routine tasks than routine tasks, whereby workers will be doing day to day problem solving tasks than routine tasks.</w:t>
      </w:r>
      <w:r w:rsidR="00DE0F98">
        <w:rPr>
          <w:rFonts w:ascii="Times New Roman" w:hAnsi="Times New Roman" w:cs="Times New Roman"/>
          <w:sz w:val="24"/>
          <w:szCs w:val="24"/>
        </w:rPr>
        <w:t xml:space="preserve"> </w:t>
      </w:r>
      <w:r w:rsidR="00980D15" w:rsidRPr="00DE0F98">
        <w:rPr>
          <w:rFonts w:ascii="Times New Roman" w:hAnsi="Times New Roman" w:cs="Times New Roman"/>
          <w:sz w:val="24"/>
          <w:szCs w:val="24"/>
        </w:rPr>
        <w:t>For example, Korea, Malaysia and Thailand saw the share of white collar workers rising over time;</w:t>
      </w:r>
      <w:r w:rsidR="00980D15">
        <w:rPr>
          <w:rFonts w:ascii="Times New Roman" w:hAnsi="Times New Roman" w:cs="Times New Roman"/>
          <w:sz w:val="24"/>
          <w:szCs w:val="24"/>
        </w:rPr>
        <w:t xml:space="preserve"> the fraction of professional and technical workers in the </w:t>
      </w:r>
      <w:r w:rsidR="006E2C5E">
        <w:rPr>
          <w:rFonts w:ascii="Times New Roman" w:hAnsi="Times New Roman" w:cs="Times New Roman"/>
          <w:sz w:val="24"/>
          <w:szCs w:val="24"/>
        </w:rPr>
        <w:t>labour</w:t>
      </w:r>
      <w:r w:rsidR="00980D15">
        <w:rPr>
          <w:rFonts w:ascii="Times New Roman" w:hAnsi="Times New Roman" w:cs="Times New Roman"/>
          <w:sz w:val="24"/>
          <w:szCs w:val="24"/>
        </w:rPr>
        <w:t xml:space="preserve"> force has been on the rise during </w:t>
      </w:r>
      <w:r w:rsidR="00980D15">
        <w:rPr>
          <w:rFonts w:ascii="Times New Roman" w:hAnsi="Times New Roman" w:cs="Times New Roman"/>
          <w:sz w:val="24"/>
          <w:szCs w:val="24"/>
        </w:rPr>
        <w:lastRenderedPageBreak/>
        <w:t xml:space="preserve">the period 1971-2008 in these </w:t>
      </w:r>
      <w:r w:rsidR="000C329C">
        <w:rPr>
          <w:rFonts w:ascii="Times New Roman" w:hAnsi="Times New Roman" w:cs="Times New Roman"/>
          <w:sz w:val="24"/>
          <w:szCs w:val="24"/>
        </w:rPr>
        <w:t>countries (</w:t>
      </w:r>
      <w:r w:rsidR="001B30A7">
        <w:rPr>
          <w:rFonts w:ascii="Times New Roman" w:hAnsi="Times New Roman" w:cs="Times New Roman"/>
          <w:sz w:val="24"/>
          <w:szCs w:val="24"/>
        </w:rPr>
        <w:t>VDR 2014)</w:t>
      </w:r>
      <w:r w:rsidR="00980D15">
        <w:rPr>
          <w:rFonts w:ascii="Times New Roman" w:hAnsi="Times New Roman" w:cs="Times New Roman"/>
          <w:sz w:val="24"/>
          <w:szCs w:val="24"/>
        </w:rPr>
        <w:t>. These occupations include mechanical, civil and other engineers, chemists, doctors, technicians in IT and science and accountants. Similar increases were also seen in the fraction of clerical workers such as receptionists and librarians. In the manufacturing sector of these countries major dominance are of white and blue collar workers in the East Asian countries. The skill-biased occupational transition that has taken place in south-east Asian and East Asian advanced countries suggest the demand for analytical and interpersonal skills has been growing with demand for manual skills declining. It is observed that analytical and interpersonal skills are highly valued.</w:t>
      </w:r>
      <w:r w:rsidR="00D87528">
        <w:rPr>
          <w:rFonts w:ascii="Times New Roman" w:hAnsi="Times New Roman" w:cs="Times New Roman"/>
          <w:sz w:val="24"/>
          <w:szCs w:val="24"/>
        </w:rPr>
        <w:t xml:space="preserve"> </w:t>
      </w:r>
      <w:r w:rsidR="00980D15" w:rsidRPr="00984FB8">
        <w:rPr>
          <w:rFonts w:ascii="Times New Roman" w:hAnsi="Times New Roman" w:cs="Times New Roman"/>
          <w:sz w:val="24"/>
          <w:szCs w:val="24"/>
        </w:rPr>
        <w:t xml:space="preserve">Jobs that are likely to grow in the future in the technical and professional occupations will require workers to have more advanced skills. Jobs in agriculture sector or technical occupations require more routine and manual work for which basic education and skill may </w:t>
      </w:r>
      <w:r w:rsidR="00980D15">
        <w:rPr>
          <w:rFonts w:ascii="Times New Roman" w:hAnsi="Times New Roman" w:cs="Times New Roman"/>
          <w:sz w:val="24"/>
          <w:szCs w:val="24"/>
        </w:rPr>
        <w:t xml:space="preserve">be sufficient. </w:t>
      </w:r>
      <w:r w:rsidR="00980D15" w:rsidRPr="00984FB8">
        <w:rPr>
          <w:rFonts w:ascii="Times New Roman" w:hAnsi="Times New Roman" w:cs="Times New Roman"/>
          <w:sz w:val="24"/>
          <w:szCs w:val="24"/>
        </w:rPr>
        <w:t xml:space="preserve">But the jobs in the future will involve performing complex problem solving tasks requiring workers to possess problem solving and analytical skills. Furthermore, there will be need for strong </w:t>
      </w:r>
      <w:r w:rsidR="00980D15">
        <w:rPr>
          <w:rFonts w:ascii="Times New Roman" w:hAnsi="Times New Roman" w:cs="Times New Roman"/>
          <w:sz w:val="24"/>
          <w:szCs w:val="24"/>
        </w:rPr>
        <w:t xml:space="preserve">interpersonal </w:t>
      </w:r>
      <w:r w:rsidR="00980D15" w:rsidRPr="00984FB8">
        <w:rPr>
          <w:rFonts w:ascii="Times New Roman" w:hAnsi="Times New Roman" w:cs="Times New Roman"/>
          <w:sz w:val="24"/>
          <w:szCs w:val="24"/>
        </w:rPr>
        <w:t xml:space="preserve">and </w:t>
      </w:r>
      <w:r w:rsidR="001B30A7" w:rsidRPr="00984FB8">
        <w:rPr>
          <w:rFonts w:ascii="Times New Roman" w:hAnsi="Times New Roman" w:cs="Times New Roman"/>
          <w:sz w:val="24"/>
          <w:szCs w:val="24"/>
        </w:rPr>
        <w:t>behavioral</w:t>
      </w:r>
      <w:r w:rsidR="00980D15" w:rsidRPr="00984FB8">
        <w:rPr>
          <w:rFonts w:ascii="Times New Roman" w:hAnsi="Times New Roman" w:cs="Times New Roman"/>
          <w:sz w:val="24"/>
          <w:szCs w:val="24"/>
        </w:rPr>
        <w:t xml:space="preserve"> skills as the workers will be in need of working in team and in supervising role.  </w:t>
      </w:r>
    </w:p>
    <w:p w14:paraId="1E6883D8" w14:textId="747AF5DC" w:rsidR="00980D15" w:rsidRPr="00984FB8" w:rsidRDefault="00980D15" w:rsidP="001B30A7">
      <w:pPr>
        <w:pStyle w:val="ListParagraph"/>
        <w:spacing w:after="240" w:line="276" w:lineRule="auto"/>
        <w:ind w:left="0" w:firstLine="720"/>
        <w:jc w:val="both"/>
        <w:rPr>
          <w:rFonts w:ascii="Times New Roman" w:hAnsi="Times New Roman" w:cs="Times New Roman"/>
          <w:sz w:val="24"/>
          <w:szCs w:val="24"/>
        </w:rPr>
      </w:pPr>
      <w:r w:rsidRPr="00984FB8">
        <w:rPr>
          <w:rFonts w:ascii="Times New Roman" w:hAnsi="Times New Roman" w:cs="Times New Roman"/>
          <w:sz w:val="24"/>
          <w:szCs w:val="24"/>
        </w:rPr>
        <w:t>The important challenges th</w:t>
      </w:r>
      <w:r w:rsidR="007A106A">
        <w:rPr>
          <w:rFonts w:ascii="Times New Roman" w:hAnsi="Times New Roman" w:cs="Times New Roman"/>
          <w:sz w:val="24"/>
          <w:szCs w:val="24"/>
        </w:rPr>
        <w:t>e</w:t>
      </w:r>
      <w:r w:rsidRPr="00984FB8">
        <w:rPr>
          <w:rFonts w:ascii="Times New Roman" w:hAnsi="Times New Roman" w:cs="Times New Roman"/>
          <w:sz w:val="24"/>
          <w:szCs w:val="24"/>
        </w:rPr>
        <w:t>n is to what extent the education system could equip the workforce with such skills t</w:t>
      </w:r>
      <w:r>
        <w:rPr>
          <w:rFonts w:ascii="Times New Roman" w:hAnsi="Times New Roman" w:cs="Times New Roman"/>
          <w:sz w:val="24"/>
          <w:szCs w:val="24"/>
        </w:rPr>
        <w:t xml:space="preserve">hose will be in high demand or </w:t>
      </w:r>
      <w:r w:rsidRPr="00984FB8">
        <w:rPr>
          <w:rFonts w:ascii="Times New Roman" w:hAnsi="Times New Roman" w:cs="Times New Roman"/>
          <w:sz w:val="24"/>
          <w:szCs w:val="24"/>
        </w:rPr>
        <w:t>highly valued in the long</w:t>
      </w:r>
      <w:r>
        <w:rPr>
          <w:rFonts w:ascii="Times New Roman" w:hAnsi="Times New Roman" w:cs="Times New Roman"/>
          <w:sz w:val="24"/>
          <w:szCs w:val="24"/>
        </w:rPr>
        <w:t xml:space="preserve">er term. </w:t>
      </w:r>
      <w:r w:rsidRPr="00984FB8">
        <w:rPr>
          <w:rFonts w:ascii="Times New Roman" w:hAnsi="Times New Roman" w:cs="Times New Roman"/>
          <w:sz w:val="24"/>
          <w:szCs w:val="24"/>
        </w:rPr>
        <w:t xml:space="preserve">The skill development strategy </w:t>
      </w:r>
      <w:r>
        <w:rPr>
          <w:rFonts w:ascii="Times New Roman" w:hAnsi="Times New Roman" w:cs="Times New Roman"/>
          <w:sz w:val="24"/>
          <w:szCs w:val="24"/>
        </w:rPr>
        <w:t xml:space="preserve">commensurate with the economy’s structural transformation </w:t>
      </w:r>
      <w:r w:rsidRPr="00984FB8">
        <w:rPr>
          <w:rFonts w:ascii="Times New Roman" w:hAnsi="Times New Roman" w:cs="Times New Roman"/>
          <w:sz w:val="24"/>
          <w:szCs w:val="24"/>
        </w:rPr>
        <w:t xml:space="preserve">should </w:t>
      </w:r>
      <w:r>
        <w:rPr>
          <w:rFonts w:ascii="Times New Roman" w:hAnsi="Times New Roman" w:cs="Times New Roman"/>
          <w:sz w:val="24"/>
          <w:szCs w:val="24"/>
        </w:rPr>
        <w:t xml:space="preserve">then </w:t>
      </w:r>
      <w:r w:rsidRPr="00984FB8">
        <w:rPr>
          <w:rFonts w:ascii="Times New Roman" w:hAnsi="Times New Roman" w:cs="Times New Roman"/>
          <w:sz w:val="24"/>
          <w:szCs w:val="24"/>
        </w:rPr>
        <w:t xml:space="preserve">be holistic and should be focused from early years through early child hood development to job-related skills development with a connected education system. The formation of cognitive skills starts from the early years of life that continues through adolescence. </w:t>
      </w:r>
      <w:r w:rsidR="001B30A7" w:rsidRPr="00984FB8">
        <w:rPr>
          <w:rFonts w:ascii="Times New Roman" w:hAnsi="Times New Roman" w:cs="Times New Roman"/>
          <w:sz w:val="24"/>
          <w:szCs w:val="24"/>
        </w:rPr>
        <w:t>Behavioral</w:t>
      </w:r>
      <w:r w:rsidRPr="00984FB8">
        <w:rPr>
          <w:rFonts w:ascii="Times New Roman" w:hAnsi="Times New Roman" w:cs="Times New Roman"/>
          <w:sz w:val="24"/>
          <w:szCs w:val="24"/>
        </w:rPr>
        <w:t xml:space="preserve"> skills are formed in childhood first and then continue to evolve through adult life. Importantly, the cognitive and </w:t>
      </w:r>
      <w:r w:rsidR="001B30A7" w:rsidRPr="00984FB8">
        <w:rPr>
          <w:rFonts w:ascii="Times New Roman" w:hAnsi="Times New Roman" w:cs="Times New Roman"/>
          <w:sz w:val="24"/>
          <w:szCs w:val="24"/>
        </w:rPr>
        <w:t>behavioral</w:t>
      </w:r>
      <w:r w:rsidRPr="00984FB8">
        <w:rPr>
          <w:rFonts w:ascii="Times New Roman" w:hAnsi="Times New Roman" w:cs="Times New Roman"/>
          <w:sz w:val="24"/>
          <w:szCs w:val="24"/>
        </w:rPr>
        <w:t xml:space="preserve"> skills help workers to update their technical skills continuously. With the advancement in production technology and use </w:t>
      </w:r>
      <w:r w:rsidRPr="00984FB8">
        <w:rPr>
          <w:rFonts w:ascii="Times New Roman" w:hAnsi="Times New Roman" w:cs="Times New Roman"/>
          <w:i/>
          <w:sz w:val="24"/>
          <w:szCs w:val="24"/>
        </w:rPr>
        <w:t>vis a vis</w:t>
      </w:r>
      <w:r w:rsidRPr="00984FB8">
        <w:rPr>
          <w:rFonts w:ascii="Times New Roman" w:hAnsi="Times New Roman" w:cs="Times New Roman"/>
          <w:sz w:val="24"/>
          <w:szCs w:val="24"/>
        </w:rPr>
        <w:t xml:space="preserve"> modernization of the economy workers will need to catch up with their skills. The implication on education and skill development system of the country is very important in making that connection between what is demanded and supplied in terms of human resources for the economy.</w:t>
      </w:r>
    </w:p>
    <w:p w14:paraId="27777F99" w14:textId="77777777" w:rsidR="00CD6910" w:rsidRPr="0060772A" w:rsidRDefault="00CD6910" w:rsidP="0060772A">
      <w:pPr>
        <w:spacing w:after="0" w:line="360" w:lineRule="auto"/>
        <w:jc w:val="both"/>
        <w:rPr>
          <w:rFonts w:ascii="Times New Roman" w:hAnsi="Times New Roman" w:cs="Times New Roman"/>
          <w:color w:val="000000" w:themeColor="text1"/>
          <w:sz w:val="24"/>
          <w:szCs w:val="24"/>
        </w:rPr>
      </w:pPr>
    </w:p>
    <w:p w14:paraId="71287B52" w14:textId="3A5E32AC" w:rsidR="00890BB7" w:rsidRPr="00F321E0" w:rsidRDefault="00890BB7" w:rsidP="00F321E0">
      <w:pPr>
        <w:pStyle w:val="ListParagraph"/>
        <w:numPr>
          <w:ilvl w:val="0"/>
          <w:numId w:val="8"/>
        </w:numPr>
        <w:spacing w:after="240" w:line="276" w:lineRule="auto"/>
        <w:jc w:val="both"/>
        <w:rPr>
          <w:rFonts w:ascii="Times New Roman" w:hAnsi="Times New Roman" w:cs="Times New Roman"/>
          <w:b/>
          <w:color w:val="000000" w:themeColor="text1"/>
          <w:sz w:val="24"/>
          <w:szCs w:val="24"/>
        </w:rPr>
      </w:pPr>
      <w:r w:rsidRPr="00F321E0">
        <w:rPr>
          <w:rFonts w:ascii="Times New Roman" w:hAnsi="Times New Roman" w:cs="Times New Roman"/>
          <w:b/>
          <w:color w:val="000000" w:themeColor="text1"/>
          <w:sz w:val="24"/>
          <w:szCs w:val="24"/>
        </w:rPr>
        <w:t>Education and Skill Development</w:t>
      </w:r>
      <w:r w:rsidR="00E7089F" w:rsidRPr="00F321E0">
        <w:rPr>
          <w:rFonts w:ascii="Times New Roman" w:hAnsi="Times New Roman" w:cs="Times New Roman"/>
          <w:b/>
          <w:color w:val="000000" w:themeColor="text1"/>
          <w:sz w:val="24"/>
          <w:szCs w:val="24"/>
        </w:rPr>
        <w:t xml:space="preserve">: International evidence </w:t>
      </w:r>
    </w:p>
    <w:p w14:paraId="3E2179C9" w14:textId="7193CB6D" w:rsidR="002400FC" w:rsidRPr="00F321E0" w:rsidRDefault="00192354" w:rsidP="002625F4">
      <w:pPr>
        <w:spacing w:after="240" w:line="276" w:lineRule="auto"/>
        <w:ind w:firstLine="720"/>
        <w:jc w:val="both"/>
        <w:rPr>
          <w:rFonts w:ascii="Times New Roman" w:hAnsi="Times New Roman" w:cs="Times New Roman"/>
          <w:sz w:val="24"/>
          <w:szCs w:val="24"/>
        </w:rPr>
      </w:pPr>
      <w:r w:rsidRPr="00F321E0">
        <w:rPr>
          <w:rFonts w:ascii="Times New Roman" w:hAnsi="Times New Roman" w:cs="Times New Roman"/>
          <w:color w:val="000000" w:themeColor="text1"/>
          <w:sz w:val="24"/>
          <w:szCs w:val="24"/>
        </w:rPr>
        <w:t xml:space="preserve">Here we discuss some international experience to understand the importance of government policies </w:t>
      </w:r>
      <w:r w:rsidR="004D46C4">
        <w:rPr>
          <w:rFonts w:ascii="Times New Roman" w:hAnsi="Times New Roman" w:cs="Times New Roman"/>
          <w:color w:val="000000" w:themeColor="text1"/>
          <w:sz w:val="24"/>
          <w:szCs w:val="24"/>
        </w:rPr>
        <w:t xml:space="preserve">towards educational reforms and skill development responding to the pattern of structural </w:t>
      </w:r>
      <w:r w:rsidR="000F3F6F" w:rsidRPr="00F321E0">
        <w:rPr>
          <w:rFonts w:ascii="Times New Roman" w:hAnsi="Times New Roman" w:cs="Times New Roman"/>
          <w:color w:val="000000" w:themeColor="text1"/>
          <w:sz w:val="24"/>
          <w:szCs w:val="24"/>
        </w:rPr>
        <w:t xml:space="preserve">transformation of the economy. </w:t>
      </w:r>
      <w:r w:rsidR="002400FC" w:rsidRPr="00F321E0">
        <w:rPr>
          <w:rFonts w:ascii="Times New Roman" w:hAnsi="Times New Roman" w:cs="Times New Roman"/>
          <w:sz w:val="24"/>
          <w:szCs w:val="24"/>
        </w:rPr>
        <w:t xml:space="preserve">The Asian experience is noteworthy in this context. </w:t>
      </w:r>
      <w:r w:rsidR="004D46C4">
        <w:rPr>
          <w:rFonts w:ascii="Times New Roman" w:hAnsi="Times New Roman" w:cs="Times New Roman"/>
          <w:sz w:val="24"/>
          <w:szCs w:val="24"/>
        </w:rPr>
        <w:t>For example, some countries in Asia</w:t>
      </w:r>
      <w:r w:rsidR="002400FC" w:rsidRPr="00F321E0">
        <w:rPr>
          <w:rFonts w:ascii="Times New Roman" w:hAnsi="Times New Roman" w:cs="Times New Roman"/>
          <w:sz w:val="24"/>
          <w:szCs w:val="24"/>
        </w:rPr>
        <w:t xml:space="preserve"> grew substantially faster than Bangladesh over the last forty years or so to achieve the status of middle income (China and Malaysia) and high income (Korea) countries. One important common feature regarding the transformation of these three countries is that of higher investment in human capital, additional to their emphasis on capital accumulation; all of them focused on human capital investment in terms of generally large spending on education and emphasis on skill development and with expanding economy greater emphasis on tertiary and advanced education</w:t>
      </w:r>
      <w:r w:rsidR="00E11E15">
        <w:rPr>
          <w:rFonts w:ascii="Times New Roman" w:hAnsi="Times New Roman" w:cs="Times New Roman"/>
          <w:sz w:val="24"/>
          <w:szCs w:val="24"/>
        </w:rPr>
        <w:t xml:space="preserve"> (Islam 2015)</w:t>
      </w:r>
      <w:r w:rsidR="002400FC" w:rsidRPr="00F321E0">
        <w:rPr>
          <w:rFonts w:ascii="Times New Roman" w:hAnsi="Times New Roman" w:cs="Times New Roman"/>
          <w:sz w:val="24"/>
          <w:szCs w:val="24"/>
        </w:rPr>
        <w:t>. Banglade</w:t>
      </w:r>
      <w:r w:rsidR="00094A88">
        <w:rPr>
          <w:rFonts w:ascii="Times New Roman" w:hAnsi="Times New Roman" w:cs="Times New Roman"/>
          <w:sz w:val="24"/>
          <w:szCs w:val="24"/>
        </w:rPr>
        <w:t>sh will</w:t>
      </w:r>
      <w:r w:rsidR="000C329C">
        <w:rPr>
          <w:rFonts w:ascii="Times New Roman" w:hAnsi="Times New Roman" w:cs="Times New Roman"/>
          <w:sz w:val="24"/>
          <w:szCs w:val="24"/>
        </w:rPr>
        <w:t xml:space="preserve"> </w:t>
      </w:r>
      <w:r w:rsidR="00094A88">
        <w:rPr>
          <w:rFonts w:ascii="Times New Roman" w:hAnsi="Times New Roman" w:cs="Times New Roman"/>
          <w:sz w:val="24"/>
          <w:szCs w:val="24"/>
        </w:rPr>
        <w:t xml:space="preserve">need prioritise </w:t>
      </w:r>
      <w:r w:rsidR="002400FC" w:rsidRPr="00F321E0">
        <w:rPr>
          <w:rFonts w:ascii="Times New Roman" w:hAnsi="Times New Roman" w:cs="Times New Roman"/>
          <w:sz w:val="24"/>
          <w:szCs w:val="24"/>
        </w:rPr>
        <w:t>skill training in line with the strategies followed by these countries.</w:t>
      </w:r>
      <w:r w:rsidR="000C329C">
        <w:rPr>
          <w:rFonts w:ascii="Times New Roman" w:hAnsi="Times New Roman" w:cs="Times New Roman"/>
          <w:sz w:val="24"/>
          <w:szCs w:val="24"/>
        </w:rPr>
        <w:t xml:space="preserve"> </w:t>
      </w:r>
    </w:p>
    <w:p w14:paraId="6B3F7EC4" w14:textId="22A8424C" w:rsidR="001D4AC5" w:rsidRDefault="001D4AC5" w:rsidP="00C25381">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The experience Korea is pertinent as its human resource development strategies are in line with its industrialization and economic devel</w:t>
      </w:r>
      <w:r w:rsidR="004D46C4">
        <w:rPr>
          <w:rFonts w:ascii="Times New Roman" w:hAnsi="Times New Roman" w:cs="Times New Roman"/>
          <w:sz w:val="24"/>
          <w:szCs w:val="24"/>
        </w:rPr>
        <w:t>opment policies.</w:t>
      </w:r>
      <w:r>
        <w:rPr>
          <w:rStyle w:val="FootnoteReference"/>
          <w:rFonts w:ascii="Times New Roman" w:hAnsi="Times New Roman" w:cs="Times New Roman"/>
          <w:sz w:val="24"/>
          <w:szCs w:val="24"/>
        </w:rPr>
        <w:footnoteReference w:id="4"/>
      </w:r>
      <w:r w:rsidR="004D46C4">
        <w:rPr>
          <w:rFonts w:ascii="Times New Roman" w:hAnsi="Times New Roman" w:cs="Times New Roman"/>
          <w:sz w:val="24"/>
          <w:szCs w:val="24"/>
        </w:rPr>
        <w:t xml:space="preserve"> </w:t>
      </w:r>
      <w:r>
        <w:rPr>
          <w:rFonts w:ascii="Times New Roman" w:hAnsi="Times New Roman" w:cs="Times New Roman"/>
          <w:sz w:val="24"/>
          <w:szCs w:val="24"/>
        </w:rPr>
        <w:t>Korean education and skill development reform has progressed with various stages of development, historically, which has placed it highly in OECD program for international student achievement (PISA) and high enrolment rates at all level o</w:t>
      </w:r>
      <w:r w:rsidR="004D46C4">
        <w:rPr>
          <w:rFonts w:ascii="Times New Roman" w:hAnsi="Times New Roman" w:cs="Times New Roman"/>
          <w:sz w:val="24"/>
          <w:szCs w:val="24"/>
        </w:rPr>
        <w:t>f educatio</w:t>
      </w:r>
      <w:r w:rsidR="00E11E15">
        <w:rPr>
          <w:rFonts w:ascii="Times New Roman" w:hAnsi="Times New Roman" w:cs="Times New Roman"/>
          <w:sz w:val="24"/>
          <w:szCs w:val="24"/>
        </w:rPr>
        <w:t>n</w:t>
      </w:r>
      <w:r>
        <w:rPr>
          <w:rFonts w:ascii="Times New Roman" w:hAnsi="Times New Roman" w:cs="Times New Roman"/>
          <w:sz w:val="24"/>
          <w:szCs w:val="24"/>
        </w:rPr>
        <w:t xml:space="preserve">. In the early years of </w:t>
      </w:r>
      <w:r w:rsidR="004D46C4">
        <w:rPr>
          <w:rFonts w:ascii="Times New Roman" w:hAnsi="Times New Roman" w:cs="Times New Roman"/>
          <w:sz w:val="24"/>
          <w:szCs w:val="24"/>
        </w:rPr>
        <w:t>re-building and industrialization efforts (1945-1960), Korea</w:t>
      </w:r>
      <w:r>
        <w:rPr>
          <w:rFonts w:ascii="Times New Roman" w:hAnsi="Times New Roman" w:cs="Times New Roman"/>
          <w:sz w:val="24"/>
          <w:szCs w:val="24"/>
        </w:rPr>
        <w:t xml:space="preserve"> focused on enforcing universal primary education </w:t>
      </w:r>
      <w:r w:rsidR="00E11E15">
        <w:rPr>
          <w:rFonts w:ascii="Times New Roman" w:hAnsi="Times New Roman" w:cs="Times New Roman"/>
          <w:sz w:val="24"/>
          <w:szCs w:val="24"/>
        </w:rPr>
        <w:t>and</w:t>
      </w:r>
      <w:r>
        <w:rPr>
          <w:rFonts w:ascii="Times New Roman" w:hAnsi="Times New Roman" w:cs="Times New Roman"/>
          <w:sz w:val="24"/>
          <w:szCs w:val="24"/>
        </w:rPr>
        <w:t xml:space="preserve"> reconstruction of educational infrastructure. It may be noted that more than half of the population aged 13 and above were illiterate during the proclamation of the Republic of Korea in 1948. Korea established six years of elementary education, three years of middle school, three years of high school and four years of higher education, popularly known as 6-3-3-4 school system, which introduces multiple pathways to tertiary education. During this period, importantly, primary school teachers qualification requirement were revised requiring four years teachers’ college graduates in place of upper secondary school diploma. This means the major policy concern in this period was access to education with the goal of compulsory primary education. During the next decades (1961-1980), when Korea was experiencing strong economic growth with structural transformation with a shift of employment from agriculture to capital-intensive industrialization, the focus remained ‘education for economic growth.’ The major policy goal became universal secondary education with greater emphasis on supplying technical manpower through enhancing technical and vocational training. That is the government further expanded primary enrolment and vocational high-schools with science and technology education. Expanded primary enrolment increased competition among students for places in secondary schools, the result of which is the introduction of automatic grade promotion in 1969 and abolishment of entrance examination for secondary schools in 1974. The major policy concern in this period was thus enhancing quality-efficiency and control. The government resorted to medium and long term planning and creation of local funds and reliance in foreign loans to support TVET. In the following decade 1981-2000, the government focused on educational development through decentralization of education management facilitating local greater local autonomy with accountability. In this period the policy goal shifted to universal tertiary education, greater focus on quality and reform in vocational training and thus the major concern remain quality, autonomy and accountability. This period saw various reform measures, accordingly. The reforms focused on addressing unequal access to education resulting from widening income gap. The demand for tertiary education increased in this period. The education reform aimed to stop private tutoring while also exempting students from competitive exam for tertiary enrolments as well as relaxed control over universities regarding enrolment in 1995. The reform provid</w:t>
      </w:r>
      <w:r w:rsidR="004D46C4">
        <w:rPr>
          <w:rFonts w:ascii="Times New Roman" w:hAnsi="Times New Roman" w:cs="Times New Roman"/>
          <w:sz w:val="24"/>
          <w:szCs w:val="24"/>
        </w:rPr>
        <w:t>ed greater emphasis on learner-centred</w:t>
      </w:r>
      <w:r>
        <w:rPr>
          <w:rFonts w:ascii="Times New Roman" w:hAnsi="Times New Roman" w:cs="Times New Roman"/>
          <w:sz w:val="24"/>
          <w:szCs w:val="24"/>
        </w:rPr>
        <w:t xml:space="preserve"> education, diversification of educational programs, autonomy and accountability of school operations and also allowed “open access to results of school education evaluation.”   </w:t>
      </w:r>
    </w:p>
    <w:p w14:paraId="5B140015" w14:textId="5D452C5B" w:rsidR="00E7089F" w:rsidRPr="00F321E0" w:rsidRDefault="001D4AC5" w:rsidP="006760C4">
      <w:pPr>
        <w:spacing w:after="240"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In the 2000s Korean educational development focus was on restructuring the education system and policies was aimed at life-long learning, human resource development, improving quality of public schools, supporting research, regional development and human resources development particularly in the context of  tertiary education. The resources are devoted to education and financial support for tertiary education with major policy concern remaining global competitiveness and a knowledge based society.  The policies mainly responded to the challenges in supporting the nation’s competitiveness in the global market as well as meeting the human resource development need. Thus the priority remained reforming higher education in a way that enhances its relevance and the international competitiveness of Korean universities and at the same time strengthening vocational education and training so as to reduce over reliance on tertiary education. In addition the life-long learning has been considered as the integral part of the education system</w:t>
      </w:r>
      <w:r w:rsidR="00E11E15">
        <w:rPr>
          <w:rFonts w:ascii="Times New Roman" w:hAnsi="Times New Roman" w:cs="Times New Roman"/>
          <w:sz w:val="24"/>
          <w:szCs w:val="24"/>
        </w:rPr>
        <w:t xml:space="preserve">. </w:t>
      </w:r>
      <w:r w:rsidR="00712645" w:rsidRPr="00F321E0">
        <w:rPr>
          <w:rFonts w:ascii="Times New Roman" w:hAnsi="Times New Roman" w:cs="Times New Roman"/>
          <w:color w:val="000000" w:themeColor="text1"/>
          <w:sz w:val="24"/>
          <w:szCs w:val="24"/>
        </w:rPr>
        <w:t>With the country’s move towards heavy and –chemical industries</w:t>
      </w:r>
      <w:r w:rsidR="00575F7C" w:rsidRPr="00F321E0">
        <w:rPr>
          <w:rFonts w:ascii="Times New Roman" w:hAnsi="Times New Roman" w:cs="Times New Roman"/>
          <w:color w:val="000000" w:themeColor="text1"/>
          <w:sz w:val="24"/>
          <w:szCs w:val="24"/>
        </w:rPr>
        <w:t xml:space="preserve"> that created </w:t>
      </w:r>
      <w:r w:rsidR="00712645" w:rsidRPr="00F321E0">
        <w:rPr>
          <w:rFonts w:ascii="Times New Roman" w:hAnsi="Times New Roman" w:cs="Times New Roman"/>
          <w:color w:val="000000" w:themeColor="text1"/>
          <w:sz w:val="24"/>
          <w:szCs w:val="24"/>
        </w:rPr>
        <w:t>demand for higher skills</w:t>
      </w:r>
      <w:r>
        <w:rPr>
          <w:rFonts w:ascii="Times New Roman" w:hAnsi="Times New Roman" w:cs="Times New Roman"/>
          <w:color w:val="000000" w:themeColor="text1"/>
          <w:sz w:val="24"/>
          <w:szCs w:val="24"/>
        </w:rPr>
        <w:t xml:space="preserve"> (as </w:t>
      </w:r>
      <w:r w:rsidR="00575F7C" w:rsidRPr="00F321E0">
        <w:rPr>
          <w:rFonts w:ascii="Times New Roman" w:hAnsi="Times New Roman" w:cs="Times New Roman"/>
          <w:color w:val="000000" w:themeColor="text1"/>
          <w:sz w:val="24"/>
          <w:szCs w:val="24"/>
        </w:rPr>
        <w:t>t</w:t>
      </w:r>
      <w:r w:rsidR="00712645" w:rsidRPr="00F321E0">
        <w:rPr>
          <w:rFonts w:ascii="Times New Roman" w:hAnsi="Times New Roman" w:cs="Times New Roman"/>
          <w:color w:val="000000" w:themeColor="text1"/>
          <w:sz w:val="24"/>
          <w:szCs w:val="24"/>
        </w:rPr>
        <w:t>he existing vocational school that the government initiated in the 1960s were not in a</w:t>
      </w:r>
      <w:r w:rsidR="00575F7C" w:rsidRPr="00F321E0">
        <w:rPr>
          <w:rFonts w:ascii="Times New Roman" w:hAnsi="Times New Roman" w:cs="Times New Roman"/>
          <w:color w:val="000000" w:themeColor="text1"/>
          <w:sz w:val="24"/>
          <w:szCs w:val="24"/>
        </w:rPr>
        <w:t xml:space="preserve"> posit</w:t>
      </w:r>
      <w:r>
        <w:rPr>
          <w:rFonts w:ascii="Times New Roman" w:hAnsi="Times New Roman" w:cs="Times New Roman"/>
          <w:color w:val="000000" w:themeColor="text1"/>
          <w:sz w:val="24"/>
          <w:szCs w:val="24"/>
        </w:rPr>
        <w:t>ion to meet the changing demand)</w:t>
      </w:r>
      <w:r w:rsidR="00575F7C" w:rsidRPr="00F321E0">
        <w:rPr>
          <w:rFonts w:ascii="Times New Roman" w:hAnsi="Times New Roman" w:cs="Times New Roman"/>
          <w:color w:val="000000" w:themeColor="text1"/>
          <w:sz w:val="24"/>
          <w:szCs w:val="24"/>
        </w:rPr>
        <w:t>, the government respondent by focusing on strengthening technical and vocational education as well as increasing the numbers of  public vocational</w:t>
      </w:r>
      <w:r w:rsidR="00712645" w:rsidRPr="00F321E0">
        <w:rPr>
          <w:rFonts w:ascii="Times New Roman" w:hAnsi="Times New Roman" w:cs="Times New Roman"/>
          <w:color w:val="000000" w:themeColor="text1"/>
          <w:sz w:val="24"/>
          <w:szCs w:val="24"/>
        </w:rPr>
        <w:t xml:space="preserve"> </w:t>
      </w:r>
      <w:r w:rsidR="00575F7C" w:rsidRPr="00F321E0">
        <w:rPr>
          <w:rFonts w:ascii="Times New Roman" w:hAnsi="Times New Roman" w:cs="Times New Roman"/>
          <w:color w:val="000000" w:themeColor="text1"/>
          <w:sz w:val="24"/>
          <w:szCs w:val="24"/>
        </w:rPr>
        <w:t>training institutes together with a policy of allowing certain private enterprises to offer on-site training under a l</w:t>
      </w:r>
      <w:r w:rsidR="00E6712D" w:rsidRPr="00F321E0">
        <w:rPr>
          <w:rFonts w:ascii="Times New Roman" w:hAnsi="Times New Roman" w:cs="Times New Roman"/>
          <w:color w:val="000000" w:themeColor="text1"/>
          <w:sz w:val="24"/>
          <w:szCs w:val="24"/>
        </w:rPr>
        <w:t xml:space="preserve">egal obligatory [cite] </w:t>
      </w:r>
      <w:r w:rsidR="00575F7C" w:rsidRPr="00F321E0">
        <w:rPr>
          <w:rFonts w:ascii="Times New Roman" w:hAnsi="Times New Roman" w:cs="Times New Roman"/>
          <w:color w:val="000000" w:themeColor="text1"/>
          <w:sz w:val="24"/>
          <w:szCs w:val="24"/>
        </w:rPr>
        <w:t>framework</w:t>
      </w:r>
      <w:r w:rsidR="00F452CC" w:rsidRPr="00F321E0">
        <w:rPr>
          <w:rFonts w:ascii="Times New Roman" w:hAnsi="Times New Roman" w:cs="Times New Roman"/>
          <w:color w:val="000000" w:themeColor="text1"/>
          <w:sz w:val="24"/>
          <w:szCs w:val="24"/>
        </w:rPr>
        <w:t>.</w:t>
      </w:r>
      <w:r w:rsidR="00D40F5E" w:rsidRPr="00F321E0">
        <w:rPr>
          <w:rFonts w:ascii="Times New Roman" w:hAnsi="Times New Roman" w:cs="Times New Roman"/>
          <w:color w:val="000000" w:themeColor="text1"/>
          <w:sz w:val="24"/>
          <w:szCs w:val="24"/>
        </w:rPr>
        <w:t xml:space="preserve"> </w:t>
      </w:r>
      <w:r w:rsidR="00822A5B" w:rsidRPr="00F321E0">
        <w:rPr>
          <w:rFonts w:ascii="Times New Roman" w:hAnsi="Times New Roman" w:cs="Times New Roman"/>
          <w:color w:val="000000" w:themeColor="text1"/>
          <w:sz w:val="24"/>
          <w:szCs w:val="24"/>
        </w:rPr>
        <w:t xml:space="preserve">Korean government restructured five-year junior technical </w:t>
      </w:r>
      <w:r w:rsidR="000F3F6F" w:rsidRPr="00F321E0">
        <w:rPr>
          <w:rFonts w:ascii="Times New Roman" w:hAnsi="Times New Roman" w:cs="Times New Roman"/>
          <w:color w:val="000000" w:themeColor="text1"/>
          <w:sz w:val="24"/>
          <w:szCs w:val="24"/>
        </w:rPr>
        <w:t>college</w:t>
      </w:r>
      <w:r w:rsidR="00822A5B" w:rsidRPr="00F321E0">
        <w:rPr>
          <w:rFonts w:ascii="Times New Roman" w:hAnsi="Times New Roman" w:cs="Times New Roman"/>
          <w:color w:val="000000" w:themeColor="text1"/>
          <w:sz w:val="24"/>
          <w:szCs w:val="24"/>
        </w:rPr>
        <w:t xml:space="preserve"> </w:t>
      </w:r>
      <w:r w:rsidR="000F3F6F" w:rsidRPr="00F321E0">
        <w:rPr>
          <w:rFonts w:ascii="Times New Roman" w:hAnsi="Times New Roman" w:cs="Times New Roman"/>
          <w:color w:val="000000" w:themeColor="text1"/>
          <w:sz w:val="24"/>
          <w:szCs w:val="24"/>
        </w:rPr>
        <w:t>education (comprising three years of secondary and two years of post-secondary schooling)</w:t>
      </w:r>
      <w:r w:rsidR="00822A5B" w:rsidRPr="00F321E0">
        <w:rPr>
          <w:rFonts w:ascii="Times New Roman" w:hAnsi="Times New Roman" w:cs="Times New Roman"/>
          <w:color w:val="000000" w:themeColor="text1"/>
          <w:sz w:val="24"/>
          <w:szCs w:val="24"/>
        </w:rPr>
        <w:t xml:space="preserve"> </w:t>
      </w:r>
      <w:r w:rsidR="000F3F6F" w:rsidRPr="00F321E0">
        <w:rPr>
          <w:rFonts w:ascii="Times New Roman" w:hAnsi="Times New Roman" w:cs="Times New Roman"/>
          <w:color w:val="000000" w:themeColor="text1"/>
          <w:sz w:val="24"/>
          <w:szCs w:val="24"/>
        </w:rPr>
        <w:t>into two-year vocational colleges in order to  produce technical skills (technicians and engineers) needed for its heavy and chemical industries.</w:t>
      </w:r>
      <w:r w:rsidR="00D40F5E" w:rsidRPr="00F321E0">
        <w:rPr>
          <w:rFonts w:ascii="Times New Roman" w:hAnsi="Times New Roman" w:cs="Times New Roman"/>
          <w:color w:val="000000" w:themeColor="text1"/>
          <w:sz w:val="24"/>
          <w:szCs w:val="24"/>
        </w:rPr>
        <w:t xml:space="preserve">  </w:t>
      </w:r>
      <w:r w:rsidR="002949FE" w:rsidRPr="00F321E0">
        <w:rPr>
          <w:rFonts w:ascii="Times New Roman" w:hAnsi="Times New Roman" w:cs="Times New Roman"/>
          <w:color w:val="000000" w:themeColor="text1"/>
          <w:sz w:val="24"/>
          <w:szCs w:val="24"/>
        </w:rPr>
        <w:t xml:space="preserve">In 1908s Korea faced </w:t>
      </w:r>
      <w:r w:rsidR="00D91185" w:rsidRPr="00F321E0">
        <w:rPr>
          <w:rFonts w:ascii="Times New Roman" w:hAnsi="Times New Roman" w:cs="Times New Roman"/>
          <w:color w:val="000000" w:themeColor="text1"/>
          <w:sz w:val="24"/>
          <w:szCs w:val="24"/>
        </w:rPr>
        <w:t>skill worker shortage</w:t>
      </w:r>
      <w:r w:rsidR="002949FE" w:rsidRPr="00F321E0">
        <w:rPr>
          <w:rFonts w:ascii="Times New Roman" w:hAnsi="Times New Roman" w:cs="Times New Roman"/>
          <w:color w:val="000000" w:themeColor="text1"/>
          <w:sz w:val="24"/>
          <w:szCs w:val="24"/>
        </w:rPr>
        <w:t xml:space="preserve"> in </w:t>
      </w:r>
      <w:r w:rsidR="00A8625F" w:rsidRPr="00F321E0">
        <w:rPr>
          <w:rFonts w:ascii="Times New Roman" w:hAnsi="Times New Roman" w:cs="Times New Roman"/>
          <w:color w:val="000000" w:themeColor="text1"/>
          <w:sz w:val="24"/>
          <w:szCs w:val="24"/>
        </w:rPr>
        <w:t>industries resulting</w:t>
      </w:r>
      <w:r w:rsidR="002949FE" w:rsidRPr="00F321E0">
        <w:rPr>
          <w:rFonts w:ascii="Times New Roman" w:hAnsi="Times New Roman" w:cs="Times New Roman"/>
          <w:color w:val="000000" w:themeColor="text1"/>
          <w:sz w:val="24"/>
          <w:szCs w:val="24"/>
        </w:rPr>
        <w:t xml:space="preserve"> from decline in vocational secondary schools enrolment due to </w:t>
      </w:r>
      <w:r w:rsidR="00E46673" w:rsidRPr="00F321E0">
        <w:rPr>
          <w:rFonts w:ascii="Times New Roman" w:hAnsi="Times New Roman" w:cs="Times New Roman"/>
          <w:color w:val="000000" w:themeColor="text1"/>
          <w:sz w:val="24"/>
          <w:szCs w:val="24"/>
        </w:rPr>
        <w:t>expanded higher education opportunities</w:t>
      </w:r>
      <w:r w:rsidR="002949FE" w:rsidRPr="00F321E0">
        <w:rPr>
          <w:rFonts w:ascii="Times New Roman" w:hAnsi="Times New Roman" w:cs="Times New Roman"/>
          <w:color w:val="000000" w:themeColor="text1"/>
          <w:sz w:val="24"/>
          <w:szCs w:val="24"/>
        </w:rPr>
        <w:t xml:space="preserve">. In response to this, the government </w:t>
      </w:r>
      <w:r w:rsidR="00822A5B" w:rsidRPr="00F321E0">
        <w:rPr>
          <w:rFonts w:ascii="Times New Roman" w:hAnsi="Times New Roman" w:cs="Times New Roman"/>
          <w:color w:val="000000" w:themeColor="text1"/>
          <w:sz w:val="24"/>
          <w:szCs w:val="24"/>
        </w:rPr>
        <w:t>took</w:t>
      </w:r>
      <w:r w:rsidR="00A8625F" w:rsidRPr="00F321E0">
        <w:rPr>
          <w:rFonts w:ascii="Times New Roman" w:hAnsi="Times New Roman" w:cs="Times New Roman"/>
          <w:color w:val="000000" w:themeColor="text1"/>
          <w:sz w:val="24"/>
          <w:szCs w:val="24"/>
        </w:rPr>
        <w:t xml:space="preserve"> </w:t>
      </w:r>
      <w:r w:rsidR="000B4F6B" w:rsidRPr="00F321E0">
        <w:rPr>
          <w:rFonts w:ascii="Times New Roman" w:hAnsi="Times New Roman" w:cs="Times New Roman"/>
          <w:color w:val="000000" w:themeColor="text1"/>
          <w:sz w:val="24"/>
          <w:szCs w:val="24"/>
        </w:rPr>
        <w:t>further measures</w:t>
      </w:r>
      <w:r w:rsidR="00822A5B" w:rsidRPr="00F321E0">
        <w:rPr>
          <w:rFonts w:ascii="Times New Roman" w:hAnsi="Times New Roman" w:cs="Times New Roman"/>
          <w:color w:val="000000" w:themeColor="text1"/>
          <w:sz w:val="24"/>
          <w:szCs w:val="24"/>
        </w:rPr>
        <w:t xml:space="preserve"> to strengthen vocational education and training with the goal to increase vocational school enrolment and ratio of general education school enrolment to vocational senior secondary schools from 68:32 to 50:50 by 1995.  </w:t>
      </w:r>
      <w:r w:rsidR="00E46673" w:rsidRPr="00F321E0">
        <w:rPr>
          <w:rFonts w:ascii="Times New Roman" w:hAnsi="Times New Roman" w:cs="Times New Roman"/>
          <w:color w:val="000000" w:themeColor="text1"/>
          <w:sz w:val="24"/>
          <w:szCs w:val="24"/>
        </w:rPr>
        <w:t xml:space="preserve">Korean government also initiated further reforms in the vocational and training system in the </w:t>
      </w:r>
      <w:r w:rsidR="00DE4E73" w:rsidRPr="00F321E0">
        <w:rPr>
          <w:rFonts w:ascii="Times New Roman" w:hAnsi="Times New Roman" w:cs="Times New Roman"/>
          <w:color w:val="000000" w:themeColor="text1"/>
          <w:sz w:val="24"/>
          <w:szCs w:val="24"/>
        </w:rPr>
        <w:t xml:space="preserve">1990s, while also emphasized on-the-job </w:t>
      </w:r>
      <w:r w:rsidR="00E46673" w:rsidRPr="00F321E0">
        <w:rPr>
          <w:rFonts w:ascii="Times New Roman" w:hAnsi="Times New Roman" w:cs="Times New Roman"/>
          <w:color w:val="000000" w:themeColor="text1"/>
          <w:sz w:val="24"/>
          <w:szCs w:val="24"/>
        </w:rPr>
        <w:t>sk</w:t>
      </w:r>
      <w:r w:rsidR="00DE4E73" w:rsidRPr="00F321E0">
        <w:rPr>
          <w:rFonts w:ascii="Times New Roman" w:hAnsi="Times New Roman" w:cs="Times New Roman"/>
          <w:color w:val="000000" w:themeColor="text1"/>
          <w:sz w:val="24"/>
          <w:szCs w:val="24"/>
        </w:rPr>
        <w:t>ill upgradation</w:t>
      </w:r>
      <w:r w:rsidR="00E46673" w:rsidRPr="00F321E0">
        <w:rPr>
          <w:rFonts w:ascii="Times New Roman" w:hAnsi="Times New Roman" w:cs="Times New Roman"/>
          <w:color w:val="000000" w:themeColor="text1"/>
          <w:sz w:val="24"/>
          <w:szCs w:val="24"/>
        </w:rPr>
        <w:t>.</w:t>
      </w:r>
    </w:p>
    <w:p w14:paraId="0507CA56" w14:textId="012CADEA" w:rsidR="004B6B77" w:rsidRPr="00F321E0" w:rsidRDefault="002E4CE1" w:rsidP="002625F4">
      <w:pPr>
        <w:spacing w:after="240" w:line="276" w:lineRule="auto"/>
        <w:ind w:firstLine="720"/>
        <w:jc w:val="both"/>
        <w:rPr>
          <w:rFonts w:ascii="Times New Roman" w:hAnsi="Times New Roman" w:cs="Times New Roman"/>
          <w:color w:val="000000" w:themeColor="text1"/>
          <w:sz w:val="24"/>
          <w:szCs w:val="24"/>
        </w:rPr>
      </w:pPr>
      <w:r w:rsidRPr="00F321E0">
        <w:rPr>
          <w:rFonts w:ascii="Times New Roman" w:hAnsi="Times New Roman" w:cs="Times New Roman"/>
          <w:color w:val="000000" w:themeColor="text1"/>
          <w:sz w:val="24"/>
          <w:szCs w:val="24"/>
        </w:rPr>
        <w:t xml:space="preserve">Malaysia attained rapid economic growth experiencing significant structural changes since the 1980s. </w:t>
      </w:r>
      <w:r w:rsidR="00E70ECC" w:rsidRPr="00F321E0">
        <w:rPr>
          <w:rFonts w:ascii="Times New Roman" w:hAnsi="Times New Roman" w:cs="Times New Roman"/>
          <w:color w:val="000000" w:themeColor="text1"/>
          <w:sz w:val="24"/>
          <w:szCs w:val="24"/>
        </w:rPr>
        <w:t>Like the case of Korea, Malaysian government too</w:t>
      </w:r>
      <w:r w:rsidR="00E6712D" w:rsidRPr="00F321E0">
        <w:rPr>
          <w:rFonts w:ascii="Times New Roman" w:hAnsi="Times New Roman" w:cs="Times New Roman"/>
          <w:color w:val="000000" w:themeColor="text1"/>
          <w:sz w:val="24"/>
          <w:szCs w:val="24"/>
        </w:rPr>
        <w:t>k</w:t>
      </w:r>
      <w:r w:rsidR="00E70ECC" w:rsidRPr="00F321E0">
        <w:rPr>
          <w:rFonts w:ascii="Times New Roman" w:hAnsi="Times New Roman" w:cs="Times New Roman"/>
          <w:color w:val="000000" w:themeColor="text1"/>
          <w:sz w:val="24"/>
          <w:szCs w:val="24"/>
        </w:rPr>
        <w:t xml:space="preserve"> initiatives to exp</w:t>
      </w:r>
      <w:r w:rsidR="00E6712D" w:rsidRPr="00F321E0">
        <w:rPr>
          <w:rFonts w:ascii="Times New Roman" w:hAnsi="Times New Roman" w:cs="Times New Roman"/>
          <w:color w:val="000000" w:themeColor="text1"/>
          <w:sz w:val="24"/>
          <w:szCs w:val="24"/>
        </w:rPr>
        <w:t>and post-</w:t>
      </w:r>
      <w:r w:rsidR="00E70ECC" w:rsidRPr="00F321E0">
        <w:rPr>
          <w:rFonts w:ascii="Times New Roman" w:hAnsi="Times New Roman" w:cs="Times New Roman"/>
          <w:color w:val="000000" w:themeColor="text1"/>
          <w:sz w:val="24"/>
          <w:szCs w:val="24"/>
        </w:rPr>
        <w:t xml:space="preserve">secondary education and vocational education and training. </w:t>
      </w:r>
      <w:r w:rsidRPr="00F321E0">
        <w:rPr>
          <w:rFonts w:ascii="Times New Roman" w:hAnsi="Times New Roman" w:cs="Times New Roman"/>
          <w:color w:val="000000" w:themeColor="text1"/>
          <w:sz w:val="24"/>
          <w:szCs w:val="24"/>
        </w:rPr>
        <w:t xml:space="preserve">If we look at the </w:t>
      </w:r>
      <w:r w:rsidR="00E70ECC" w:rsidRPr="00F321E0">
        <w:rPr>
          <w:rFonts w:ascii="Times New Roman" w:hAnsi="Times New Roman" w:cs="Times New Roman"/>
          <w:color w:val="000000" w:themeColor="text1"/>
          <w:sz w:val="24"/>
          <w:szCs w:val="24"/>
        </w:rPr>
        <w:t>composition</w:t>
      </w:r>
      <w:r w:rsidRPr="00F321E0">
        <w:rPr>
          <w:rFonts w:ascii="Times New Roman" w:hAnsi="Times New Roman" w:cs="Times New Roman"/>
          <w:color w:val="000000" w:themeColor="text1"/>
          <w:sz w:val="24"/>
          <w:szCs w:val="24"/>
        </w:rPr>
        <w:t xml:space="preserve"> of </w:t>
      </w:r>
      <w:r w:rsidR="006E2C5E">
        <w:rPr>
          <w:rFonts w:ascii="Times New Roman" w:hAnsi="Times New Roman" w:cs="Times New Roman"/>
          <w:color w:val="000000" w:themeColor="text1"/>
          <w:sz w:val="24"/>
          <w:szCs w:val="24"/>
        </w:rPr>
        <w:t>labour</w:t>
      </w:r>
      <w:r w:rsidRPr="00F321E0">
        <w:rPr>
          <w:rFonts w:ascii="Times New Roman" w:hAnsi="Times New Roman" w:cs="Times New Roman"/>
          <w:color w:val="000000" w:themeColor="text1"/>
          <w:sz w:val="24"/>
          <w:szCs w:val="24"/>
        </w:rPr>
        <w:t xml:space="preserve"> force by educational </w:t>
      </w:r>
      <w:r w:rsidR="00E70ECC" w:rsidRPr="00F321E0">
        <w:rPr>
          <w:rFonts w:ascii="Times New Roman" w:hAnsi="Times New Roman" w:cs="Times New Roman"/>
          <w:color w:val="000000" w:themeColor="text1"/>
          <w:sz w:val="24"/>
          <w:szCs w:val="24"/>
        </w:rPr>
        <w:t>attainment</w:t>
      </w:r>
      <w:r w:rsidR="00E11E15">
        <w:rPr>
          <w:rFonts w:ascii="Times New Roman" w:hAnsi="Times New Roman" w:cs="Times New Roman"/>
          <w:color w:val="000000" w:themeColor="text1"/>
          <w:sz w:val="24"/>
          <w:szCs w:val="24"/>
        </w:rPr>
        <w:t>,</w:t>
      </w:r>
      <w:r w:rsidRPr="00F321E0">
        <w:rPr>
          <w:rFonts w:ascii="Times New Roman" w:hAnsi="Times New Roman" w:cs="Times New Roman"/>
          <w:color w:val="000000" w:themeColor="text1"/>
          <w:sz w:val="24"/>
          <w:szCs w:val="24"/>
        </w:rPr>
        <w:t xml:space="preserve"> there has been notable shift from primary to secondary </w:t>
      </w:r>
      <w:r w:rsidR="00E70ECC" w:rsidRPr="00F321E0">
        <w:rPr>
          <w:rFonts w:ascii="Times New Roman" w:hAnsi="Times New Roman" w:cs="Times New Roman"/>
          <w:color w:val="000000" w:themeColor="text1"/>
          <w:sz w:val="24"/>
          <w:szCs w:val="24"/>
        </w:rPr>
        <w:t>and tertiary level</w:t>
      </w:r>
      <w:r w:rsidR="00E6712D" w:rsidRPr="00F321E0">
        <w:rPr>
          <w:rFonts w:ascii="Times New Roman" w:hAnsi="Times New Roman" w:cs="Times New Roman"/>
          <w:color w:val="000000" w:themeColor="text1"/>
          <w:sz w:val="24"/>
          <w:szCs w:val="24"/>
        </w:rPr>
        <w:t xml:space="preserve"> in Malaysia</w:t>
      </w:r>
      <w:r w:rsidR="00E11E15">
        <w:rPr>
          <w:rFonts w:ascii="Times New Roman" w:hAnsi="Times New Roman" w:cs="Times New Roman"/>
          <w:color w:val="000000" w:themeColor="text1"/>
          <w:sz w:val="24"/>
          <w:szCs w:val="24"/>
        </w:rPr>
        <w:t xml:space="preserve"> (Islam 2015</w:t>
      </w:r>
      <w:r w:rsidR="00E70ECC" w:rsidRPr="00F321E0">
        <w:rPr>
          <w:rFonts w:ascii="Times New Roman" w:hAnsi="Times New Roman" w:cs="Times New Roman"/>
          <w:color w:val="000000" w:themeColor="text1"/>
          <w:sz w:val="24"/>
          <w:szCs w:val="24"/>
        </w:rPr>
        <w:t>. About 25%</w:t>
      </w:r>
      <w:r w:rsidR="00E6712D" w:rsidRPr="00F321E0">
        <w:rPr>
          <w:rFonts w:ascii="Times New Roman" w:hAnsi="Times New Roman" w:cs="Times New Roman"/>
          <w:color w:val="000000" w:themeColor="text1"/>
          <w:sz w:val="24"/>
          <w:szCs w:val="24"/>
        </w:rPr>
        <w:t xml:space="preserve"> </w:t>
      </w:r>
      <w:r w:rsidR="00E70ECC" w:rsidRPr="00F321E0">
        <w:rPr>
          <w:rFonts w:ascii="Times New Roman" w:hAnsi="Times New Roman" w:cs="Times New Roman"/>
          <w:color w:val="000000" w:themeColor="text1"/>
          <w:sz w:val="24"/>
          <w:szCs w:val="24"/>
        </w:rPr>
        <w:t xml:space="preserve">(55%) of the </w:t>
      </w:r>
      <w:r w:rsidR="006E2C5E">
        <w:rPr>
          <w:rFonts w:ascii="Times New Roman" w:hAnsi="Times New Roman" w:cs="Times New Roman"/>
          <w:color w:val="000000" w:themeColor="text1"/>
          <w:sz w:val="24"/>
          <w:szCs w:val="24"/>
        </w:rPr>
        <w:t>labour</w:t>
      </w:r>
      <w:r w:rsidR="00E70ECC" w:rsidRPr="00F321E0">
        <w:rPr>
          <w:rFonts w:ascii="Times New Roman" w:hAnsi="Times New Roman" w:cs="Times New Roman"/>
          <w:color w:val="000000" w:themeColor="text1"/>
          <w:sz w:val="24"/>
          <w:szCs w:val="24"/>
        </w:rPr>
        <w:t xml:space="preserve"> force had </w:t>
      </w:r>
      <w:r w:rsidR="00E6712D" w:rsidRPr="00F321E0">
        <w:rPr>
          <w:rFonts w:ascii="Times New Roman" w:hAnsi="Times New Roman" w:cs="Times New Roman"/>
          <w:color w:val="000000" w:themeColor="text1"/>
          <w:sz w:val="24"/>
          <w:szCs w:val="24"/>
        </w:rPr>
        <w:t>tertiary (</w:t>
      </w:r>
      <w:r w:rsidR="00E70ECC" w:rsidRPr="00F321E0">
        <w:rPr>
          <w:rFonts w:ascii="Times New Roman" w:hAnsi="Times New Roman" w:cs="Times New Roman"/>
          <w:color w:val="000000" w:themeColor="text1"/>
          <w:sz w:val="24"/>
          <w:szCs w:val="24"/>
        </w:rPr>
        <w:t xml:space="preserve">secondary) education in 2010 compared to </w:t>
      </w:r>
      <w:r w:rsidR="00DB181C" w:rsidRPr="00F321E0">
        <w:rPr>
          <w:rFonts w:ascii="Times New Roman" w:hAnsi="Times New Roman" w:cs="Times New Roman"/>
          <w:color w:val="000000" w:themeColor="text1"/>
          <w:sz w:val="24"/>
          <w:szCs w:val="24"/>
        </w:rPr>
        <w:t>roughly</w:t>
      </w:r>
      <w:r w:rsidR="00E70ECC" w:rsidRPr="00F321E0">
        <w:rPr>
          <w:rFonts w:ascii="Times New Roman" w:hAnsi="Times New Roman" w:cs="Times New Roman"/>
          <w:color w:val="000000" w:themeColor="text1"/>
          <w:sz w:val="24"/>
          <w:szCs w:val="24"/>
        </w:rPr>
        <w:t xml:space="preserve"> </w:t>
      </w:r>
      <w:r w:rsidR="00D40F5E" w:rsidRPr="00F321E0">
        <w:rPr>
          <w:rFonts w:ascii="Times New Roman" w:hAnsi="Times New Roman" w:cs="Times New Roman"/>
          <w:color w:val="000000" w:themeColor="text1"/>
          <w:sz w:val="24"/>
          <w:szCs w:val="24"/>
        </w:rPr>
        <w:t xml:space="preserve">6 % </w:t>
      </w:r>
      <w:r w:rsidR="00E70ECC" w:rsidRPr="00F321E0">
        <w:rPr>
          <w:rFonts w:ascii="Times New Roman" w:hAnsi="Times New Roman" w:cs="Times New Roman"/>
          <w:color w:val="000000" w:themeColor="text1"/>
          <w:sz w:val="24"/>
          <w:szCs w:val="24"/>
        </w:rPr>
        <w:t>(36%) in 1982</w:t>
      </w:r>
      <w:r w:rsidR="00177D17" w:rsidRPr="00F321E0">
        <w:rPr>
          <w:rFonts w:ascii="Times New Roman" w:hAnsi="Times New Roman" w:cs="Times New Roman"/>
          <w:color w:val="000000" w:themeColor="text1"/>
          <w:sz w:val="24"/>
          <w:szCs w:val="24"/>
        </w:rPr>
        <w:t>(data cited in Islam</w:t>
      </w:r>
      <w:r w:rsidR="00CE44E6" w:rsidRPr="00F321E0">
        <w:rPr>
          <w:rFonts w:ascii="Times New Roman" w:hAnsi="Times New Roman" w:cs="Times New Roman"/>
          <w:color w:val="000000" w:themeColor="text1"/>
          <w:sz w:val="24"/>
          <w:szCs w:val="24"/>
        </w:rPr>
        <w:t>, 2015</w:t>
      </w:r>
      <w:r w:rsidR="00177D17" w:rsidRPr="00F321E0">
        <w:rPr>
          <w:rFonts w:ascii="Times New Roman" w:hAnsi="Times New Roman" w:cs="Times New Roman"/>
          <w:color w:val="000000" w:themeColor="text1"/>
          <w:sz w:val="24"/>
          <w:szCs w:val="24"/>
        </w:rPr>
        <w:t>).</w:t>
      </w:r>
      <w:r w:rsidR="002400FC" w:rsidRPr="00F321E0">
        <w:rPr>
          <w:rFonts w:ascii="Times New Roman" w:hAnsi="Times New Roman" w:cs="Times New Roman"/>
          <w:color w:val="000000" w:themeColor="text1"/>
          <w:sz w:val="24"/>
          <w:szCs w:val="24"/>
        </w:rPr>
        <w:t xml:space="preserve"> </w:t>
      </w:r>
      <w:r w:rsidR="00DB181C" w:rsidRPr="00F321E0">
        <w:rPr>
          <w:rFonts w:ascii="Times New Roman" w:hAnsi="Times New Roman" w:cs="Times New Roman"/>
          <w:color w:val="000000" w:themeColor="text1"/>
          <w:sz w:val="24"/>
          <w:szCs w:val="24"/>
        </w:rPr>
        <w:t>Interestingly</w:t>
      </w:r>
      <w:r w:rsidR="00E70ECC" w:rsidRPr="00F321E0">
        <w:rPr>
          <w:rFonts w:ascii="Times New Roman" w:hAnsi="Times New Roman" w:cs="Times New Roman"/>
          <w:color w:val="000000" w:themeColor="text1"/>
          <w:sz w:val="24"/>
          <w:szCs w:val="24"/>
        </w:rPr>
        <w:t xml:space="preserve">, there has been </w:t>
      </w:r>
      <w:r w:rsidR="00E6712D" w:rsidRPr="00F321E0">
        <w:rPr>
          <w:rFonts w:ascii="Times New Roman" w:hAnsi="Times New Roman" w:cs="Times New Roman"/>
          <w:color w:val="000000" w:themeColor="text1"/>
          <w:sz w:val="24"/>
          <w:szCs w:val="24"/>
        </w:rPr>
        <w:t xml:space="preserve">also </w:t>
      </w:r>
      <w:r w:rsidR="00E70ECC" w:rsidRPr="00F321E0">
        <w:rPr>
          <w:rFonts w:ascii="Times New Roman" w:hAnsi="Times New Roman" w:cs="Times New Roman"/>
          <w:color w:val="000000" w:themeColor="text1"/>
          <w:sz w:val="24"/>
          <w:szCs w:val="24"/>
        </w:rPr>
        <w:t xml:space="preserve">supply –demand </w:t>
      </w:r>
      <w:r w:rsidR="00DB181C" w:rsidRPr="00F321E0">
        <w:rPr>
          <w:rFonts w:ascii="Times New Roman" w:hAnsi="Times New Roman" w:cs="Times New Roman"/>
          <w:color w:val="000000" w:themeColor="text1"/>
          <w:sz w:val="24"/>
          <w:szCs w:val="24"/>
        </w:rPr>
        <w:t xml:space="preserve">mismatch of </w:t>
      </w:r>
      <w:r w:rsidR="00E6712D" w:rsidRPr="00F321E0">
        <w:rPr>
          <w:rFonts w:ascii="Times New Roman" w:hAnsi="Times New Roman" w:cs="Times New Roman"/>
          <w:color w:val="000000" w:themeColor="text1"/>
          <w:sz w:val="24"/>
          <w:szCs w:val="24"/>
        </w:rPr>
        <w:t xml:space="preserve">graduates (or skill mismatch) </w:t>
      </w:r>
      <w:r w:rsidR="00DB181C" w:rsidRPr="00F321E0">
        <w:rPr>
          <w:rFonts w:ascii="Times New Roman" w:hAnsi="Times New Roman" w:cs="Times New Roman"/>
          <w:color w:val="000000" w:themeColor="text1"/>
          <w:sz w:val="24"/>
          <w:szCs w:val="24"/>
        </w:rPr>
        <w:t xml:space="preserve"> </w:t>
      </w:r>
      <w:r w:rsidR="00E70ECC" w:rsidRPr="00F321E0">
        <w:rPr>
          <w:rFonts w:ascii="Times New Roman" w:hAnsi="Times New Roman" w:cs="Times New Roman"/>
          <w:color w:val="000000" w:themeColor="text1"/>
          <w:sz w:val="24"/>
          <w:szCs w:val="24"/>
        </w:rPr>
        <w:t xml:space="preserve">in </w:t>
      </w:r>
      <w:r w:rsidR="00CE44E6" w:rsidRPr="00F321E0">
        <w:rPr>
          <w:rFonts w:ascii="Times New Roman" w:hAnsi="Times New Roman" w:cs="Times New Roman"/>
          <w:color w:val="000000" w:themeColor="text1"/>
          <w:sz w:val="24"/>
          <w:szCs w:val="24"/>
        </w:rPr>
        <w:t>Malaysia</w:t>
      </w:r>
      <w:r w:rsidR="002F1830" w:rsidRPr="00F321E0">
        <w:rPr>
          <w:rFonts w:ascii="Times New Roman" w:hAnsi="Times New Roman" w:cs="Times New Roman"/>
          <w:color w:val="000000" w:themeColor="text1"/>
          <w:sz w:val="24"/>
          <w:szCs w:val="24"/>
        </w:rPr>
        <w:t>;</w:t>
      </w:r>
      <w:r w:rsidR="00F135C4" w:rsidRPr="00F321E0">
        <w:rPr>
          <w:rFonts w:ascii="Times New Roman" w:hAnsi="Times New Roman" w:cs="Times New Roman"/>
          <w:color w:val="000000" w:themeColor="text1"/>
          <w:sz w:val="24"/>
          <w:szCs w:val="24"/>
        </w:rPr>
        <w:t xml:space="preserve"> Fleming and Soborg 2012 report </w:t>
      </w:r>
      <w:r w:rsidR="002F1830" w:rsidRPr="00F321E0">
        <w:rPr>
          <w:rFonts w:ascii="Times New Roman" w:hAnsi="Times New Roman" w:cs="Times New Roman"/>
          <w:color w:val="000000" w:themeColor="text1"/>
          <w:sz w:val="24"/>
          <w:szCs w:val="24"/>
        </w:rPr>
        <w:t>that 50% of the graduate</w:t>
      </w:r>
      <w:r w:rsidR="00F135C4" w:rsidRPr="00F321E0">
        <w:rPr>
          <w:rFonts w:ascii="Times New Roman" w:hAnsi="Times New Roman" w:cs="Times New Roman"/>
          <w:color w:val="000000" w:themeColor="text1"/>
          <w:sz w:val="24"/>
          <w:szCs w:val="24"/>
        </w:rPr>
        <w:t xml:space="preserve">s </w:t>
      </w:r>
      <w:r w:rsidR="002F1830" w:rsidRPr="00F321E0">
        <w:rPr>
          <w:rFonts w:ascii="Times New Roman" w:hAnsi="Times New Roman" w:cs="Times New Roman"/>
          <w:color w:val="000000" w:themeColor="text1"/>
          <w:sz w:val="24"/>
          <w:szCs w:val="24"/>
        </w:rPr>
        <w:t xml:space="preserve">in 2006 and 2007 found it difficult to find employment and 28 percent remained unemployed over a year of graduation, and the similar percentage needed further skill training suitable to find employment. It has been argued that such problem related to skill mismatch </w:t>
      </w:r>
      <w:r w:rsidR="00F135C4" w:rsidRPr="00F321E0">
        <w:rPr>
          <w:rFonts w:ascii="Times New Roman" w:hAnsi="Times New Roman" w:cs="Times New Roman"/>
          <w:color w:val="000000" w:themeColor="text1"/>
          <w:sz w:val="24"/>
          <w:szCs w:val="24"/>
        </w:rPr>
        <w:t xml:space="preserve">could </w:t>
      </w:r>
      <w:r w:rsidR="002F1830" w:rsidRPr="00F321E0">
        <w:rPr>
          <w:rFonts w:ascii="Times New Roman" w:hAnsi="Times New Roman" w:cs="Times New Roman"/>
          <w:color w:val="000000" w:themeColor="text1"/>
          <w:sz w:val="24"/>
          <w:szCs w:val="24"/>
        </w:rPr>
        <w:t xml:space="preserve">act as hindrance to the country’s transformation </w:t>
      </w:r>
      <w:r w:rsidR="00F135C4" w:rsidRPr="00F321E0">
        <w:rPr>
          <w:rFonts w:ascii="Times New Roman" w:hAnsi="Times New Roman" w:cs="Times New Roman"/>
          <w:color w:val="000000" w:themeColor="text1"/>
          <w:sz w:val="24"/>
          <w:szCs w:val="24"/>
        </w:rPr>
        <w:t>to</w:t>
      </w:r>
      <w:r w:rsidR="00C27127" w:rsidRPr="00F321E0">
        <w:rPr>
          <w:rFonts w:ascii="Times New Roman" w:hAnsi="Times New Roman" w:cs="Times New Roman"/>
          <w:color w:val="000000" w:themeColor="text1"/>
          <w:sz w:val="24"/>
          <w:szCs w:val="24"/>
        </w:rPr>
        <w:t xml:space="preserve"> advanced industrialized nation – transformation from middle income to higher income</w:t>
      </w:r>
      <w:r w:rsidR="00F135C4" w:rsidRPr="00F321E0">
        <w:rPr>
          <w:rFonts w:ascii="Times New Roman" w:hAnsi="Times New Roman" w:cs="Times New Roman"/>
          <w:color w:val="000000" w:themeColor="text1"/>
          <w:sz w:val="24"/>
          <w:szCs w:val="24"/>
        </w:rPr>
        <w:t xml:space="preserve"> status. This phenomenon</w:t>
      </w:r>
      <w:r w:rsidR="00C27127" w:rsidRPr="00F321E0">
        <w:rPr>
          <w:rFonts w:ascii="Times New Roman" w:hAnsi="Times New Roman" w:cs="Times New Roman"/>
          <w:color w:val="000000" w:themeColor="text1"/>
          <w:sz w:val="24"/>
          <w:szCs w:val="24"/>
        </w:rPr>
        <w:t xml:space="preserve"> </w:t>
      </w:r>
      <w:r w:rsidR="00F135C4" w:rsidRPr="00F321E0">
        <w:rPr>
          <w:rFonts w:ascii="Times New Roman" w:hAnsi="Times New Roman" w:cs="Times New Roman"/>
          <w:color w:val="000000" w:themeColor="text1"/>
          <w:sz w:val="24"/>
          <w:szCs w:val="24"/>
        </w:rPr>
        <w:t>is</w:t>
      </w:r>
      <w:r w:rsidR="00C27127" w:rsidRPr="00F321E0">
        <w:rPr>
          <w:rFonts w:ascii="Times New Roman" w:hAnsi="Times New Roman" w:cs="Times New Roman"/>
          <w:color w:val="000000" w:themeColor="text1"/>
          <w:sz w:val="24"/>
          <w:szCs w:val="24"/>
        </w:rPr>
        <w:t xml:space="preserve"> recognized as the </w:t>
      </w:r>
      <w:r w:rsidR="00AF0D0D" w:rsidRPr="00F321E0">
        <w:rPr>
          <w:rFonts w:ascii="Times New Roman" w:hAnsi="Times New Roman" w:cs="Times New Roman"/>
          <w:color w:val="000000" w:themeColor="text1"/>
          <w:sz w:val="24"/>
          <w:szCs w:val="24"/>
        </w:rPr>
        <w:t>“</w:t>
      </w:r>
      <w:r w:rsidR="00C27127" w:rsidRPr="00F321E0">
        <w:rPr>
          <w:rFonts w:ascii="Times New Roman" w:hAnsi="Times New Roman" w:cs="Times New Roman"/>
          <w:color w:val="000000" w:themeColor="text1"/>
          <w:sz w:val="24"/>
          <w:szCs w:val="24"/>
        </w:rPr>
        <w:t>middle income trap</w:t>
      </w:r>
      <w:r w:rsidR="00AF0D0D" w:rsidRPr="00F321E0">
        <w:rPr>
          <w:rFonts w:ascii="Times New Roman" w:hAnsi="Times New Roman" w:cs="Times New Roman"/>
          <w:color w:val="000000" w:themeColor="text1"/>
          <w:sz w:val="24"/>
          <w:szCs w:val="24"/>
        </w:rPr>
        <w:t>”</w:t>
      </w:r>
      <w:r w:rsidR="00C27127" w:rsidRPr="00F321E0">
        <w:rPr>
          <w:rFonts w:ascii="Times New Roman" w:hAnsi="Times New Roman" w:cs="Times New Roman"/>
          <w:color w:val="000000" w:themeColor="text1"/>
          <w:sz w:val="24"/>
          <w:szCs w:val="24"/>
        </w:rPr>
        <w:t xml:space="preserve"> by the </w:t>
      </w:r>
      <w:r w:rsidR="00C27127" w:rsidRPr="00F321E0">
        <w:rPr>
          <w:rFonts w:ascii="Times New Roman" w:hAnsi="Times New Roman" w:cs="Times New Roman"/>
          <w:color w:val="000000" w:themeColor="text1"/>
          <w:sz w:val="24"/>
          <w:szCs w:val="24"/>
        </w:rPr>
        <w:lastRenderedPageBreak/>
        <w:t xml:space="preserve">country’s national economic advisory </w:t>
      </w:r>
      <w:r w:rsidR="00AF0D0D" w:rsidRPr="00F321E0">
        <w:rPr>
          <w:rFonts w:ascii="Times New Roman" w:hAnsi="Times New Roman" w:cs="Times New Roman"/>
          <w:color w:val="000000" w:themeColor="text1"/>
          <w:sz w:val="24"/>
          <w:szCs w:val="24"/>
        </w:rPr>
        <w:t>council (</w:t>
      </w:r>
      <w:r w:rsidR="00C27127" w:rsidRPr="00F321E0">
        <w:rPr>
          <w:rFonts w:ascii="Times New Roman" w:hAnsi="Times New Roman" w:cs="Times New Roman"/>
          <w:color w:val="000000" w:themeColor="text1"/>
          <w:sz w:val="24"/>
          <w:szCs w:val="24"/>
        </w:rPr>
        <w:t>NEAC 2010)</w:t>
      </w:r>
      <w:r w:rsidR="00F135C4" w:rsidRPr="00F321E0">
        <w:rPr>
          <w:rFonts w:ascii="Times New Roman" w:hAnsi="Times New Roman" w:cs="Times New Roman"/>
          <w:color w:val="000000" w:themeColor="text1"/>
          <w:sz w:val="24"/>
          <w:szCs w:val="24"/>
        </w:rPr>
        <w:t xml:space="preserve">, which </w:t>
      </w:r>
      <w:r w:rsidR="00AF0D0D" w:rsidRPr="00F321E0">
        <w:rPr>
          <w:rFonts w:ascii="Times New Roman" w:hAnsi="Times New Roman" w:cs="Times New Roman"/>
          <w:color w:val="000000" w:themeColor="text1"/>
          <w:sz w:val="24"/>
          <w:szCs w:val="24"/>
        </w:rPr>
        <w:t xml:space="preserve">emphasized the need for paradigm shift in education towards producing higher level skills needed for an advanced economy. The </w:t>
      </w:r>
      <w:r w:rsidR="00F135C4" w:rsidRPr="00F321E0">
        <w:rPr>
          <w:rFonts w:ascii="Times New Roman" w:hAnsi="Times New Roman" w:cs="Times New Roman"/>
          <w:color w:val="000000" w:themeColor="text1"/>
          <w:sz w:val="24"/>
          <w:szCs w:val="24"/>
        </w:rPr>
        <w:t xml:space="preserve">NEAC 2010 </w:t>
      </w:r>
      <w:r w:rsidR="00AF0D0D" w:rsidRPr="00F321E0">
        <w:rPr>
          <w:rFonts w:ascii="Times New Roman" w:hAnsi="Times New Roman" w:cs="Times New Roman"/>
          <w:color w:val="000000" w:themeColor="text1"/>
          <w:sz w:val="24"/>
          <w:szCs w:val="24"/>
        </w:rPr>
        <w:t xml:space="preserve">also emphasized on the importance of skill upgrading with continuing </w:t>
      </w:r>
      <w:r w:rsidR="002A67F8" w:rsidRPr="00F321E0">
        <w:rPr>
          <w:rFonts w:ascii="Times New Roman" w:hAnsi="Times New Roman" w:cs="Times New Roman"/>
          <w:color w:val="000000" w:themeColor="text1"/>
          <w:sz w:val="24"/>
          <w:szCs w:val="24"/>
        </w:rPr>
        <w:t xml:space="preserve">education and training and industry and </w:t>
      </w:r>
      <w:r w:rsidR="00AF0D0D" w:rsidRPr="00F321E0">
        <w:rPr>
          <w:rFonts w:ascii="Times New Roman" w:hAnsi="Times New Roman" w:cs="Times New Roman"/>
          <w:color w:val="000000" w:themeColor="text1"/>
          <w:sz w:val="24"/>
          <w:szCs w:val="24"/>
        </w:rPr>
        <w:t>government partnership for skill training</w:t>
      </w:r>
      <w:r w:rsidR="002A67F8" w:rsidRPr="00F321E0">
        <w:rPr>
          <w:rFonts w:ascii="Times New Roman" w:hAnsi="Times New Roman" w:cs="Times New Roman"/>
          <w:color w:val="000000" w:themeColor="text1"/>
          <w:sz w:val="24"/>
          <w:szCs w:val="24"/>
        </w:rPr>
        <w:t xml:space="preserve"> of the type demanded by the former.</w:t>
      </w:r>
    </w:p>
    <w:p w14:paraId="0DB89DD9" w14:textId="5E3624DA" w:rsidR="00D40B22" w:rsidRPr="00F321E0" w:rsidRDefault="00D40B22" w:rsidP="002625F4">
      <w:pPr>
        <w:spacing w:after="240" w:line="276" w:lineRule="auto"/>
        <w:ind w:firstLine="720"/>
        <w:jc w:val="both"/>
        <w:rPr>
          <w:rFonts w:ascii="Times New Roman" w:hAnsi="Times New Roman" w:cs="Times New Roman"/>
          <w:color w:val="000000" w:themeColor="text1"/>
          <w:sz w:val="24"/>
          <w:szCs w:val="24"/>
        </w:rPr>
      </w:pPr>
      <w:r w:rsidRPr="00F321E0">
        <w:rPr>
          <w:rFonts w:ascii="Times New Roman" w:hAnsi="Times New Roman" w:cs="Times New Roman"/>
          <w:color w:val="000000" w:themeColor="text1"/>
          <w:sz w:val="24"/>
          <w:szCs w:val="24"/>
        </w:rPr>
        <w:t xml:space="preserve">Another pertinent example is Taiwan, whereby education and training system seen reforms together with various stages of development that the country embarked on. While the initial phase of industrialisation benefited from a literate workforce, the government responded to the changing demand for skills resulting from industrialisation efforts by making secondary education compulsory in place of compulsory primary education. As cited in Ranis (1995), total expenditure in education as a percentage of GNP was increased from 2.1 percent to 4.6 percent from 1955 to 1970. In case of Taiwan, with the rising share of workers in manufacturing/industrial sector, vocational training increased six-fold during 1966 to 1974 and the students in vocational track increased from 40 percent in 1963 to 52 percent in 1972 and almost 70 percent in 1980(Ranis 1995), which </w:t>
      </w:r>
      <w:r w:rsidR="00E11E15">
        <w:rPr>
          <w:rFonts w:ascii="Times New Roman" w:hAnsi="Times New Roman" w:cs="Times New Roman"/>
          <w:color w:val="000000" w:themeColor="text1"/>
          <w:sz w:val="24"/>
          <w:szCs w:val="24"/>
        </w:rPr>
        <w:t xml:space="preserve">again </w:t>
      </w:r>
      <w:r w:rsidRPr="00F321E0">
        <w:rPr>
          <w:rFonts w:ascii="Times New Roman" w:hAnsi="Times New Roman" w:cs="Times New Roman"/>
          <w:color w:val="000000" w:themeColor="text1"/>
          <w:sz w:val="24"/>
          <w:szCs w:val="24"/>
        </w:rPr>
        <w:t>demonstrates clear policy focus on education commensurate with skill need of the economy.</w:t>
      </w:r>
    </w:p>
    <w:p w14:paraId="54FC93B4" w14:textId="73471F22" w:rsidR="005B72F6" w:rsidRPr="0060772A" w:rsidRDefault="008240E7" w:rsidP="002625F4">
      <w:pPr>
        <w:pStyle w:val="ListParagraph"/>
        <w:numPr>
          <w:ilvl w:val="0"/>
          <w:numId w:val="8"/>
        </w:numPr>
        <w:tabs>
          <w:tab w:val="left" w:pos="7524"/>
        </w:tabs>
        <w:spacing w:after="240" w:line="276" w:lineRule="auto"/>
        <w:jc w:val="both"/>
        <w:rPr>
          <w:rFonts w:ascii="Times New Roman" w:hAnsi="Times New Roman" w:cs="Times New Roman"/>
          <w:b/>
          <w:sz w:val="24"/>
          <w:szCs w:val="24"/>
        </w:rPr>
      </w:pPr>
      <w:r w:rsidRPr="0060772A">
        <w:rPr>
          <w:rFonts w:ascii="Times New Roman" w:hAnsi="Times New Roman" w:cs="Times New Roman"/>
          <w:b/>
          <w:sz w:val="24"/>
          <w:szCs w:val="24"/>
        </w:rPr>
        <w:t xml:space="preserve">Reforming </w:t>
      </w:r>
      <w:r w:rsidR="0029295F" w:rsidRPr="0060772A">
        <w:rPr>
          <w:rFonts w:ascii="Times New Roman" w:hAnsi="Times New Roman" w:cs="Times New Roman"/>
          <w:b/>
          <w:sz w:val="24"/>
          <w:szCs w:val="24"/>
        </w:rPr>
        <w:t xml:space="preserve">Higher </w:t>
      </w:r>
      <w:r w:rsidRPr="0060772A">
        <w:rPr>
          <w:rFonts w:ascii="Times New Roman" w:hAnsi="Times New Roman" w:cs="Times New Roman"/>
          <w:b/>
          <w:sz w:val="24"/>
          <w:szCs w:val="24"/>
        </w:rPr>
        <w:t>Education: International Evidence</w:t>
      </w:r>
    </w:p>
    <w:p w14:paraId="063EDEAD" w14:textId="4E0C5254" w:rsidR="00794A2E" w:rsidRPr="0060772A" w:rsidRDefault="005B72F6" w:rsidP="00B6144C">
      <w:pPr>
        <w:spacing w:after="240" w:line="276" w:lineRule="auto"/>
        <w:jc w:val="both"/>
        <w:rPr>
          <w:rFonts w:ascii="Times New Roman" w:hAnsi="Times New Roman" w:cs="Times New Roman"/>
          <w:sz w:val="24"/>
          <w:szCs w:val="24"/>
        </w:rPr>
      </w:pPr>
      <w:r w:rsidRPr="0060772A">
        <w:rPr>
          <w:rFonts w:ascii="Times New Roman" w:hAnsi="Times New Roman" w:cs="Times New Roman"/>
          <w:sz w:val="24"/>
          <w:szCs w:val="24"/>
        </w:rPr>
        <w:t xml:space="preserve">In an increasingly globalised and interdependent world, higher education is crucial for achieving economic progress. This is also extremely important for building institutions that is needed to sustain the progress </w:t>
      </w:r>
      <w:r w:rsidR="00680585">
        <w:rPr>
          <w:rFonts w:ascii="Times New Roman" w:hAnsi="Times New Roman" w:cs="Times New Roman"/>
          <w:sz w:val="24"/>
          <w:szCs w:val="24"/>
        </w:rPr>
        <w:t xml:space="preserve">a </w:t>
      </w:r>
      <w:r w:rsidRPr="0060772A">
        <w:rPr>
          <w:rFonts w:ascii="Times New Roman" w:hAnsi="Times New Roman" w:cs="Times New Roman"/>
          <w:sz w:val="24"/>
          <w:szCs w:val="24"/>
        </w:rPr>
        <w:t>nation would make. The scientific and technological advancement globally has also created opportunities to view higher education as global learning platform. Adequate number of higher educational and research institutions as well as globally competitive educated and skilled people are a prerequisite to build sustainable societies. The most advanced economies in the world are knowledge based, whereby competitive use of knowledge and innovations create comparative advantage for these countries. Therefore for countries like Bangladesh, it is imperative to raise higher level skills through creating opportunities for globally competitive education and research facilities.</w:t>
      </w:r>
      <w:r w:rsidR="00680585">
        <w:rPr>
          <w:rFonts w:ascii="Times New Roman" w:hAnsi="Times New Roman" w:cs="Times New Roman"/>
          <w:sz w:val="24"/>
          <w:szCs w:val="24"/>
        </w:rPr>
        <w:t xml:space="preserve"> </w:t>
      </w:r>
      <w:r w:rsidR="008D0B0D" w:rsidRPr="0060772A">
        <w:rPr>
          <w:rFonts w:ascii="Times New Roman" w:hAnsi="Times New Roman" w:cs="Times New Roman"/>
          <w:sz w:val="24"/>
          <w:szCs w:val="24"/>
        </w:rPr>
        <w:t xml:space="preserve">Bangladesh can learn from the experience of East Asian countries such as Singapore and Malaysia with regards to reform in higher education and learning. </w:t>
      </w:r>
      <w:r w:rsidR="001E045F" w:rsidRPr="0060772A">
        <w:rPr>
          <w:rFonts w:ascii="Times New Roman" w:hAnsi="Times New Roman" w:cs="Times New Roman"/>
          <w:sz w:val="24"/>
          <w:szCs w:val="24"/>
        </w:rPr>
        <w:t xml:space="preserve">Here we discuss the experience of these countries with respect to higher education reforms and achievements. </w:t>
      </w:r>
      <w:r w:rsidR="0029295F" w:rsidRPr="0060772A">
        <w:rPr>
          <w:rFonts w:ascii="Times New Roman" w:hAnsi="Times New Roman" w:cs="Times New Roman"/>
          <w:sz w:val="24"/>
          <w:szCs w:val="24"/>
        </w:rPr>
        <w:t>For example Singapore and Malaysia</w:t>
      </w:r>
      <w:r w:rsidR="00ED477E" w:rsidRPr="0060772A">
        <w:rPr>
          <w:rFonts w:ascii="Times New Roman" w:hAnsi="Times New Roman" w:cs="Times New Roman"/>
          <w:sz w:val="24"/>
          <w:szCs w:val="24"/>
        </w:rPr>
        <w:t xml:space="preserve">, in an </w:t>
      </w:r>
      <w:r w:rsidR="00FB4FCF" w:rsidRPr="0060772A">
        <w:rPr>
          <w:rFonts w:ascii="Times New Roman" w:hAnsi="Times New Roman" w:cs="Times New Roman"/>
          <w:sz w:val="24"/>
          <w:szCs w:val="24"/>
        </w:rPr>
        <w:t>effort</w:t>
      </w:r>
      <w:r w:rsidR="00ED477E" w:rsidRPr="0060772A">
        <w:rPr>
          <w:rFonts w:ascii="Times New Roman" w:hAnsi="Times New Roman" w:cs="Times New Roman"/>
          <w:sz w:val="24"/>
          <w:szCs w:val="24"/>
        </w:rPr>
        <w:t xml:space="preserve"> to enhance global competitiveness of higher </w:t>
      </w:r>
      <w:r w:rsidR="00FB4FCF" w:rsidRPr="0060772A">
        <w:rPr>
          <w:rFonts w:ascii="Times New Roman" w:hAnsi="Times New Roman" w:cs="Times New Roman"/>
          <w:sz w:val="24"/>
          <w:szCs w:val="24"/>
        </w:rPr>
        <w:t>education</w:t>
      </w:r>
      <w:r w:rsidR="00ED477E" w:rsidRPr="0060772A">
        <w:rPr>
          <w:rFonts w:ascii="Times New Roman" w:hAnsi="Times New Roman" w:cs="Times New Roman"/>
          <w:sz w:val="24"/>
          <w:szCs w:val="24"/>
        </w:rPr>
        <w:t xml:space="preserve"> have </w:t>
      </w:r>
      <w:r w:rsidR="00FB4FCF" w:rsidRPr="0060772A">
        <w:rPr>
          <w:rFonts w:ascii="Times New Roman" w:hAnsi="Times New Roman" w:cs="Times New Roman"/>
          <w:sz w:val="24"/>
          <w:szCs w:val="24"/>
        </w:rPr>
        <w:t>allowed joint</w:t>
      </w:r>
      <w:r w:rsidR="00ED477E" w:rsidRPr="0060772A">
        <w:rPr>
          <w:rFonts w:ascii="Times New Roman" w:hAnsi="Times New Roman" w:cs="Times New Roman"/>
          <w:sz w:val="24"/>
          <w:szCs w:val="24"/>
        </w:rPr>
        <w:t xml:space="preserve"> degree programs with world renowned universities as well as </w:t>
      </w:r>
      <w:r w:rsidR="00FB4FCF" w:rsidRPr="0060772A">
        <w:rPr>
          <w:rFonts w:ascii="Times New Roman" w:hAnsi="Times New Roman" w:cs="Times New Roman"/>
          <w:sz w:val="24"/>
          <w:szCs w:val="24"/>
        </w:rPr>
        <w:t xml:space="preserve">granting permission to </w:t>
      </w:r>
      <w:r w:rsidR="00ED477E" w:rsidRPr="0060772A">
        <w:rPr>
          <w:rFonts w:ascii="Times New Roman" w:hAnsi="Times New Roman" w:cs="Times New Roman"/>
          <w:sz w:val="24"/>
          <w:szCs w:val="24"/>
        </w:rPr>
        <w:t xml:space="preserve">foreign universities to set up their campuses to facilitate world class educational opportunities for their </w:t>
      </w:r>
      <w:r w:rsidR="00FB4FCF" w:rsidRPr="0060772A">
        <w:rPr>
          <w:rFonts w:ascii="Times New Roman" w:hAnsi="Times New Roman" w:cs="Times New Roman"/>
          <w:sz w:val="24"/>
          <w:szCs w:val="24"/>
        </w:rPr>
        <w:t>students.</w:t>
      </w:r>
      <w:r w:rsidR="001E045F" w:rsidRPr="0060772A">
        <w:rPr>
          <w:rFonts w:ascii="Times New Roman" w:hAnsi="Times New Roman" w:cs="Times New Roman"/>
          <w:sz w:val="24"/>
          <w:szCs w:val="24"/>
        </w:rPr>
        <w:t xml:space="preserve"> </w:t>
      </w:r>
      <w:r w:rsidR="00176D81" w:rsidRPr="0060772A">
        <w:rPr>
          <w:rFonts w:ascii="Times New Roman" w:hAnsi="Times New Roman" w:cs="Times New Roman"/>
          <w:sz w:val="24"/>
          <w:szCs w:val="24"/>
        </w:rPr>
        <w:t xml:space="preserve">Singapore has increased its allocation on research and development (of total education expenditure) from 34% in 2000 to 54% in 2009. </w:t>
      </w:r>
      <w:r w:rsidR="0029295F" w:rsidRPr="0060772A">
        <w:rPr>
          <w:rFonts w:ascii="Times New Roman" w:hAnsi="Times New Roman" w:cs="Times New Roman"/>
          <w:sz w:val="24"/>
          <w:szCs w:val="24"/>
        </w:rPr>
        <w:t xml:space="preserve">With the aim to establish world class higher education system, Singapore government set up an international academic advisory panel </w:t>
      </w:r>
      <w:r w:rsidR="00BE50B4" w:rsidRPr="0060772A">
        <w:rPr>
          <w:rFonts w:ascii="Times New Roman" w:hAnsi="Times New Roman" w:cs="Times New Roman"/>
          <w:sz w:val="24"/>
          <w:szCs w:val="24"/>
        </w:rPr>
        <w:t xml:space="preserve">drawing on individuals from </w:t>
      </w:r>
      <w:r w:rsidR="0029295F" w:rsidRPr="0060772A">
        <w:rPr>
          <w:rFonts w:ascii="Times New Roman" w:hAnsi="Times New Roman" w:cs="Times New Roman"/>
          <w:sz w:val="24"/>
          <w:szCs w:val="24"/>
        </w:rPr>
        <w:t xml:space="preserve">renowned scholars, global higher education specialists, </w:t>
      </w:r>
      <w:r w:rsidR="00BE50B4" w:rsidRPr="0060772A">
        <w:rPr>
          <w:rFonts w:ascii="Times New Roman" w:hAnsi="Times New Roman" w:cs="Times New Roman"/>
          <w:sz w:val="24"/>
          <w:szCs w:val="24"/>
        </w:rPr>
        <w:t xml:space="preserve">as well as </w:t>
      </w:r>
      <w:r w:rsidR="0029295F" w:rsidRPr="0060772A">
        <w:rPr>
          <w:rFonts w:ascii="Times New Roman" w:hAnsi="Times New Roman" w:cs="Times New Roman"/>
          <w:sz w:val="24"/>
          <w:szCs w:val="24"/>
        </w:rPr>
        <w:t xml:space="preserve">corporate leaders (Ministry of Education Singapore, 2001). </w:t>
      </w:r>
      <w:r w:rsidR="009543D9" w:rsidRPr="0060772A">
        <w:rPr>
          <w:rFonts w:ascii="Times New Roman" w:hAnsi="Times New Roman" w:cs="Times New Roman"/>
          <w:sz w:val="24"/>
          <w:szCs w:val="24"/>
        </w:rPr>
        <w:t xml:space="preserve">The universities in Singapore have been assigned to achieve defined </w:t>
      </w:r>
      <w:r w:rsidR="009543D9" w:rsidRPr="0060772A">
        <w:rPr>
          <w:rFonts w:ascii="Times New Roman" w:hAnsi="Times New Roman" w:cs="Times New Roman"/>
          <w:sz w:val="24"/>
          <w:szCs w:val="24"/>
        </w:rPr>
        <w:lastRenderedPageBreak/>
        <w:t xml:space="preserve">goals: “provide top level professionals managers, planners, and researchers; raise the intellectual tune of society, acting as a bench mark in maintaining higher education, creating wealth” (UNESCO, 2006). </w:t>
      </w:r>
      <w:r w:rsidR="001E045F" w:rsidRPr="0060772A">
        <w:rPr>
          <w:rFonts w:ascii="Times New Roman" w:hAnsi="Times New Roman" w:cs="Times New Roman"/>
          <w:sz w:val="24"/>
          <w:szCs w:val="24"/>
        </w:rPr>
        <w:t xml:space="preserve">The Singapore education reform promoting competition with publicly funded universities saw the establishment of top class private universities such as the Singapore Management University, which was established in </w:t>
      </w:r>
      <w:r w:rsidR="006760C4" w:rsidRPr="0060772A">
        <w:rPr>
          <w:rFonts w:ascii="Times New Roman" w:hAnsi="Times New Roman" w:cs="Times New Roman"/>
          <w:sz w:val="24"/>
          <w:szCs w:val="24"/>
        </w:rPr>
        <w:t>col</w:t>
      </w:r>
      <w:r w:rsidR="006760C4">
        <w:rPr>
          <w:rFonts w:ascii="Times New Roman" w:hAnsi="Times New Roman" w:cs="Times New Roman"/>
          <w:sz w:val="24"/>
          <w:szCs w:val="24"/>
        </w:rPr>
        <w:t>labora</w:t>
      </w:r>
      <w:r w:rsidR="006760C4" w:rsidRPr="0060772A">
        <w:rPr>
          <w:rFonts w:ascii="Times New Roman" w:hAnsi="Times New Roman" w:cs="Times New Roman"/>
          <w:sz w:val="24"/>
          <w:szCs w:val="24"/>
        </w:rPr>
        <w:t>tion</w:t>
      </w:r>
      <w:r w:rsidR="001E045F" w:rsidRPr="0060772A">
        <w:rPr>
          <w:rFonts w:ascii="Times New Roman" w:hAnsi="Times New Roman" w:cs="Times New Roman"/>
          <w:sz w:val="24"/>
          <w:szCs w:val="24"/>
        </w:rPr>
        <w:t xml:space="preserve"> with the Wharton Business School at the University of Pennsylvania (Lee and Gopinathan 2001). </w:t>
      </w:r>
      <w:r w:rsidR="00794A2E" w:rsidRPr="0060772A">
        <w:rPr>
          <w:rFonts w:ascii="Times New Roman" w:hAnsi="Times New Roman" w:cs="Times New Roman"/>
          <w:sz w:val="24"/>
          <w:szCs w:val="24"/>
        </w:rPr>
        <w:t>The Singapore government had launched its Global Schoolhouse initiatives in 2002 and has taken efforts by its Economic Development Board instead of its MOE, to strategically invite world-class and reputable universities from abroad to set up their campuses in Singapore (MOK, 2011). This initiatives became very successful in that  leading foreign educational such as the  European’ Administration des Affaires (INSEAD)(</w:t>
      </w:r>
      <w:r w:rsidR="00680585">
        <w:rPr>
          <w:rFonts w:ascii="Times New Roman" w:hAnsi="Times New Roman" w:cs="Times New Roman"/>
          <w:sz w:val="24"/>
          <w:szCs w:val="24"/>
        </w:rPr>
        <w:t xml:space="preserve"> in </w:t>
      </w:r>
      <w:r w:rsidR="00794A2E" w:rsidRPr="0060772A">
        <w:rPr>
          <w:rFonts w:ascii="Times New Roman" w:hAnsi="Times New Roman" w:cs="Times New Roman"/>
          <w:sz w:val="24"/>
          <w:szCs w:val="24"/>
        </w:rPr>
        <w:t>2000), the University of Chicago Booth School of Business (</w:t>
      </w:r>
      <w:r w:rsidR="00680585">
        <w:rPr>
          <w:rFonts w:ascii="Times New Roman" w:hAnsi="Times New Roman" w:cs="Times New Roman"/>
          <w:sz w:val="24"/>
          <w:szCs w:val="24"/>
        </w:rPr>
        <w:t xml:space="preserve">in </w:t>
      </w:r>
      <w:r w:rsidR="00794A2E" w:rsidRPr="0060772A">
        <w:rPr>
          <w:rFonts w:ascii="Times New Roman" w:hAnsi="Times New Roman" w:cs="Times New Roman"/>
          <w:sz w:val="24"/>
          <w:szCs w:val="24"/>
        </w:rPr>
        <w:t>2000), S.P. Jain Center of Management (</w:t>
      </w:r>
      <w:r w:rsidR="00680585">
        <w:rPr>
          <w:rFonts w:ascii="Times New Roman" w:hAnsi="Times New Roman" w:cs="Times New Roman"/>
          <w:sz w:val="24"/>
          <w:szCs w:val="24"/>
        </w:rPr>
        <w:t xml:space="preserve">in </w:t>
      </w:r>
      <w:r w:rsidR="00794A2E" w:rsidRPr="0060772A">
        <w:rPr>
          <w:rFonts w:ascii="Times New Roman" w:hAnsi="Times New Roman" w:cs="Times New Roman"/>
          <w:sz w:val="24"/>
          <w:szCs w:val="24"/>
        </w:rPr>
        <w:t>2006), the New York University’s Tisch School of the Arts (2007), and DigiPen Institute of Technology (</w:t>
      </w:r>
      <w:r w:rsidR="00680585">
        <w:rPr>
          <w:rFonts w:ascii="Times New Roman" w:hAnsi="Times New Roman" w:cs="Times New Roman"/>
          <w:sz w:val="24"/>
          <w:szCs w:val="24"/>
        </w:rPr>
        <w:t xml:space="preserve">in </w:t>
      </w:r>
      <w:r w:rsidR="00794A2E" w:rsidRPr="0060772A">
        <w:rPr>
          <w:rFonts w:ascii="Times New Roman" w:hAnsi="Times New Roman" w:cs="Times New Roman"/>
          <w:sz w:val="24"/>
          <w:szCs w:val="24"/>
        </w:rPr>
        <w:t xml:space="preserve">2008) offering tertiary education in areas such as business, management arts, media, hospitality to information technology, biomedical sciences, and engineering(MOK 2011; </w:t>
      </w:r>
      <w:r w:rsidR="003F0209">
        <w:rPr>
          <w:rFonts w:ascii="Times New Roman" w:hAnsi="Times New Roman" w:cs="Times New Roman"/>
          <w:sz w:val="24"/>
          <w:szCs w:val="24"/>
        </w:rPr>
        <w:t>cited in Mohsin and Kamal 2012</w:t>
      </w:r>
      <w:r w:rsidR="00794A2E" w:rsidRPr="0060772A">
        <w:rPr>
          <w:rFonts w:ascii="Times New Roman" w:hAnsi="Times New Roman" w:cs="Times New Roman"/>
          <w:sz w:val="24"/>
          <w:szCs w:val="24"/>
        </w:rPr>
        <w:t xml:space="preserve">). </w:t>
      </w:r>
      <w:r w:rsidRPr="0060772A">
        <w:rPr>
          <w:rFonts w:ascii="Times New Roman" w:hAnsi="Times New Roman" w:cs="Times New Roman"/>
          <w:sz w:val="24"/>
          <w:szCs w:val="24"/>
        </w:rPr>
        <w:t>Singaporean u</w:t>
      </w:r>
      <w:r w:rsidR="000135AD" w:rsidRPr="0060772A">
        <w:rPr>
          <w:rFonts w:ascii="Times New Roman" w:hAnsi="Times New Roman" w:cs="Times New Roman"/>
          <w:sz w:val="24"/>
          <w:szCs w:val="24"/>
        </w:rPr>
        <w:t xml:space="preserve">niversities are </w:t>
      </w:r>
      <w:r w:rsidR="00B6144C" w:rsidRPr="0060772A">
        <w:rPr>
          <w:rFonts w:ascii="Times New Roman" w:hAnsi="Times New Roman" w:cs="Times New Roman"/>
          <w:sz w:val="24"/>
          <w:szCs w:val="24"/>
        </w:rPr>
        <w:t>col</w:t>
      </w:r>
      <w:r w:rsidR="00B6144C">
        <w:rPr>
          <w:rFonts w:ascii="Times New Roman" w:hAnsi="Times New Roman" w:cs="Times New Roman"/>
          <w:sz w:val="24"/>
          <w:szCs w:val="24"/>
        </w:rPr>
        <w:t>labora</w:t>
      </w:r>
      <w:r w:rsidR="00B6144C" w:rsidRPr="0060772A">
        <w:rPr>
          <w:rFonts w:ascii="Times New Roman" w:hAnsi="Times New Roman" w:cs="Times New Roman"/>
          <w:sz w:val="24"/>
          <w:szCs w:val="24"/>
        </w:rPr>
        <w:t>ting</w:t>
      </w:r>
      <w:r w:rsidR="000135AD" w:rsidRPr="0060772A">
        <w:rPr>
          <w:rFonts w:ascii="Times New Roman" w:hAnsi="Times New Roman" w:cs="Times New Roman"/>
          <w:sz w:val="24"/>
          <w:szCs w:val="24"/>
        </w:rPr>
        <w:t xml:space="preserve"> with universities across the world to offer high quality diversified academic programs, whereby students are given the opportunity to study at both local and foreign campuses, as well as receive supervision and teaching of faculties from both universities. For example, the Singapore-MIT Alliance (SMA), an innovative engineering education and research enterprise jointly founded by the National University of Singapore US, the NTU, and </w:t>
      </w:r>
      <w:r w:rsidR="002E73CA" w:rsidRPr="0060772A">
        <w:rPr>
          <w:rFonts w:ascii="Times New Roman" w:hAnsi="Times New Roman" w:cs="Times New Roman"/>
          <w:sz w:val="24"/>
          <w:szCs w:val="24"/>
        </w:rPr>
        <w:t>MIT (</w:t>
      </w:r>
      <w:r w:rsidR="000135AD" w:rsidRPr="0060772A">
        <w:rPr>
          <w:rFonts w:ascii="Times New Roman" w:hAnsi="Times New Roman" w:cs="Times New Roman"/>
          <w:sz w:val="24"/>
          <w:szCs w:val="24"/>
        </w:rPr>
        <w:t>USA), which since 1998 have developed five graduate degree programs, and has created  distant/open learning environment with the use of technology</w:t>
      </w:r>
      <w:r w:rsidR="00B6144C">
        <w:rPr>
          <w:rFonts w:ascii="Times New Roman" w:hAnsi="Times New Roman" w:cs="Times New Roman"/>
          <w:sz w:val="24"/>
          <w:szCs w:val="24"/>
        </w:rPr>
        <w:t>(Mohsin and Kamal 2012)</w:t>
      </w:r>
      <w:r w:rsidR="000135AD" w:rsidRPr="0060772A">
        <w:rPr>
          <w:rFonts w:ascii="Times New Roman" w:hAnsi="Times New Roman" w:cs="Times New Roman"/>
          <w:sz w:val="24"/>
          <w:szCs w:val="24"/>
        </w:rPr>
        <w:t xml:space="preserve">. </w:t>
      </w:r>
    </w:p>
    <w:p w14:paraId="7B1C7CB7" w14:textId="4B0BD900" w:rsidR="000135AD" w:rsidRDefault="001E045F" w:rsidP="002625F4">
      <w:pPr>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sz w:val="24"/>
          <w:szCs w:val="24"/>
        </w:rPr>
        <w:t>Malaysian government has taken longer term vision to make its</w:t>
      </w:r>
      <w:r w:rsidR="005F725A" w:rsidRPr="0060772A">
        <w:rPr>
          <w:rFonts w:ascii="Times New Roman" w:hAnsi="Times New Roman" w:cs="Times New Roman"/>
          <w:sz w:val="24"/>
          <w:szCs w:val="24"/>
        </w:rPr>
        <w:t xml:space="preserve"> higher education institutions </w:t>
      </w:r>
      <w:r w:rsidRPr="0060772A">
        <w:rPr>
          <w:rFonts w:ascii="Times New Roman" w:hAnsi="Times New Roman" w:cs="Times New Roman"/>
          <w:sz w:val="24"/>
          <w:szCs w:val="24"/>
        </w:rPr>
        <w:t xml:space="preserve">responding to the global challenges in international higher education which included: widening access and quality, improving the quality of teaching and learning, enhancing research and innovation, strengthening institution of higher education, and life-long learning, and finally reinforcing the higher education delivery </w:t>
      </w:r>
      <w:r w:rsidR="00202A12" w:rsidRPr="0060772A">
        <w:rPr>
          <w:rFonts w:ascii="Times New Roman" w:hAnsi="Times New Roman" w:cs="Times New Roman"/>
          <w:sz w:val="24"/>
          <w:szCs w:val="24"/>
        </w:rPr>
        <w:t>system (</w:t>
      </w:r>
      <w:r w:rsidRPr="0060772A">
        <w:rPr>
          <w:rFonts w:ascii="Times New Roman" w:hAnsi="Times New Roman" w:cs="Times New Roman"/>
          <w:sz w:val="24"/>
          <w:szCs w:val="24"/>
        </w:rPr>
        <w:t>Malaysian Higher Education Strategic plan, 2020). Noteworthy MyBrain15 initiative taken by the Malaysian government is a financing scheme under the Ministry of Higher Education (MOHE) aiming to expand its  globally competitive human capital  for  enhancing research, development and innovation by 2020 (OECD, 2011</w:t>
      </w:r>
      <w:r w:rsidR="006B22DC">
        <w:rPr>
          <w:rFonts w:ascii="Times New Roman" w:hAnsi="Times New Roman" w:cs="Times New Roman"/>
          <w:sz w:val="24"/>
          <w:szCs w:val="24"/>
        </w:rPr>
        <w:t>; cited in Mohsin and Kamal 2012</w:t>
      </w:r>
      <w:r w:rsidRPr="0060772A">
        <w:rPr>
          <w:rFonts w:ascii="Times New Roman" w:hAnsi="Times New Roman" w:cs="Times New Roman"/>
          <w:sz w:val="24"/>
          <w:szCs w:val="24"/>
        </w:rPr>
        <w:t>).</w:t>
      </w:r>
      <w:r w:rsidR="001844C8" w:rsidRPr="0060772A">
        <w:rPr>
          <w:rFonts w:ascii="Times New Roman" w:hAnsi="Times New Roman" w:cs="Times New Roman"/>
          <w:sz w:val="24"/>
          <w:szCs w:val="24"/>
        </w:rPr>
        <w:t xml:space="preserve"> </w:t>
      </w:r>
      <w:r w:rsidR="000135AD" w:rsidRPr="0060772A">
        <w:rPr>
          <w:rFonts w:ascii="Times New Roman" w:hAnsi="Times New Roman" w:cs="Times New Roman"/>
          <w:sz w:val="24"/>
          <w:szCs w:val="24"/>
        </w:rPr>
        <w:t>The Malaysian government have also facilitated   setting up of branch campuses of UK and Australian universities to encourage twinning program where students can study in both local and overseas campuses to complete their degrees (Goi</w:t>
      </w:r>
      <w:r w:rsidR="00736E06">
        <w:rPr>
          <w:rFonts w:ascii="Times New Roman" w:hAnsi="Times New Roman" w:cs="Times New Roman"/>
          <w:sz w:val="24"/>
          <w:szCs w:val="24"/>
        </w:rPr>
        <w:t xml:space="preserve"> and Goi</w:t>
      </w:r>
      <w:r w:rsidR="000135AD" w:rsidRPr="0060772A">
        <w:rPr>
          <w:rFonts w:ascii="Times New Roman" w:hAnsi="Times New Roman" w:cs="Times New Roman"/>
          <w:sz w:val="24"/>
          <w:szCs w:val="24"/>
        </w:rPr>
        <w:t xml:space="preserve">, 2009; MOK, 2011). </w:t>
      </w:r>
    </w:p>
    <w:p w14:paraId="65FEAB66" w14:textId="77777777" w:rsidR="00C25381" w:rsidRDefault="00C25381" w:rsidP="002625F4">
      <w:pPr>
        <w:spacing w:after="240" w:line="276" w:lineRule="auto"/>
        <w:ind w:firstLine="720"/>
        <w:jc w:val="both"/>
        <w:rPr>
          <w:rFonts w:ascii="Times New Roman" w:hAnsi="Times New Roman" w:cs="Times New Roman"/>
          <w:sz w:val="24"/>
          <w:szCs w:val="24"/>
        </w:rPr>
      </w:pPr>
    </w:p>
    <w:p w14:paraId="76026628" w14:textId="77777777" w:rsidR="00C25381" w:rsidRPr="0060772A" w:rsidRDefault="00C25381" w:rsidP="002625F4">
      <w:pPr>
        <w:spacing w:after="240" w:line="276" w:lineRule="auto"/>
        <w:ind w:firstLine="720"/>
        <w:jc w:val="both"/>
        <w:rPr>
          <w:rFonts w:ascii="Times New Roman" w:hAnsi="Times New Roman" w:cs="Times New Roman"/>
          <w:sz w:val="24"/>
          <w:szCs w:val="24"/>
        </w:rPr>
      </w:pPr>
    </w:p>
    <w:p w14:paraId="209DD9AB" w14:textId="5C9743B9" w:rsidR="00385539" w:rsidRPr="0060772A" w:rsidRDefault="005B72F6" w:rsidP="002625F4">
      <w:pPr>
        <w:pStyle w:val="ListParagraph"/>
        <w:numPr>
          <w:ilvl w:val="1"/>
          <w:numId w:val="13"/>
        </w:numPr>
        <w:spacing w:after="240" w:line="276" w:lineRule="auto"/>
        <w:jc w:val="both"/>
        <w:rPr>
          <w:rFonts w:ascii="Times New Roman" w:hAnsi="Times New Roman" w:cs="Times New Roman"/>
          <w:b/>
          <w:sz w:val="24"/>
          <w:szCs w:val="24"/>
        </w:rPr>
      </w:pPr>
      <w:r w:rsidRPr="0060772A">
        <w:rPr>
          <w:rFonts w:ascii="Times New Roman" w:hAnsi="Times New Roman" w:cs="Times New Roman"/>
          <w:b/>
          <w:sz w:val="24"/>
          <w:szCs w:val="24"/>
        </w:rPr>
        <w:lastRenderedPageBreak/>
        <w:t>Global Transformation</w:t>
      </w:r>
      <w:r w:rsidR="001844C8" w:rsidRPr="0060772A">
        <w:rPr>
          <w:rFonts w:ascii="Times New Roman" w:hAnsi="Times New Roman" w:cs="Times New Roman"/>
          <w:b/>
          <w:sz w:val="24"/>
          <w:szCs w:val="24"/>
        </w:rPr>
        <w:t xml:space="preserve"> in </w:t>
      </w:r>
      <w:r w:rsidR="008A562B" w:rsidRPr="0060772A">
        <w:rPr>
          <w:rFonts w:ascii="Times New Roman" w:hAnsi="Times New Roman" w:cs="Times New Roman"/>
          <w:b/>
          <w:sz w:val="24"/>
          <w:szCs w:val="24"/>
        </w:rPr>
        <w:t xml:space="preserve">Higher </w:t>
      </w:r>
      <w:r w:rsidR="001844C8" w:rsidRPr="0060772A">
        <w:rPr>
          <w:rFonts w:ascii="Times New Roman" w:hAnsi="Times New Roman" w:cs="Times New Roman"/>
          <w:b/>
          <w:sz w:val="24"/>
          <w:szCs w:val="24"/>
        </w:rPr>
        <w:t>Education</w:t>
      </w:r>
      <w:r w:rsidRPr="0060772A">
        <w:rPr>
          <w:rFonts w:ascii="Times New Roman" w:hAnsi="Times New Roman" w:cs="Times New Roman"/>
          <w:b/>
          <w:sz w:val="24"/>
          <w:szCs w:val="24"/>
        </w:rPr>
        <w:t xml:space="preserve"> </w:t>
      </w:r>
    </w:p>
    <w:p w14:paraId="70D3F064" w14:textId="75A43EF9" w:rsidR="001844C8" w:rsidRPr="0060772A" w:rsidRDefault="001844C8" w:rsidP="00680585">
      <w:pPr>
        <w:spacing w:after="240" w:line="276" w:lineRule="auto"/>
        <w:jc w:val="both"/>
        <w:rPr>
          <w:rFonts w:ascii="Times New Roman" w:hAnsi="Times New Roman" w:cs="Times New Roman"/>
          <w:sz w:val="24"/>
          <w:szCs w:val="24"/>
        </w:rPr>
      </w:pPr>
      <w:r w:rsidRPr="0060772A">
        <w:rPr>
          <w:rFonts w:ascii="Times New Roman" w:hAnsi="Times New Roman" w:cs="Times New Roman"/>
          <w:sz w:val="24"/>
          <w:szCs w:val="24"/>
        </w:rPr>
        <w:t xml:space="preserve">A new educational paradigm has been created with the advancement of technology and growth of internet. The latter has transformed open learning environment offering innovation in development of knowledge, its dissemination as well as utilization in case of teaching and learning as well as research. The OER originates from higher education </w:t>
      </w:r>
      <w:r w:rsidR="008A562B" w:rsidRPr="0060772A">
        <w:rPr>
          <w:rFonts w:ascii="Times New Roman" w:hAnsi="Times New Roman" w:cs="Times New Roman"/>
          <w:sz w:val="24"/>
          <w:szCs w:val="24"/>
        </w:rPr>
        <w:t>institutes that include</w:t>
      </w:r>
      <w:r w:rsidRPr="0060772A">
        <w:rPr>
          <w:rFonts w:ascii="Times New Roman" w:hAnsi="Times New Roman" w:cs="Times New Roman"/>
          <w:sz w:val="24"/>
          <w:szCs w:val="24"/>
        </w:rPr>
        <w:t xml:space="preserve"> textbook, reading materials, any learning contents; simulations, games, other learning applications; syllabi, quizzes and assessment tools or any other materials suitable for educational purposes. The famous OER initiatives around the world are, according to Watters(2010), open education consortium, MIT open courseware, Khan Academy, PSPU, Open Study, Nitxy, OER glue, iUniv, OCWSearch, smartshistory, CK-12, Flat World Knowledge and </w:t>
      </w:r>
      <w:r w:rsidR="00B6144C" w:rsidRPr="0060772A">
        <w:rPr>
          <w:rFonts w:ascii="Times New Roman" w:hAnsi="Times New Roman" w:cs="Times New Roman"/>
          <w:sz w:val="24"/>
          <w:szCs w:val="24"/>
        </w:rPr>
        <w:t>Connexions</w:t>
      </w:r>
      <w:r w:rsidRPr="0060772A">
        <w:rPr>
          <w:rFonts w:ascii="Times New Roman" w:hAnsi="Times New Roman" w:cs="Times New Roman"/>
          <w:sz w:val="24"/>
          <w:szCs w:val="24"/>
        </w:rPr>
        <w:t>- these platforms could cover diverse group of learners offering excellence in teaching and learning.</w:t>
      </w:r>
    </w:p>
    <w:p w14:paraId="0A8FB91E" w14:textId="5475753F" w:rsidR="006D26FD" w:rsidRPr="0060772A" w:rsidRDefault="006117C1" w:rsidP="002625F4">
      <w:pPr>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sz w:val="24"/>
          <w:szCs w:val="24"/>
        </w:rPr>
        <w:t>It is apprehended by many that traditional universities (relying on class-room based system) may become obsolete by the advancement of information technology and technology based distance education.  There has been huge disco</w:t>
      </w:r>
      <w:r w:rsidR="00B6144C">
        <w:rPr>
          <w:rFonts w:ascii="Times New Roman" w:hAnsi="Times New Roman" w:cs="Times New Roman"/>
          <w:sz w:val="24"/>
          <w:szCs w:val="24"/>
        </w:rPr>
        <w:t xml:space="preserve">nnect till date between use of </w:t>
      </w:r>
      <w:r w:rsidRPr="0060772A">
        <w:rPr>
          <w:rFonts w:ascii="Times New Roman" w:hAnsi="Times New Roman" w:cs="Times New Roman"/>
          <w:sz w:val="24"/>
          <w:szCs w:val="24"/>
        </w:rPr>
        <w:t xml:space="preserve">ICT based education and quality enhancement. </w:t>
      </w:r>
      <w:r w:rsidR="006D26FD" w:rsidRPr="0060772A">
        <w:rPr>
          <w:rFonts w:ascii="Times New Roman" w:hAnsi="Times New Roman" w:cs="Times New Roman"/>
          <w:sz w:val="24"/>
          <w:szCs w:val="24"/>
        </w:rPr>
        <w:t>Internationally development in science and technology have had huge impact on education sector with an overall paradigm shift in higher education (Rena 2010);this implies shifts from national to global education, state sponsored  to open market system,  general education to market driven  education , and from teachers’  to learners’ centred education. All these pose greater challenges for an education system that would rely on old practices to expand education without much focusing on q</w:t>
      </w:r>
      <w:r w:rsidR="000609AB" w:rsidRPr="0060772A">
        <w:rPr>
          <w:rFonts w:ascii="Times New Roman" w:hAnsi="Times New Roman" w:cs="Times New Roman"/>
          <w:sz w:val="24"/>
          <w:szCs w:val="24"/>
        </w:rPr>
        <w:t xml:space="preserve">uality without recognising the </w:t>
      </w:r>
      <w:r w:rsidR="006D26FD" w:rsidRPr="0060772A">
        <w:rPr>
          <w:rFonts w:ascii="Times New Roman" w:hAnsi="Times New Roman" w:cs="Times New Roman"/>
          <w:sz w:val="24"/>
          <w:szCs w:val="24"/>
        </w:rPr>
        <w:t xml:space="preserve">internationalisation and setting out priorities. </w:t>
      </w:r>
    </w:p>
    <w:p w14:paraId="0E89A1A5" w14:textId="5A288FC4" w:rsidR="00EC4B77" w:rsidRPr="0060772A" w:rsidRDefault="00565AF7" w:rsidP="002625F4">
      <w:pPr>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sz w:val="24"/>
          <w:szCs w:val="24"/>
        </w:rPr>
        <w:t>Higher education system worldwide has embraced MOOC to facilitate open learning achieving excellence in o</w:t>
      </w:r>
      <w:r w:rsidR="00DF585C" w:rsidRPr="0060772A">
        <w:rPr>
          <w:rFonts w:ascii="Times New Roman" w:hAnsi="Times New Roman" w:cs="Times New Roman"/>
          <w:sz w:val="24"/>
          <w:szCs w:val="24"/>
        </w:rPr>
        <w:t xml:space="preserve">verall higher education </w:t>
      </w:r>
      <w:r w:rsidR="007708FC" w:rsidRPr="0060772A">
        <w:rPr>
          <w:rFonts w:ascii="Times New Roman" w:hAnsi="Times New Roman" w:cs="Times New Roman"/>
          <w:sz w:val="24"/>
          <w:szCs w:val="24"/>
        </w:rPr>
        <w:t>system, which allows</w:t>
      </w:r>
      <w:r w:rsidRPr="0060772A">
        <w:rPr>
          <w:rFonts w:ascii="Times New Roman" w:hAnsi="Times New Roman" w:cs="Times New Roman"/>
          <w:sz w:val="24"/>
          <w:szCs w:val="24"/>
        </w:rPr>
        <w:t xml:space="preserve"> a massive amount of learners to learn on an open and</w:t>
      </w:r>
      <w:r w:rsidR="00DF585C" w:rsidRPr="0060772A">
        <w:rPr>
          <w:rFonts w:ascii="Times New Roman" w:hAnsi="Times New Roman" w:cs="Times New Roman"/>
          <w:sz w:val="24"/>
          <w:szCs w:val="24"/>
        </w:rPr>
        <w:t xml:space="preserve"> on-line learning environment (</w:t>
      </w:r>
      <w:r w:rsidRPr="0060772A">
        <w:rPr>
          <w:rFonts w:ascii="Times New Roman" w:hAnsi="Times New Roman" w:cs="Times New Roman"/>
          <w:sz w:val="24"/>
          <w:szCs w:val="24"/>
        </w:rPr>
        <w:t>Gover et al., 2013).</w:t>
      </w:r>
      <w:r w:rsidR="00DF585C" w:rsidRPr="0060772A">
        <w:rPr>
          <w:rFonts w:ascii="Times New Roman" w:hAnsi="Times New Roman" w:cs="Times New Roman"/>
          <w:sz w:val="24"/>
          <w:szCs w:val="24"/>
        </w:rPr>
        <w:t xml:space="preserve"> </w:t>
      </w:r>
      <w:r w:rsidR="006117C1" w:rsidRPr="0060772A">
        <w:rPr>
          <w:rFonts w:ascii="Times New Roman" w:hAnsi="Times New Roman" w:cs="Times New Roman"/>
          <w:sz w:val="24"/>
          <w:szCs w:val="24"/>
        </w:rPr>
        <w:t xml:space="preserve">For example, India has launched an India specific MOOC platform known as </w:t>
      </w:r>
      <w:r w:rsidR="006117C1" w:rsidRPr="00B6144C">
        <w:rPr>
          <w:rFonts w:ascii="Times New Roman" w:hAnsi="Times New Roman" w:cs="Times New Roman"/>
          <w:i/>
          <w:sz w:val="24"/>
          <w:szCs w:val="24"/>
        </w:rPr>
        <w:t>Swayam</w:t>
      </w:r>
      <w:r w:rsidR="006117C1" w:rsidRPr="0060772A">
        <w:rPr>
          <w:rFonts w:ascii="Times New Roman" w:hAnsi="Times New Roman" w:cs="Times New Roman"/>
          <w:sz w:val="24"/>
          <w:szCs w:val="24"/>
        </w:rPr>
        <w:t xml:space="preserve"> that promotes self-learning by offering top quality online courses in number of Indian languages.</w:t>
      </w:r>
      <w:r w:rsidR="00EC4B77" w:rsidRPr="0060772A">
        <w:rPr>
          <w:rFonts w:ascii="Times New Roman" w:hAnsi="Times New Roman" w:cs="Times New Roman"/>
          <w:sz w:val="24"/>
          <w:szCs w:val="24"/>
        </w:rPr>
        <w:t xml:space="preserve"> The national knowledge commission recommend addressing the paucity of high quality teachers, inadequate infrastructure of the universities particularly libraries, quality of educational resources offered in educational institution by facilitating more open access (OA) and Open educational resources (OER).</w:t>
      </w:r>
    </w:p>
    <w:p w14:paraId="60495302" w14:textId="783032AA" w:rsidR="006117C1" w:rsidRPr="0060772A" w:rsidRDefault="006117C1" w:rsidP="002625F4">
      <w:pPr>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sz w:val="24"/>
          <w:szCs w:val="24"/>
        </w:rPr>
        <w:t>Malaysian government for example outlines a blue print (2013-2025) for achieving excellence in higher education system in the country</w:t>
      </w:r>
      <w:r w:rsidR="000A6636">
        <w:rPr>
          <w:rFonts w:ascii="Times New Roman" w:hAnsi="Times New Roman" w:cs="Times New Roman"/>
          <w:sz w:val="24"/>
          <w:szCs w:val="24"/>
        </w:rPr>
        <w:t xml:space="preserve"> (see Nordin et al 2015 for detail)</w:t>
      </w:r>
      <w:r w:rsidRPr="0060772A">
        <w:rPr>
          <w:rFonts w:ascii="Times New Roman" w:hAnsi="Times New Roman" w:cs="Times New Roman"/>
          <w:sz w:val="24"/>
          <w:szCs w:val="24"/>
        </w:rPr>
        <w:t>. These include creating 1) holistic, entrepreneurial and balance graduates, talent excellence, nation of life</w:t>
      </w:r>
      <w:r w:rsidR="00565AF7" w:rsidRPr="0060772A">
        <w:rPr>
          <w:rFonts w:ascii="Times New Roman" w:hAnsi="Times New Roman" w:cs="Times New Roman"/>
          <w:sz w:val="24"/>
          <w:szCs w:val="24"/>
        </w:rPr>
        <w:t>-</w:t>
      </w:r>
      <w:r w:rsidRPr="0060772A">
        <w:rPr>
          <w:rFonts w:ascii="Times New Roman" w:hAnsi="Times New Roman" w:cs="Times New Roman"/>
          <w:sz w:val="24"/>
          <w:szCs w:val="24"/>
        </w:rPr>
        <w:t>long learning, quality TVET graduate, financial sustainability, empowered governance, innovation ecosystem, global prominence, globalized on-line learning and transformed higher education delivery.</w:t>
      </w:r>
      <w:r w:rsidR="00EC4B77" w:rsidRPr="0060772A">
        <w:rPr>
          <w:rFonts w:ascii="Times New Roman" w:hAnsi="Times New Roman" w:cs="Times New Roman"/>
          <w:sz w:val="24"/>
          <w:szCs w:val="24"/>
        </w:rPr>
        <w:t xml:space="preserve"> </w:t>
      </w:r>
      <w:r w:rsidRPr="0060772A">
        <w:rPr>
          <w:rFonts w:ascii="Times New Roman" w:hAnsi="Times New Roman" w:cs="Times New Roman"/>
          <w:sz w:val="24"/>
          <w:szCs w:val="24"/>
        </w:rPr>
        <w:t xml:space="preserve">The </w:t>
      </w:r>
      <w:r w:rsidR="00565AF7" w:rsidRPr="0060772A">
        <w:rPr>
          <w:rFonts w:ascii="Times New Roman" w:hAnsi="Times New Roman" w:cs="Times New Roman"/>
          <w:sz w:val="24"/>
          <w:szCs w:val="24"/>
        </w:rPr>
        <w:t>Malaysian</w:t>
      </w:r>
      <w:r w:rsidRPr="0060772A">
        <w:rPr>
          <w:rFonts w:ascii="Times New Roman" w:hAnsi="Times New Roman" w:cs="Times New Roman"/>
          <w:sz w:val="24"/>
          <w:szCs w:val="24"/>
        </w:rPr>
        <w:t xml:space="preserve"> government has initiated and developed Malaysia MOOC in </w:t>
      </w:r>
      <w:r w:rsidR="00CE44E6" w:rsidRPr="0060772A">
        <w:rPr>
          <w:rFonts w:ascii="Times New Roman" w:hAnsi="Times New Roman" w:cs="Times New Roman"/>
          <w:sz w:val="24"/>
          <w:szCs w:val="24"/>
        </w:rPr>
        <w:t>col</w:t>
      </w:r>
      <w:r w:rsidR="00CE44E6">
        <w:rPr>
          <w:rFonts w:ascii="Times New Roman" w:hAnsi="Times New Roman" w:cs="Times New Roman"/>
          <w:sz w:val="24"/>
          <w:szCs w:val="24"/>
        </w:rPr>
        <w:t>labora</w:t>
      </w:r>
      <w:r w:rsidR="00CE44E6" w:rsidRPr="0060772A">
        <w:rPr>
          <w:rFonts w:ascii="Times New Roman" w:hAnsi="Times New Roman" w:cs="Times New Roman"/>
          <w:sz w:val="24"/>
          <w:szCs w:val="24"/>
        </w:rPr>
        <w:t>tion</w:t>
      </w:r>
      <w:r w:rsidRPr="0060772A">
        <w:rPr>
          <w:rFonts w:ascii="Times New Roman" w:hAnsi="Times New Roman" w:cs="Times New Roman"/>
          <w:sz w:val="24"/>
          <w:szCs w:val="24"/>
        </w:rPr>
        <w:t xml:space="preserve"> with selected local public universities. The government has developed national e-</w:t>
      </w:r>
      <w:r w:rsidRPr="0060772A">
        <w:rPr>
          <w:rFonts w:ascii="Times New Roman" w:hAnsi="Times New Roman" w:cs="Times New Roman"/>
          <w:sz w:val="24"/>
          <w:szCs w:val="24"/>
        </w:rPr>
        <w:lastRenderedPageBreak/>
        <w:t xml:space="preserve">learning policy, which </w:t>
      </w:r>
      <w:r w:rsidR="00CE44E6" w:rsidRPr="0060772A">
        <w:rPr>
          <w:rFonts w:ascii="Times New Roman" w:hAnsi="Times New Roman" w:cs="Times New Roman"/>
          <w:sz w:val="24"/>
          <w:szCs w:val="24"/>
        </w:rPr>
        <w:t>are</w:t>
      </w:r>
      <w:r w:rsidRPr="0060772A">
        <w:rPr>
          <w:rFonts w:ascii="Times New Roman" w:hAnsi="Times New Roman" w:cs="Times New Roman"/>
          <w:sz w:val="24"/>
          <w:szCs w:val="24"/>
        </w:rPr>
        <w:t xml:space="preserve"> subject to revision every three /five years, focusing on infrastructure and infostructure, governance, pedagogy online, e-content, professional development and enculturation. The internet penetration level in Malaysia </w:t>
      </w:r>
      <w:r w:rsidR="00565AF7" w:rsidRPr="0060772A">
        <w:rPr>
          <w:rFonts w:ascii="Times New Roman" w:hAnsi="Times New Roman" w:cs="Times New Roman"/>
          <w:sz w:val="24"/>
          <w:szCs w:val="24"/>
        </w:rPr>
        <w:t>(</w:t>
      </w:r>
      <w:r w:rsidRPr="0060772A">
        <w:rPr>
          <w:rFonts w:ascii="Times New Roman" w:hAnsi="Times New Roman" w:cs="Times New Roman"/>
          <w:sz w:val="24"/>
          <w:szCs w:val="24"/>
        </w:rPr>
        <w:t xml:space="preserve">67%) supports to harness the potential of on-line learning. The global on-line learning initiative of the </w:t>
      </w:r>
      <w:r w:rsidR="00EC4B77" w:rsidRPr="0060772A">
        <w:rPr>
          <w:rFonts w:ascii="Times New Roman" w:hAnsi="Times New Roman" w:cs="Times New Roman"/>
          <w:sz w:val="24"/>
          <w:szCs w:val="24"/>
        </w:rPr>
        <w:t>Malaysian</w:t>
      </w:r>
      <w:r w:rsidRPr="0060772A">
        <w:rPr>
          <w:rFonts w:ascii="Times New Roman" w:hAnsi="Times New Roman" w:cs="Times New Roman"/>
          <w:sz w:val="24"/>
          <w:szCs w:val="24"/>
        </w:rPr>
        <w:t xml:space="preserve"> government includes launching of MOOCs in distinctive subjects in partnership with to quality international MOOC consortiums such as EdX and Coursera in order to build the country’s global brand</w:t>
      </w:r>
      <w:r w:rsidR="000A6636">
        <w:rPr>
          <w:rFonts w:ascii="Times New Roman" w:hAnsi="Times New Roman" w:cs="Times New Roman"/>
          <w:sz w:val="24"/>
          <w:szCs w:val="24"/>
        </w:rPr>
        <w:t xml:space="preserve"> (</w:t>
      </w:r>
      <w:r w:rsidR="00B6144C">
        <w:rPr>
          <w:rFonts w:ascii="Times New Roman" w:hAnsi="Times New Roman" w:cs="Times New Roman"/>
          <w:sz w:val="24"/>
          <w:szCs w:val="24"/>
        </w:rPr>
        <w:t xml:space="preserve">Nordin </w:t>
      </w:r>
      <w:r w:rsidR="000A6636">
        <w:rPr>
          <w:rFonts w:ascii="Times New Roman" w:hAnsi="Times New Roman" w:cs="Times New Roman"/>
          <w:sz w:val="24"/>
          <w:szCs w:val="24"/>
        </w:rPr>
        <w:t>et al</w:t>
      </w:r>
      <w:r w:rsidR="00B6144C">
        <w:rPr>
          <w:rFonts w:ascii="Times New Roman" w:hAnsi="Times New Roman" w:cs="Times New Roman"/>
          <w:sz w:val="24"/>
          <w:szCs w:val="24"/>
        </w:rPr>
        <w:t>.</w:t>
      </w:r>
      <w:r w:rsidR="000A6636">
        <w:rPr>
          <w:rFonts w:ascii="Times New Roman" w:hAnsi="Times New Roman" w:cs="Times New Roman"/>
          <w:sz w:val="24"/>
          <w:szCs w:val="24"/>
        </w:rPr>
        <w:t xml:space="preserve"> 2015)</w:t>
      </w:r>
      <w:r w:rsidRPr="0060772A">
        <w:rPr>
          <w:rFonts w:ascii="Times New Roman" w:hAnsi="Times New Roman" w:cs="Times New Roman"/>
          <w:sz w:val="24"/>
          <w:szCs w:val="24"/>
        </w:rPr>
        <w:t>.</w:t>
      </w:r>
      <w:r w:rsidR="00B6144C">
        <w:rPr>
          <w:rFonts w:ascii="Times New Roman" w:hAnsi="Times New Roman" w:cs="Times New Roman"/>
          <w:sz w:val="24"/>
          <w:szCs w:val="24"/>
        </w:rPr>
        <w:t xml:space="preserve"> </w:t>
      </w:r>
      <w:r w:rsidRPr="0060772A">
        <w:rPr>
          <w:rFonts w:ascii="Times New Roman" w:hAnsi="Times New Roman" w:cs="Times New Roman"/>
          <w:sz w:val="24"/>
          <w:szCs w:val="24"/>
        </w:rPr>
        <w:t xml:space="preserve">Japanese traditional universities started open courseware consortium (JOCW) in 2005 and its OER movements were led by a network of private universities. Japanese top class universities started MOOC projects in </w:t>
      </w:r>
      <w:r w:rsidR="00B6144C" w:rsidRPr="0060772A">
        <w:rPr>
          <w:rFonts w:ascii="Times New Roman" w:hAnsi="Times New Roman" w:cs="Times New Roman"/>
          <w:sz w:val="24"/>
          <w:szCs w:val="24"/>
        </w:rPr>
        <w:t>col</w:t>
      </w:r>
      <w:r w:rsidR="00B6144C">
        <w:rPr>
          <w:rFonts w:ascii="Times New Roman" w:hAnsi="Times New Roman" w:cs="Times New Roman"/>
          <w:sz w:val="24"/>
          <w:szCs w:val="24"/>
        </w:rPr>
        <w:t>labora</w:t>
      </w:r>
      <w:r w:rsidR="00B6144C" w:rsidRPr="0060772A">
        <w:rPr>
          <w:rFonts w:ascii="Times New Roman" w:hAnsi="Times New Roman" w:cs="Times New Roman"/>
          <w:sz w:val="24"/>
          <w:szCs w:val="24"/>
        </w:rPr>
        <w:t>tion</w:t>
      </w:r>
      <w:r w:rsidRPr="0060772A">
        <w:rPr>
          <w:rFonts w:ascii="Times New Roman" w:hAnsi="Times New Roman" w:cs="Times New Roman"/>
          <w:sz w:val="24"/>
          <w:szCs w:val="24"/>
        </w:rPr>
        <w:t xml:space="preserve"> with international consortium such as Coursera and </w:t>
      </w:r>
      <w:proofErr w:type="spellStart"/>
      <w:r w:rsidRPr="0060772A">
        <w:rPr>
          <w:rFonts w:ascii="Times New Roman" w:hAnsi="Times New Roman" w:cs="Times New Roman"/>
          <w:sz w:val="24"/>
          <w:szCs w:val="24"/>
        </w:rPr>
        <w:t>edX</w:t>
      </w:r>
      <w:proofErr w:type="spellEnd"/>
      <w:r w:rsidRPr="0060772A">
        <w:rPr>
          <w:rFonts w:ascii="Times New Roman" w:hAnsi="Times New Roman" w:cs="Times New Roman"/>
          <w:sz w:val="24"/>
          <w:szCs w:val="24"/>
        </w:rPr>
        <w:t xml:space="preserve"> and initiated </w:t>
      </w:r>
      <w:r w:rsidR="00CE44E6" w:rsidRPr="0060772A">
        <w:rPr>
          <w:rFonts w:ascii="Times New Roman" w:hAnsi="Times New Roman" w:cs="Times New Roman"/>
          <w:sz w:val="24"/>
          <w:szCs w:val="24"/>
        </w:rPr>
        <w:t>JMOOC</w:t>
      </w:r>
      <w:r w:rsidR="00CE44E6">
        <w:rPr>
          <w:rFonts w:ascii="Times New Roman" w:hAnsi="Times New Roman" w:cs="Times New Roman"/>
          <w:sz w:val="24"/>
          <w:szCs w:val="24"/>
        </w:rPr>
        <w:t xml:space="preserve"> (Yamada</w:t>
      </w:r>
      <w:r w:rsidR="000A6636">
        <w:rPr>
          <w:rFonts w:ascii="Times New Roman" w:hAnsi="Times New Roman" w:cs="Times New Roman"/>
          <w:sz w:val="24"/>
          <w:szCs w:val="24"/>
        </w:rPr>
        <w:t xml:space="preserve"> 2015)</w:t>
      </w:r>
      <w:r w:rsidRPr="0060772A">
        <w:rPr>
          <w:rFonts w:ascii="Times New Roman" w:hAnsi="Times New Roman" w:cs="Times New Roman"/>
          <w:sz w:val="24"/>
          <w:szCs w:val="24"/>
        </w:rPr>
        <w:t>.</w:t>
      </w:r>
    </w:p>
    <w:p w14:paraId="780267CA" w14:textId="7D29FF48" w:rsidR="006117C1" w:rsidRPr="0060772A" w:rsidRDefault="006117C1" w:rsidP="002625F4">
      <w:pPr>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sz w:val="24"/>
          <w:szCs w:val="24"/>
        </w:rPr>
        <w:t>Chinese government promulgated policies towards education digitization (e.g. 10 year Education Digitization Development Plan 2011-2020, which outline that education cloud network, training information technology talents and building information management system.</w:t>
      </w:r>
      <w:r w:rsidR="000A6636">
        <w:rPr>
          <w:rStyle w:val="FootnoteReference"/>
          <w:rFonts w:ascii="Times New Roman" w:hAnsi="Times New Roman" w:cs="Times New Roman"/>
          <w:sz w:val="24"/>
          <w:szCs w:val="24"/>
        </w:rPr>
        <w:footnoteReference w:id="5"/>
      </w:r>
      <w:r w:rsidRPr="0060772A">
        <w:rPr>
          <w:rFonts w:ascii="Times New Roman" w:hAnsi="Times New Roman" w:cs="Times New Roman"/>
          <w:sz w:val="24"/>
          <w:szCs w:val="24"/>
        </w:rPr>
        <w:t xml:space="preserve"> In July 2012, MOE issued the Twelfth Five Year Plan of national education development and proposed the realisation of education modernisation and building of a learning society by the year 2020 by entering the ranks of powerful countries rich in human resources- thus promoting </w:t>
      </w:r>
      <w:r w:rsidR="00680585">
        <w:rPr>
          <w:rFonts w:ascii="Times New Roman" w:hAnsi="Times New Roman" w:cs="Times New Roman"/>
          <w:sz w:val="24"/>
          <w:szCs w:val="24"/>
        </w:rPr>
        <w:t xml:space="preserve">on-line education development. </w:t>
      </w:r>
      <w:r w:rsidRPr="0060772A">
        <w:rPr>
          <w:rFonts w:ascii="Times New Roman" w:hAnsi="Times New Roman" w:cs="Times New Roman"/>
          <w:sz w:val="24"/>
          <w:szCs w:val="24"/>
        </w:rPr>
        <w:t>In 2014 Chinese state council decided to accelerate the development of vocational education – a world class vocational education system with Chinese characteristics shall be developed for the adaptation of development needs, the deep integration of industry with teaching, the connection between secondary and tertiary vocational education and the intercommunication of vocational and regular education embodying the concept of life long education. In 2013 the state council issued the broad band China strategy and implementation scheme to strengthen strategic guidance, systematic development and the fast and sound development of broad bank infrastructure in China- the kind of  policy support that is expected ultimately to enrich online education</w:t>
      </w:r>
    </w:p>
    <w:p w14:paraId="0288BEF9" w14:textId="17BB7C09" w:rsidR="002B64D6" w:rsidRPr="0060772A" w:rsidRDefault="008A562B" w:rsidP="00B6144C">
      <w:pPr>
        <w:tabs>
          <w:tab w:val="left" w:pos="2760"/>
        </w:tabs>
        <w:spacing w:after="240" w:line="276" w:lineRule="auto"/>
        <w:jc w:val="both"/>
        <w:rPr>
          <w:rFonts w:ascii="Times New Roman" w:hAnsi="Times New Roman" w:cs="Times New Roman"/>
          <w:b/>
          <w:sz w:val="24"/>
          <w:szCs w:val="24"/>
        </w:rPr>
      </w:pPr>
      <w:r w:rsidRPr="0060772A">
        <w:rPr>
          <w:rFonts w:ascii="Times New Roman" w:hAnsi="Times New Roman" w:cs="Times New Roman"/>
          <w:b/>
          <w:sz w:val="24"/>
          <w:szCs w:val="24"/>
        </w:rPr>
        <w:t>6</w:t>
      </w:r>
      <w:r w:rsidR="00CE02F4" w:rsidRPr="0060772A">
        <w:rPr>
          <w:rFonts w:ascii="Times New Roman" w:hAnsi="Times New Roman" w:cs="Times New Roman"/>
          <w:b/>
          <w:sz w:val="24"/>
          <w:szCs w:val="24"/>
        </w:rPr>
        <w:t xml:space="preserve">.3 </w:t>
      </w:r>
      <w:r w:rsidR="00DF585C" w:rsidRPr="0060772A">
        <w:rPr>
          <w:rFonts w:ascii="Times New Roman" w:hAnsi="Times New Roman" w:cs="Times New Roman"/>
          <w:b/>
          <w:sz w:val="24"/>
          <w:szCs w:val="24"/>
        </w:rPr>
        <w:t xml:space="preserve">Emphasis on </w:t>
      </w:r>
      <w:r w:rsidR="001844C8" w:rsidRPr="0060772A">
        <w:rPr>
          <w:rFonts w:ascii="Times New Roman" w:hAnsi="Times New Roman" w:cs="Times New Roman"/>
          <w:b/>
          <w:sz w:val="24"/>
          <w:szCs w:val="24"/>
        </w:rPr>
        <w:t>R</w:t>
      </w:r>
      <w:r w:rsidR="00DF585C" w:rsidRPr="0060772A">
        <w:rPr>
          <w:rFonts w:ascii="Times New Roman" w:hAnsi="Times New Roman" w:cs="Times New Roman"/>
          <w:b/>
          <w:sz w:val="24"/>
          <w:szCs w:val="24"/>
        </w:rPr>
        <w:t xml:space="preserve">esearch </w:t>
      </w:r>
      <w:r w:rsidR="001844C8" w:rsidRPr="0060772A">
        <w:rPr>
          <w:rFonts w:ascii="Times New Roman" w:hAnsi="Times New Roman" w:cs="Times New Roman"/>
          <w:b/>
          <w:sz w:val="24"/>
          <w:szCs w:val="24"/>
        </w:rPr>
        <w:t>U</w:t>
      </w:r>
      <w:r w:rsidR="00FB15ED" w:rsidRPr="0060772A">
        <w:rPr>
          <w:rFonts w:ascii="Times New Roman" w:hAnsi="Times New Roman" w:cs="Times New Roman"/>
          <w:b/>
          <w:sz w:val="24"/>
          <w:szCs w:val="24"/>
        </w:rPr>
        <w:t>niversities</w:t>
      </w:r>
    </w:p>
    <w:p w14:paraId="47D5AB5C" w14:textId="69B4A4B4" w:rsidR="004D5883" w:rsidRDefault="001844C8" w:rsidP="004D5883">
      <w:pPr>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sz w:val="24"/>
          <w:szCs w:val="24"/>
          <w:lang w:val="en-US"/>
        </w:rPr>
        <w:t xml:space="preserve">Research universities are considered as academic institutions “committed to the creation and dissemination of knowledge, in a range of disciplines and fields, and featuring the appropriate </w:t>
      </w:r>
      <w:r w:rsidR="00B6144C">
        <w:rPr>
          <w:rFonts w:ascii="Times New Roman" w:hAnsi="Times New Roman" w:cs="Times New Roman"/>
          <w:sz w:val="24"/>
          <w:szCs w:val="24"/>
          <w:lang w:val="en-US"/>
        </w:rPr>
        <w:t>labora</w:t>
      </w:r>
      <w:r w:rsidR="00B6144C" w:rsidRPr="0060772A">
        <w:rPr>
          <w:rFonts w:ascii="Times New Roman" w:hAnsi="Times New Roman" w:cs="Times New Roman"/>
          <w:sz w:val="24"/>
          <w:szCs w:val="24"/>
          <w:lang w:val="en-US"/>
        </w:rPr>
        <w:t>tories</w:t>
      </w:r>
      <w:r w:rsidRPr="0060772A">
        <w:rPr>
          <w:rFonts w:ascii="Times New Roman" w:hAnsi="Times New Roman" w:cs="Times New Roman"/>
          <w:sz w:val="24"/>
          <w:szCs w:val="24"/>
          <w:lang w:val="en-US"/>
        </w:rPr>
        <w:t xml:space="preserve">, libraries, and other infrastructures that permit teaching and research at the highest possible level.” Importantly, synergies of research and teaching are the “trademark "of research universities and hence understanding the characteristics of the research university and building the infrastructures and the intellectual environment is important. The key to research universities – “communications and networks, journals, libraries,  communities of scholars, conferences and professional organizations, the internet, repositories of knowledge, etc.” Research universities are crucial for “differentiated and effective academic systems”, that facilitates a country’s entry to “global knowledge society” and are “key to the knowledge </w:t>
      </w:r>
      <w:r w:rsidRPr="0060772A">
        <w:rPr>
          <w:rFonts w:ascii="Times New Roman" w:hAnsi="Times New Roman" w:cs="Times New Roman"/>
          <w:sz w:val="24"/>
          <w:szCs w:val="24"/>
          <w:lang w:val="en-US"/>
        </w:rPr>
        <w:lastRenderedPageBreak/>
        <w:t xml:space="preserve">economy.” </w:t>
      </w:r>
      <w:r w:rsidRPr="0060772A">
        <w:rPr>
          <w:rFonts w:ascii="Times New Roman" w:hAnsi="Times New Roman" w:cs="Times New Roman"/>
          <w:sz w:val="24"/>
          <w:szCs w:val="24"/>
        </w:rPr>
        <w:t>For example, the Malaysian government has given four public universities the status of Research University and emphasizes overall internationalization of these universities. These include: Universit</w:t>
      </w:r>
      <w:r w:rsidR="000A6636">
        <w:rPr>
          <w:rFonts w:ascii="Times New Roman" w:hAnsi="Times New Roman" w:cs="Times New Roman"/>
          <w:sz w:val="24"/>
          <w:szCs w:val="24"/>
        </w:rPr>
        <w:t>y of Malaya, USM, UPM, and UKM (cited in Mohsin and Kamal 2012)</w:t>
      </w:r>
      <w:r w:rsidRPr="0060772A">
        <w:rPr>
          <w:rFonts w:ascii="Times New Roman" w:hAnsi="Times New Roman" w:cs="Times New Roman"/>
          <w:sz w:val="24"/>
          <w:szCs w:val="24"/>
        </w:rPr>
        <w:t>. These countries also allowed corporatization of public higher education institutes for greater sustainability. For example the oldest university in Malaysia, University of Malay, was incorporated along with eight other public universities allowing them to generate resources through possible mechanisms (Lee 1999</w:t>
      </w:r>
      <w:r w:rsidR="00E133F1">
        <w:rPr>
          <w:rFonts w:ascii="Times New Roman" w:hAnsi="Times New Roman" w:cs="Times New Roman"/>
          <w:sz w:val="24"/>
          <w:szCs w:val="24"/>
        </w:rPr>
        <w:t>; cited in Mohsin and Kamal 2012</w:t>
      </w:r>
      <w:r w:rsidRPr="0060772A">
        <w:rPr>
          <w:rFonts w:ascii="Times New Roman" w:hAnsi="Times New Roman" w:cs="Times New Roman"/>
          <w:sz w:val="24"/>
          <w:szCs w:val="24"/>
        </w:rPr>
        <w:t xml:space="preserve">). </w:t>
      </w:r>
    </w:p>
    <w:p w14:paraId="636B8DD3" w14:textId="639FBCA5" w:rsidR="004D5883" w:rsidRDefault="004D5883" w:rsidP="004D5883">
      <w:pPr>
        <w:spacing w:after="240" w:line="276" w:lineRule="auto"/>
        <w:ind w:firstLine="720"/>
        <w:jc w:val="both"/>
        <w:rPr>
          <w:rFonts w:ascii="Times New Roman" w:hAnsi="Times New Roman" w:cs="Times New Roman"/>
          <w:sz w:val="24"/>
          <w:szCs w:val="24"/>
        </w:rPr>
      </w:pPr>
      <w:r w:rsidRPr="0060772A">
        <w:rPr>
          <w:rFonts w:ascii="Times New Roman" w:hAnsi="Times New Roman" w:cs="Times New Roman"/>
          <w:sz w:val="24"/>
          <w:szCs w:val="24"/>
        </w:rPr>
        <w:t>Asia</w:t>
      </w:r>
      <w:r>
        <w:rPr>
          <w:rFonts w:ascii="Times New Roman" w:hAnsi="Times New Roman" w:cs="Times New Roman"/>
          <w:sz w:val="24"/>
          <w:szCs w:val="24"/>
        </w:rPr>
        <w:t xml:space="preserve">n countries also </w:t>
      </w:r>
      <w:r w:rsidRPr="0060772A">
        <w:rPr>
          <w:rFonts w:ascii="Times New Roman" w:hAnsi="Times New Roman" w:cs="Times New Roman"/>
          <w:sz w:val="24"/>
          <w:szCs w:val="24"/>
        </w:rPr>
        <w:t>bring reform in higher education sector such ‘Multi-Media Super Corridor (MSC)’ in Malaysia</w:t>
      </w:r>
      <w:r>
        <w:rPr>
          <w:rFonts w:ascii="Times New Roman" w:hAnsi="Times New Roman" w:cs="Times New Roman"/>
          <w:sz w:val="24"/>
          <w:szCs w:val="24"/>
        </w:rPr>
        <w:t xml:space="preserve">, Cyberservice corridor </w:t>
      </w:r>
      <w:r w:rsidRPr="0060772A">
        <w:rPr>
          <w:rFonts w:ascii="Times New Roman" w:hAnsi="Times New Roman" w:cs="Times New Roman"/>
          <w:sz w:val="24"/>
          <w:szCs w:val="24"/>
        </w:rPr>
        <w:t xml:space="preserve">in </w:t>
      </w:r>
      <w:r w:rsidR="004464BE" w:rsidRPr="0060772A">
        <w:rPr>
          <w:rFonts w:ascii="Times New Roman" w:hAnsi="Times New Roman" w:cs="Times New Roman"/>
          <w:sz w:val="24"/>
          <w:szCs w:val="24"/>
        </w:rPr>
        <w:t>Philippines (</w:t>
      </w:r>
      <w:r w:rsidRPr="0060772A">
        <w:rPr>
          <w:rFonts w:ascii="Times New Roman" w:hAnsi="Times New Roman" w:cs="Times New Roman"/>
          <w:sz w:val="24"/>
          <w:szCs w:val="24"/>
        </w:rPr>
        <w:t>PCC) for moving towards knowledge-based societies</w:t>
      </w:r>
      <w:r w:rsidR="006C2299">
        <w:rPr>
          <w:rFonts w:ascii="Times New Roman" w:hAnsi="Times New Roman" w:cs="Times New Roman"/>
          <w:sz w:val="24"/>
          <w:szCs w:val="24"/>
        </w:rPr>
        <w:t xml:space="preserve"> </w:t>
      </w:r>
      <w:r w:rsidRPr="0060772A">
        <w:rPr>
          <w:rFonts w:ascii="Times New Roman" w:hAnsi="Times New Roman" w:cs="Times New Roman"/>
          <w:sz w:val="24"/>
          <w:szCs w:val="24"/>
        </w:rPr>
        <w:t xml:space="preserve">(Symaco 2012). </w:t>
      </w:r>
      <w:r>
        <w:rPr>
          <w:rFonts w:ascii="Times New Roman" w:hAnsi="Times New Roman" w:cs="Times New Roman"/>
          <w:sz w:val="24"/>
          <w:szCs w:val="24"/>
        </w:rPr>
        <w:t xml:space="preserve"> </w:t>
      </w:r>
      <w:r w:rsidR="00B941FD">
        <w:rPr>
          <w:rFonts w:ascii="Times New Roman" w:hAnsi="Times New Roman" w:cs="Times New Roman"/>
          <w:sz w:val="24"/>
          <w:szCs w:val="24"/>
        </w:rPr>
        <w:t xml:space="preserve">More recently, </w:t>
      </w:r>
      <w:r w:rsidR="00B941FD" w:rsidRPr="00DE476E">
        <w:rPr>
          <w:rFonts w:ascii="Times New Roman" w:hAnsi="Times New Roman" w:cs="Times New Roman"/>
          <w:sz w:val="24"/>
          <w:szCs w:val="24"/>
        </w:rPr>
        <w:t>Korean higher education reform focused on enhancing relevance of education and international competitiveness of its universities. The research support project ‘Brain Korea 21’ was initiated to support research oriented graduate programs in selected universities. The ‘New University for Regional Innovation’ project was initiated to support universities in their efforts for HRD for regional community development</w:t>
      </w:r>
      <w:r w:rsidR="00B941FD">
        <w:rPr>
          <w:rFonts w:ascii="Times New Roman" w:hAnsi="Times New Roman" w:cs="Times New Roman"/>
          <w:sz w:val="24"/>
          <w:szCs w:val="24"/>
        </w:rPr>
        <w:t>.</w:t>
      </w:r>
      <w:r w:rsidR="006C2299">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DF585C" w:rsidRPr="0060772A">
        <w:rPr>
          <w:rFonts w:ascii="Times New Roman" w:hAnsi="Times New Roman" w:cs="Times New Roman"/>
          <w:sz w:val="24"/>
          <w:szCs w:val="24"/>
        </w:rPr>
        <w:t xml:space="preserve">In many developing countries reforms are underway to make universities research based institutions emphasizing the crucial role of research for the advancement of the economy and creating knowledge-based societies. </w:t>
      </w:r>
      <w:r>
        <w:rPr>
          <w:rFonts w:ascii="Times New Roman" w:hAnsi="Times New Roman" w:cs="Times New Roman"/>
          <w:sz w:val="24"/>
          <w:szCs w:val="24"/>
        </w:rPr>
        <w:t xml:space="preserve">In this context, </w:t>
      </w:r>
      <w:r w:rsidR="00DF585C" w:rsidRPr="0060772A">
        <w:rPr>
          <w:rFonts w:ascii="Times New Roman" w:hAnsi="Times New Roman" w:cs="Times New Roman"/>
          <w:sz w:val="24"/>
          <w:szCs w:val="24"/>
        </w:rPr>
        <w:t>universities in countries like Bangladesh to enhance both quantity and quality of their research output</w:t>
      </w:r>
    </w:p>
    <w:p w14:paraId="638F2133" w14:textId="2D9CAACF" w:rsidR="001844C8" w:rsidRPr="004D5883" w:rsidRDefault="008B3899" w:rsidP="004D5883">
      <w:pPr>
        <w:pStyle w:val="ListParagraph"/>
        <w:numPr>
          <w:ilvl w:val="0"/>
          <w:numId w:val="8"/>
        </w:numPr>
        <w:spacing w:after="240" w:line="276" w:lineRule="auto"/>
        <w:ind w:left="0"/>
        <w:jc w:val="both"/>
        <w:rPr>
          <w:rFonts w:ascii="Times New Roman" w:eastAsia="Times New Roman" w:hAnsi="Times New Roman" w:cs="Times New Roman"/>
          <w:b/>
          <w:color w:val="0F1010"/>
          <w:sz w:val="24"/>
          <w:szCs w:val="24"/>
          <w:lang w:val="en" w:eastAsia="en-GB"/>
        </w:rPr>
      </w:pPr>
      <w:r w:rsidRPr="004D5883">
        <w:rPr>
          <w:rFonts w:ascii="Times New Roman" w:eastAsia="Times New Roman" w:hAnsi="Times New Roman" w:cs="Times New Roman"/>
          <w:b/>
          <w:color w:val="0F1010"/>
          <w:sz w:val="24"/>
          <w:szCs w:val="24"/>
          <w:lang w:val="en" w:eastAsia="en-GB"/>
        </w:rPr>
        <w:t xml:space="preserve">Addressing the challenges of Education, Skill and </w:t>
      </w:r>
      <w:r w:rsidR="008A562B" w:rsidRPr="004D5883">
        <w:rPr>
          <w:rFonts w:ascii="Times New Roman" w:eastAsia="Times New Roman" w:hAnsi="Times New Roman" w:cs="Times New Roman"/>
          <w:b/>
          <w:color w:val="0F1010"/>
          <w:sz w:val="24"/>
          <w:szCs w:val="24"/>
          <w:lang w:val="en" w:eastAsia="en-GB"/>
        </w:rPr>
        <w:t xml:space="preserve">Human Development </w:t>
      </w:r>
      <w:r w:rsidR="0034735E" w:rsidRPr="004D5883">
        <w:rPr>
          <w:rFonts w:ascii="Times New Roman" w:eastAsia="Times New Roman" w:hAnsi="Times New Roman" w:cs="Times New Roman"/>
          <w:b/>
          <w:color w:val="0F1010"/>
          <w:sz w:val="24"/>
          <w:szCs w:val="24"/>
          <w:lang w:val="en" w:eastAsia="en-GB"/>
        </w:rPr>
        <w:t xml:space="preserve"> for 2041</w:t>
      </w:r>
    </w:p>
    <w:p w14:paraId="30506DD3" w14:textId="3301161C" w:rsidR="00811D2D" w:rsidRPr="00D626CB" w:rsidRDefault="005D6A30" w:rsidP="00811D2D">
      <w:pPr>
        <w:autoSpaceDE w:val="0"/>
        <w:autoSpaceDN w:val="0"/>
        <w:adjustRightInd w:val="0"/>
        <w:spacing w:after="240" w:line="276" w:lineRule="auto"/>
        <w:jc w:val="both"/>
        <w:rPr>
          <w:rFonts w:ascii="Times New Roman" w:hAnsi="Times New Roman" w:cs="Times New Roman"/>
          <w:i/>
          <w:iCs/>
          <w:sz w:val="24"/>
          <w:szCs w:val="24"/>
          <w:lang w:bidi="bn-BD"/>
        </w:rPr>
      </w:pPr>
      <w:r>
        <w:rPr>
          <w:rFonts w:ascii="Times New Roman" w:hAnsi="Times New Roman" w:cs="Times New Roman"/>
          <w:sz w:val="24"/>
          <w:szCs w:val="24"/>
        </w:rPr>
        <w:t>A</w:t>
      </w:r>
      <w:r w:rsidR="00F67730">
        <w:rPr>
          <w:rFonts w:ascii="Times New Roman" w:hAnsi="Times New Roman" w:cs="Times New Roman"/>
          <w:sz w:val="24"/>
          <w:szCs w:val="24"/>
        </w:rPr>
        <w:t xml:space="preserve"> major trend </w:t>
      </w:r>
      <w:r>
        <w:rPr>
          <w:rFonts w:ascii="Times New Roman" w:hAnsi="Times New Roman" w:cs="Times New Roman"/>
          <w:sz w:val="24"/>
          <w:szCs w:val="24"/>
        </w:rPr>
        <w:t xml:space="preserve">observed in the education system of ASEAN countries </w:t>
      </w:r>
      <w:r w:rsidR="00F67730">
        <w:rPr>
          <w:rFonts w:ascii="Times New Roman" w:hAnsi="Times New Roman" w:cs="Times New Roman"/>
          <w:sz w:val="24"/>
          <w:szCs w:val="24"/>
        </w:rPr>
        <w:t xml:space="preserve">is </w:t>
      </w:r>
      <w:r>
        <w:rPr>
          <w:rFonts w:ascii="Times New Roman" w:hAnsi="Times New Roman" w:cs="Times New Roman"/>
          <w:sz w:val="24"/>
          <w:szCs w:val="24"/>
        </w:rPr>
        <w:t xml:space="preserve">that </w:t>
      </w:r>
      <w:r w:rsidR="00E93EC1">
        <w:rPr>
          <w:rFonts w:ascii="Times New Roman" w:hAnsi="Times New Roman" w:cs="Times New Roman"/>
          <w:sz w:val="24"/>
          <w:szCs w:val="24"/>
        </w:rPr>
        <w:t>‘</w:t>
      </w:r>
      <w:r>
        <w:rPr>
          <w:rFonts w:ascii="Times New Roman" w:hAnsi="Times New Roman" w:cs="Times New Roman"/>
          <w:sz w:val="24"/>
          <w:szCs w:val="24"/>
        </w:rPr>
        <w:t>building on</w:t>
      </w:r>
      <w:r w:rsidR="00F67730">
        <w:rPr>
          <w:rFonts w:ascii="Times New Roman" w:hAnsi="Times New Roman" w:cs="Times New Roman"/>
          <w:sz w:val="24"/>
          <w:szCs w:val="24"/>
        </w:rPr>
        <w:t xml:space="preserve"> progress </w:t>
      </w:r>
      <w:r>
        <w:rPr>
          <w:rFonts w:ascii="Times New Roman" w:hAnsi="Times New Roman" w:cs="Times New Roman"/>
          <w:sz w:val="24"/>
          <w:szCs w:val="24"/>
        </w:rPr>
        <w:t xml:space="preserve">in basic education, </w:t>
      </w:r>
      <w:r w:rsidRPr="00F321E0">
        <w:rPr>
          <w:rFonts w:ascii="Times New Roman" w:hAnsi="Times New Roman" w:cs="Times New Roman"/>
          <w:color w:val="000000"/>
          <w:sz w:val="24"/>
          <w:szCs w:val="24"/>
          <w:lang w:bidi="bn-BD"/>
        </w:rPr>
        <w:t>strengthenin</w:t>
      </w:r>
      <w:r w:rsidR="00126607">
        <w:rPr>
          <w:rFonts w:ascii="Times New Roman" w:hAnsi="Times New Roman" w:cs="Times New Roman"/>
          <w:color w:val="000000"/>
          <w:sz w:val="24"/>
          <w:szCs w:val="24"/>
          <w:lang w:bidi="bn-BD"/>
        </w:rPr>
        <w:t xml:space="preserve">g of other levels of education </w:t>
      </w:r>
      <w:r w:rsidRPr="00F321E0">
        <w:rPr>
          <w:rFonts w:ascii="Times New Roman" w:hAnsi="Times New Roman" w:cs="Times New Roman"/>
          <w:color w:val="000000"/>
          <w:sz w:val="24"/>
          <w:szCs w:val="24"/>
          <w:lang w:bidi="bn-BD"/>
        </w:rPr>
        <w:t xml:space="preserve">including vocational and higher education is </w:t>
      </w:r>
      <w:r>
        <w:rPr>
          <w:rFonts w:ascii="Times New Roman" w:hAnsi="Times New Roman" w:cs="Times New Roman"/>
          <w:color w:val="000000"/>
          <w:sz w:val="24"/>
          <w:szCs w:val="24"/>
          <w:lang w:bidi="bn-BD"/>
        </w:rPr>
        <w:t xml:space="preserve">crucial </w:t>
      </w:r>
      <w:r w:rsidRPr="00F321E0">
        <w:rPr>
          <w:rFonts w:ascii="Times New Roman" w:hAnsi="Times New Roman" w:cs="Times New Roman"/>
          <w:color w:val="000000"/>
          <w:sz w:val="24"/>
          <w:szCs w:val="24"/>
          <w:lang w:bidi="bn-BD"/>
        </w:rPr>
        <w:t>to have a well</w:t>
      </w:r>
      <w:r w:rsidRPr="00F321E0">
        <w:rPr>
          <w:rFonts w:ascii="Cambria Math" w:hAnsi="Cambria Math" w:cs="Cambria Math"/>
          <w:color w:val="000000"/>
          <w:sz w:val="24"/>
          <w:szCs w:val="24"/>
          <w:lang w:bidi="bn-BD"/>
        </w:rPr>
        <w:t>‐</w:t>
      </w:r>
      <w:r w:rsidRPr="00F321E0">
        <w:rPr>
          <w:rFonts w:ascii="Times New Roman" w:hAnsi="Times New Roman" w:cs="Times New Roman"/>
          <w:color w:val="000000"/>
          <w:sz w:val="24"/>
          <w:szCs w:val="24"/>
          <w:lang w:bidi="bn-BD"/>
        </w:rPr>
        <w:t>educated and skilled population</w:t>
      </w:r>
      <w:r w:rsidR="00F67730">
        <w:rPr>
          <w:rFonts w:ascii="Times New Roman" w:hAnsi="Times New Roman" w:cs="Times New Roman"/>
          <w:color w:val="000000"/>
          <w:sz w:val="24"/>
          <w:szCs w:val="24"/>
          <w:lang w:bidi="bn-BD"/>
        </w:rPr>
        <w:t xml:space="preserve">. Also </w:t>
      </w:r>
      <w:r w:rsidR="00126607">
        <w:rPr>
          <w:rFonts w:ascii="Times New Roman" w:hAnsi="Times New Roman" w:cs="Times New Roman"/>
          <w:color w:val="000000"/>
          <w:sz w:val="24"/>
          <w:szCs w:val="24"/>
          <w:lang w:bidi="bn-BD"/>
        </w:rPr>
        <w:t xml:space="preserve">as </w:t>
      </w:r>
      <w:r w:rsidRPr="00F321E0">
        <w:rPr>
          <w:rFonts w:ascii="Times New Roman" w:hAnsi="Times New Roman" w:cs="Times New Roman"/>
          <w:color w:val="000000"/>
          <w:sz w:val="24"/>
          <w:szCs w:val="24"/>
          <w:lang w:bidi="bn-BD"/>
        </w:rPr>
        <w:t xml:space="preserve">the country in transition appropriate transferable skills and competencies are </w:t>
      </w:r>
      <w:r w:rsidR="00E93EC1" w:rsidRPr="00F321E0">
        <w:rPr>
          <w:rFonts w:ascii="Times New Roman" w:hAnsi="Times New Roman" w:cs="Times New Roman"/>
          <w:color w:val="000000"/>
          <w:sz w:val="24"/>
          <w:szCs w:val="24"/>
          <w:lang w:bidi="bn-BD"/>
        </w:rPr>
        <w:t>critical</w:t>
      </w:r>
      <w:r w:rsidRPr="00F321E0">
        <w:rPr>
          <w:rFonts w:ascii="Times New Roman" w:hAnsi="Times New Roman" w:cs="Times New Roman"/>
          <w:color w:val="000000"/>
          <w:sz w:val="24"/>
          <w:szCs w:val="24"/>
          <w:lang w:bidi="bn-BD"/>
        </w:rPr>
        <w:t xml:space="preserve"> to the next level of development by increasing its knowledge</w:t>
      </w:r>
      <w:r w:rsidRPr="00F321E0">
        <w:rPr>
          <w:rFonts w:ascii="Cambria Math" w:hAnsi="Cambria Math" w:cs="Cambria Math"/>
          <w:color w:val="000000"/>
          <w:sz w:val="24"/>
          <w:szCs w:val="24"/>
          <w:lang w:bidi="bn-BD"/>
        </w:rPr>
        <w:t>‐</w:t>
      </w:r>
      <w:r w:rsidRPr="00F321E0">
        <w:rPr>
          <w:rFonts w:ascii="Times New Roman" w:hAnsi="Times New Roman" w:cs="Times New Roman"/>
          <w:color w:val="000000"/>
          <w:sz w:val="24"/>
          <w:szCs w:val="24"/>
          <w:lang w:bidi="bn-BD"/>
        </w:rPr>
        <w:t>based sectors</w:t>
      </w:r>
      <w:r w:rsidR="00126607">
        <w:rPr>
          <w:rFonts w:ascii="Times New Roman" w:hAnsi="Times New Roman" w:cs="Times New Roman"/>
          <w:color w:val="000000"/>
          <w:sz w:val="24"/>
          <w:szCs w:val="24"/>
          <w:lang w:bidi="bn-BD"/>
        </w:rPr>
        <w:t xml:space="preserve"> (VDR 2014)</w:t>
      </w:r>
      <w:r w:rsidRPr="00F321E0">
        <w:rPr>
          <w:rFonts w:ascii="Times New Roman" w:hAnsi="Times New Roman" w:cs="Times New Roman"/>
          <w:color w:val="000000"/>
          <w:sz w:val="24"/>
          <w:szCs w:val="24"/>
          <w:lang w:bidi="bn-BD"/>
        </w:rPr>
        <w:t>.</w:t>
      </w:r>
      <w:r w:rsidR="00E93EC1">
        <w:rPr>
          <w:rFonts w:ascii="Times New Roman" w:hAnsi="Times New Roman" w:cs="Times New Roman"/>
          <w:color w:val="000000"/>
          <w:sz w:val="24"/>
          <w:szCs w:val="24"/>
          <w:lang w:bidi="bn-BD"/>
        </w:rPr>
        <w:t xml:space="preserve"> </w:t>
      </w:r>
      <w:r w:rsidR="00E93EC1" w:rsidRPr="00F321E0">
        <w:rPr>
          <w:rFonts w:ascii="Times New Roman" w:hAnsi="Times New Roman" w:cs="Times New Roman"/>
          <w:color w:val="000000"/>
          <w:sz w:val="24"/>
          <w:szCs w:val="24"/>
          <w:lang w:bidi="bn-BD"/>
        </w:rPr>
        <w:t xml:space="preserve">While Bangladesh’s context may differ in many areas with regards to institutional and policy contexts, some important </w:t>
      </w:r>
      <w:r w:rsidR="00811D2D">
        <w:rPr>
          <w:rFonts w:ascii="Times New Roman" w:hAnsi="Times New Roman" w:cs="Times New Roman"/>
          <w:color w:val="000000"/>
          <w:sz w:val="24"/>
          <w:szCs w:val="24"/>
          <w:lang w:bidi="bn-BD"/>
        </w:rPr>
        <w:t>reforms</w:t>
      </w:r>
      <w:r w:rsidR="009C1ADA">
        <w:rPr>
          <w:rFonts w:ascii="Times New Roman" w:hAnsi="Times New Roman" w:cs="Times New Roman"/>
          <w:color w:val="000000"/>
          <w:sz w:val="24"/>
          <w:szCs w:val="24"/>
          <w:lang w:bidi="bn-BD"/>
        </w:rPr>
        <w:t xml:space="preserve"> </w:t>
      </w:r>
      <w:r w:rsidR="00811D2D">
        <w:rPr>
          <w:rFonts w:ascii="Times New Roman" w:hAnsi="Times New Roman" w:cs="Times New Roman"/>
          <w:color w:val="000000"/>
          <w:sz w:val="24"/>
          <w:szCs w:val="24"/>
          <w:lang w:bidi="bn-BD"/>
        </w:rPr>
        <w:t xml:space="preserve">and trends observed in </w:t>
      </w:r>
      <w:r w:rsidR="00E93EC1" w:rsidRPr="00F321E0">
        <w:rPr>
          <w:rFonts w:ascii="Times New Roman" w:hAnsi="Times New Roman" w:cs="Times New Roman"/>
          <w:color w:val="000000"/>
          <w:sz w:val="24"/>
          <w:szCs w:val="24"/>
          <w:lang w:bidi="bn-BD"/>
        </w:rPr>
        <w:t>these countries</w:t>
      </w:r>
      <w:r w:rsidR="00811D2D">
        <w:rPr>
          <w:rFonts w:ascii="Times New Roman" w:hAnsi="Times New Roman" w:cs="Times New Roman"/>
          <w:color w:val="000000"/>
          <w:sz w:val="24"/>
          <w:szCs w:val="24"/>
          <w:lang w:bidi="bn-BD"/>
        </w:rPr>
        <w:t xml:space="preserve"> might</w:t>
      </w:r>
      <w:r w:rsidR="00E93EC1" w:rsidRPr="00F321E0">
        <w:rPr>
          <w:rFonts w:ascii="Times New Roman" w:hAnsi="Times New Roman" w:cs="Times New Roman"/>
          <w:color w:val="000000"/>
          <w:sz w:val="24"/>
          <w:szCs w:val="24"/>
          <w:lang w:bidi="bn-BD"/>
        </w:rPr>
        <w:t xml:space="preserve"> still be relevant for strengthening its education system towards the vision 2041</w:t>
      </w:r>
      <w:r w:rsidR="00811D2D">
        <w:rPr>
          <w:rFonts w:ascii="Times New Roman" w:hAnsi="Times New Roman" w:cs="Times New Roman"/>
          <w:color w:val="000000"/>
          <w:sz w:val="24"/>
          <w:szCs w:val="24"/>
          <w:lang w:bidi="bn-BD"/>
        </w:rPr>
        <w:t xml:space="preserve">. As described in VDR(2014), these are </w:t>
      </w:r>
      <w:r w:rsidR="00811D2D" w:rsidRPr="00811D2D">
        <w:rPr>
          <w:rFonts w:ascii="Times New Roman" w:hAnsi="Times New Roman" w:cs="Times New Roman"/>
          <w:iCs/>
          <w:sz w:val="24"/>
          <w:szCs w:val="24"/>
          <w:lang w:bidi="bn-BD"/>
        </w:rPr>
        <w:t>1)</w:t>
      </w:r>
      <w:r w:rsidR="00811D2D" w:rsidRPr="00D626CB">
        <w:rPr>
          <w:rFonts w:ascii="Times New Roman" w:hAnsi="Times New Roman" w:cs="Times New Roman"/>
          <w:i/>
          <w:iCs/>
          <w:sz w:val="24"/>
          <w:szCs w:val="24"/>
          <w:lang w:bidi="bn-BD"/>
        </w:rPr>
        <w:t xml:space="preserve"> On achieving universal primary education, expansion of compulsory education to include at least lower secondary education; </w:t>
      </w:r>
      <w:r w:rsidR="00811D2D" w:rsidRPr="00811D2D">
        <w:rPr>
          <w:rFonts w:ascii="Times New Roman" w:hAnsi="Times New Roman" w:cs="Times New Roman"/>
          <w:iCs/>
          <w:sz w:val="24"/>
          <w:szCs w:val="24"/>
          <w:lang w:bidi="bn-BD"/>
        </w:rPr>
        <w:t>2)</w:t>
      </w:r>
      <w:r w:rsidR="00811D2D" w:rsidRPr="00D626CB">
        <w:rPr>
          <w:rFonts w:ascii="Times New Roman" w:hAnsi="Times New Roman" w:cs="Times New Roman"/>
          <w:i/>
          <w:iCs/>
          <w:sz w:val="24"/>
          <w:szCs w:val="24"/>
          <w:lang w:bidi="bn-BD"/>
        </w:rPr>
        <w:t xml:space="preserve"> Shift to more decentralized education management, which </w:t>
      </w:r>
      <w:r w:rsidR="00811D2D" w:rsidRPr="00D626CB">
        <w:rPr>
          <w:rFonts w:ascii="Times New Roman" w:hAnsi="Times New Roman" w:cs="Times New Roman"/>
          <w:sz w:val="24"/>
          <w:szCs w:val="24"/>
          <w:lang w:bidi="bn-BD"/>
        </w:rPr>
        <w:t xml:space="preserve"> includes transference of some of the key education responsibilities (e.g., teacher management, curriculum development, and financing) to lower levels of administration. </w:t>
      </w:r>
      <w:r w:rsidR="00811D2D" w:rsidRPr="00811D2D">
        <w:rPr>
          <w:rFonts w:ascii="Times New Roman" w:hAnsi="Times New Roman" w:cs="Times New Roman"/>
          <w:i/>
          <w:sz w:val="24"/>
          <w:szCs w:val="24"/>
          <w:lang w:bidi="bn-BD"/>
        </w:rPr>
        <w:t>3)</w:t>
      </w:r>
      <w:r w:rsidR="00811D2D" w:rsidRPr="00D626CB">
        <w:rPr>
          <w:rFonts w:ascii="Times New Roman" w:hAnsi="Times New Roman" w:cs="Times New Roman"/>
          <w:sz w:val="24"/>
          <w:szCs w:val="24"/>
          <w:lang w:bidi="bn-BD"/>
        </w:rPr>
        <w:t xml:space="preserve"> </w:t>
      </w:r>
      <w:r w:rsidR="00811D2D" w:rsidRPr="00D626CB">
        <w:rPr>
          <w:rFonts w:ascii="Times New Roman" w:hAnsi="Times New Roman" w:cs="Times New Roman"/>
          <w:i/>
          <w:iCs/>
          <w:sz w:val="24"/>
          <w:szCs w:val="24"/>
          <w:lang w:bidi="bn-BD"/>
        </w:rPr>
        <w:t>Considerable private expenditure on educat</w:t>
      </w:r>
      <w:r w:rsidR="00811D2D">
        <w:rPr>
          <w:rFonts w:ascii="Times New Roman" w:hAnsi="Times New Roman" w:cs="Times New Roman"/>
          <w:i/>
          <w:iCs/>
          <w:sz w:val="24"/>
          <w:szCs w:val="24"/>
          <w:lang w:bidi="bn-BD"/>
        </w:rPr>
        <w:t>ion, including shadow education</w:t>
      </w:r>
      <w:r w:rsidR="00811D2D" w:rsidRPr="00D626CB">
        <w:rPr>
          <w:rFonts w:ascii="Times New Roman" w:hAnsi="Times New Roman" w:cs="Times New Roman"/>
          <w:i/>
          <w:iCs/>
          <w:sz w:val="24"/>
          <w:szCs w:val="24"/>
          <w:lang w:bidi="bn-BD"/>
        </w:rPr>
        <w:t xml:space="preserve">, </w:t>
      </w:r>
      <w:r w:rsidR="00811D2D" w:rsidRPr="00811D2D">
        <w:rPr>
          <w:rFonts w:ascii="Times New Roman" w:hAnsi="Times New Roman" w:cs="Times New Roman"/>
          <w:iCs/>
          <w:sz w:val="24"/>
          <w:szCs w:val="24"/>
          <w:lang w:bidi="bn-BD"/>
        </w:rPr>
        <w:t>4)</w:t>
      </w:r>
      <w:r w:rsidR="00811D2D" w:rsidRPr="00D626CB">
        <w:rPr>
          <w:rFonts w:ascii="Times New Roman" w:hAnsi="Times New Roman" w:cs="Times New Roman"/>
          <w:i/>
          <w:iCs/>
          <w:sz w:val="24"/>
          <w:szCs w:val="24"/>
          <w:lang w:bidi="bn-BD"/>
        </w:rPr>
        <w:t xml:space="preserve"> Financing is important, but not the only factor behind educational performance: </w:t>
      </w:r>
      <w:r w:rsidR="00811D2D" w:rsidRPr="00D626CB">
        <w:rPr>
          <w:rFonts w:ascii="Times New Roman" w:hAnsi="Times New Roman" w:cs="Times New Roman"/>
          <w:sz w:val="24"/>
          <w:szCs w:val="24"/>
          <w:lang w:bidi="bn-BD"/>
        </w:rPr>
        <w:t xml:space="preserve">Government expenditure on education varies significantly across countries. While high performing systems appear to spend more on </w:t>
      </w:r>
      <w:r w:rsidR="00811D2D" w:rsidRPr="00D626CB">
        <w:rPr>
          <w:rFonts w:ascii="Times New Roman" w:hAnsi="Times New Roman" w:cs="Times New Roman"/>
          <w:sz w:val="24"/>
          <w:szCs w:val="24"/>
          <w:lang w:bidi="bn-BD"/>
        </w:rPr>
        <w:lastRenderedPageBreak/>
        <w:t xml:space="preserve">education as a percentage of GNP, there appear  sound policies  concerning teacher quality and remuneration, the frequency of curriculum updates/reform, quality assurance systems, quantity and quality of teaching and learning time and language of instruction determining the success.  5) </w:t>
      </w:r>
      <w:r w:rsidR="00811D2D" w:rsidRPr="00D626CB">
        <w:rPr>
          <w:rFonts w:ascii="Times New Roman" w:hAnsi="Times New Roman" w:cs="Times New Roman"/>
          <w:i/>
          <w:iCs/>
          <w:sz w:val="24"/>
          <w:szCs w:val="24"/>
          <w:lang w:bidi="bn-BD"/>
        </w:rPr>
        <w:t>Larger class size with teachers teaching less hours in high</w:t>
      </w:r>
      <w:r w:rsidR="00811D2D" w:rsidRPr="00D626CB">
        <w:rPr>
          <w:rFonts w:ascii="Cambria Math" w:hAnsi="Cambria Math" w:cs="Cambria Math"/>
          <w:i/>
          <w:iCs/>
          <w:sz w:val="24"/>
          <w:szCs w:val="24"/>
          <w:lang w:bidi="bn-BD"/>
        </w:rPr>
        <w:t>‐</w:t>
      </w:r>
      <w:r w:rsidR="00811D2D" w:rsidRPr="00D626CB">
        <w:rPr>
          <w:rFonts w:ascii="Times New Roman" w:hAnsi="Times New Roman" w:cs="Times New Roman"/>
          <w:i/>
          <w:iCs/>
          <w:sz w:val="24"/>
          <w:szCs w:val="24"/>
          <w:lang w:bidi="bn-BD"/>
        </w:rPr>
        <w:t>performing countries 6)Curriculum reforms promoting non</w:t>
      </w:r>
      <w:r w:rsidR="00811D2D" w:rsidRPr="00D626CB">
        <w:rPr>
          <w:rFonts w:ascii="Cambria Math" w:hAnsi="Cambria Math" w:cs="Cambria Math"/>
          <w:i/>
          <w:iCs/>
          <w:sz w:val="24"/>
          <w:szCs w:val="24"/>
          <w:lang w:bidi="bn-BD"/>
        </w:rPr>
        <w:t>‐</w:t>
      </w:r>
      <w:r w:rsidR="00811D2D" w:rsidRPr="00D626CB">
        <w:rPr>
          <w:rFonts w:ascii="Times New Roman" w:hAnsi="Times New Roman" w:cs="Times New Roman"/>
          <w:i/>
          <w:iCs/>
          <w:sz w:val="24"/>
          <w:szCs w:val="24"/>
          <w:lang w:bidi="bn-BD"/>
        </w:rPr>
        <w:t>cognitive and higher</w:t>
      </w:r>
      <w:r w:rsidR="00811D2D" w:rsidRPr="00D626CB">
        <w:rPr>
          <w:rFonts w:ascii="Cambria Math" w:hAnsi="Cambria Math" w:cs="Cambria Math"/>
          <w:i/>
          <w:iCs/>
          <w:sz w:val="24"/>
          <w:szCs w:val="24"/>
          <w:lang w:bidi="bn-BD"/>
        </w:rPr>
        <w:t>‐</w:t>
      </w:r>
      <w:r w:rsidR="00811D2D" w:rsidRPr="00D626CB">
        <w:rPr>
          <w:rFonts w:ascii="Times New Roman" w:hAnsi="Times New Roman" w:cs="Times New Roman"/>
          <w:i/>
          <w:iCs/>
          <w:sz w:val="24"/>
          <w:szCs w:val="24"/>
          <w:lang w:bidi="bn-BD"/>
        </w:rPr>
        <w:t>order skills, as much as academic contents 7) Improving teacher performance through result</w:t>
      </w:r>
      <w:r w:rsidR="00811D2D" w:rsidRPr="00D626CB">
        <w:rPr>
          <w:rFonts w:ascii="Cambria Math" w:hAnsi="Cambria Math" w:cs="Cambria Math"/>
          <w:i/>
          <w:iCs/>
          <w:sz w:val="24"/>
          <w:szCs w:val="24"/>
          <w:lang w:bidi="bn-BD"/>
        </w:rPr>
        <w:t>‐</w:t>
      </w:r>
      <w:r w:rsidR="00811D2D" w:rsidRPr="00D626CB">
        <w:rPr>
          <w:rFonts w:ascii="Times New Roman" w:hAnsi="Times New Roman" w:cs="Times New Roman"/>
          <w:i/>
          <w:iCs/>
          <w:sz w:val="24"/>
          <w:szCs w:val="24"/>
          <w:lang w:bidi="bn-BD"/>
        </w:rPr>
        <w:t xml:space="preserve">based evaluation for teachers; </w:t>
      </w:r>
      <w:r w:rsidR="00811D2D" w:rsidRPr="00D626CB">
        <w:rPr>
          <w:rFonts w:ascii="Times New Roman" w:hAnsi="Times New Roman" w:cs="Times New Roman"/>
          <w:sz w:val="24"/>
          <w:szCs w:val="24"/>
          <w:lang w:bidi="bn-BD"/>
        </w:rPr>
        <w:t>One particular trend involves linking teacher salaries to performance vis</w:t>
      </w:r>
      <w:r w:rsidR="00811D2D" w:rsidRPr="00D626CB">
        <w:rPr>
          <w:rFonts w:ascii="Cambria Math" w:hAnsi="Cambria Math" w:cs="Cambria Math"/>
          <w:sz w:val="24"/>
          <w:szCs w:val="24"/>
          <w:lang w:bidi="bn-BD"/>
        </w:rPr>
        <w:t>‐</w:t>
      </w:r>
      <w:r w:rsidR="00811D2D" w:rsidRPr="00D626CB">
        <w:rPr>
          <w:rFonts w:ascii="Times New Roman" w:hAnsi="Times New Roman" w:cs="Times New Roman"/>
          <w:sz w:val="24"/>
          <w:szCs w:val="24"/>
          <w:lang w:bidi="bn-BD"/>
        </w:rPr>
        <w:t>à</w:t>
      </w:r>
      <w:r w:rsidR="00811D2D" w:rsidRPr="00D626CB">
        <w:rPr>
          <w:rFonts w:ascii="Cambria Math" w:hAnsi="Cambria Math" w:cs="Cambria Math"/>
          <w:sz w:val="24"/>
          <w:szCs w:val="24"/>
          <w:lang w:bidi="bn-BD"/>
        </w:rPr>
        <w:t>‐</w:t>
      </w:r>
      <w:r w:rsidR="00811D2D" w:rsidRPr="00D626CB">
        <w:rPr>
          <w:rFonts w:ascii="Times New Roman" w:hAnsi="Times New Roman" w:cs="Times New Roman"/>
          <w:sz w:val="24"/>
          <w:szCs w:val="24"/>
          <w:lang w:bidi="bn-BD"/>
        </w:rPr>
        <w:t xml:space="preserve">vis predetermined standards. </w:t>
      </w:r>
    </w:p>
    <w:p w14:paraId="3ABCB8CA" w14:textId="3288A1F4" w:rsidR="00E93EC1" w:rsidRDefault="00E93EC1" w:rsidP="00CE44E6">
      <w:pPr>
        <w:pStyle w:val="ListParagraph"/>
        <w:spacing w:after="240" w:line="276" w:lineRule="auto"/>
        <w:ind w:left="0" w:firstLine="720"/>
        <w:jc w:val="both"/>
        <w:rPr>
          <w:rFonts w:ascii="Times New Roman" w:hAnsi="Times New Roman" w:cs="Times New Roman"/>
          <w:sz w:val="24"/>
          <w:szCs w:val="24"/>
        </w:rPr>
      </w:pPr>
      <w:r w:rsidRPr="00A656B9">
        <w:rPr>
          <w:rFonts w:ascii="Times New Roman" w:hAnsi="Times New Roman" w:cs="Times New Roman"/>
          <w:sz w:val="24"/>
          <w:szCs w:val="24"/>
        </w:rPr>
        <w:t xml:space="preserve">Bangladesh has witnessed structural transformation in terms of sectoral shares of GDP implying </w:t>
      </w:r>
      <w:r>
        <w:rPr>
          <w:rFonts w:ascii="Times New Roman" w:hAnsi="Times New Roman" w:cs="Times New Roman"/>
          <w:sz w:val="24"/>
          <w:szCs w:val="24"/>
        </w:rPr>
        <w:t xml:space="preserve">that </w:t>
      </w:r>
      <w:r w:rsidRPr="00A656B9">
        <w:rPr>
          <w:rFonts w:ascii="Times New Roman" w:hAnsi="Times New Roman" w:cs="Times New Roman"/>
          <w:sz w:val="24"/>
          <w:szCs w:val="24"/>
        </w:rPr>
        <w:t xml:space="preserve">structural changes in employment should follow. Thus equipping the </w:t>
      </w:r>
      <w:r w:rsidR="006E2C5E">
        <w:rPr>
          <w:rFonts w:ascii="Times New Roman" w:hAnsi="Times New Roman" w:cs="Times New Roman"/>
          <w:sz w:val="24"/>
          <w:szCs w:val="24"/>
        </w:rPr>
        <w:t>labour</w:t>
      </w:r>
      <w:r w:rsidRPr="00A656B9">
        <w:rPr>
          <w:rFonts w:ascii="Times New Roman" w:hAnsi="Times New Roman" w:cs="Times New Roman"/>
          <w:sz w:val="24"/>
          <w:szCs w:val="24"/>
        </w:rPr>
        <w:t xml:space="preserve"> force with the kind of education and skills commensurate with structural transformation in the economy will be crucial for achieving further advancement of the economy. Countries which were at the same level of development also undergone shift in </w:t>
      </w:r>
      <w:r w:rsidR="006E2C5E">
        <w:rPr>
          <w:rFonts w:ascii="Times New Roman" w:hAnsi="Times New Roman" w:cs="Times New Roman"/>
          <w:sz w:val="24"/>
          <w:szCs w:val="24"/>
        </w:rPr>
        <w:t>labour</w:t>
      </w:r>
      <w:r w:rsidRPr="00A656B9">
        <w:rPr>
          <w:rFonts w:ascii="Times New Roman" w:hAnsi="Times New Roman" w:cs="Times New Roman"/>
          <w:sz w:val="24"/>
          <w:szCs w:val="24"/>
        </w:rPr>
        <w:t xml:space="preserve"> force from manual jobs to skill intensive non-manual jobs and from traditional type to modern jobs that would require basic to improved skills in order to perform non-routine tasks than routine tasks, whereby workers will be doing day to day problem solving tasks than routine tasks. </w:t>
      </w:r>
    </w:p>
    <w:p w14:paraId="3DC3C871" w14:textId="64E77489" w:rsidR="005D6A30" w:rsidRDefault="004F54F6" w:rsidP="00811D2D">
      <w:pPr>
        <w:autoSpaceDE w:val="0"/>
        <w:autoSpaceDN w:val="0"/>
        <w:adjustRightInd w:val="0"/>
        <w:spacing w:after="240" w:line="276" w:lineRule="auto"/>
        <w:ind w:firstLine="720"/>
        <w:jc w:val="both"/>
        <w:rPr>
          <w:rFonts w:ascii="Times New Roman" w:hAnsi="Times New Roman" w:cs="Times New Roman"/>
          <w:i/>
          <w:sz w:val="24"/>
          <w:szCs w:val="24"/>
        </w:rPr>
      </w:pPr>
      <w:r>
        <w:rPr>
          <w:rFonts w:ascii="Times New Roman" w:hAnsi="Times New Roman" w:cs="Times New Roman"/>
          <w:sz w:val="24"/>
          <w:szCs w:val="24"/>
        </w:rPr>
        <w:t>The Korean example is pertinent here. Korea gradually improved its education system making it responsive to economic development providing an interesting example of how a growing economy could achieve national education success both in terms of quantitative expansion and qualitative improvement without any trade-off between the quantity and quality and universal access to all, while contributing to economic development (Jones, 2013).</w:t>
      </w:r>
      <w:r w:rsidR="00254B95">
        <w:rPr>
          <w:rFonts w:ascii="Times New Roman" w:hAnsi="Times New Roman" w:cs="Times New Roman"/>
          <w:sz w:val="24"/>
          <w:szCs w:val="24"/>
        </w:rPr>
        <w:t xml:space="preserve"> </w:t>
      </w:r>
      <w:r w:rsidR="00254B95" w:rsidRPr="00B17058">
        <w:rPr>
          <w:rFonts w:ascii="Times New Roman" w:hAnsi="Times New Roman" w:cs="Times New Roman"/>
          <w:sz w:val="24"/>
          <w:szCs w:val="24"/>
        </w:rPr>
        <w:t>The average years of schooling in Korea gradually increased from 5.7 years in 1970 to 9.5 years in 1991 and 10.6 years in 2001, commensurate with economic progress. During the same period high school graduate entering higher education has increased from 26.9 percent in 1970 to 33.2 percent in</w:t>
      </w:r>
      <w:r w:rsidR="00A43B2F">
        <w:rPr>
          <w:rFonts w:ascii="Times New Roman" w:hAnsi="Times New Roman" w:cs="Times New Roman"/>
          <w:sz w:val="24"/>
          <w:szCs w:val="24"/>
        </w:rPr>
        <w:t xml:space="preserve"> 1991 and 70.5 percent in 2001(</w:t>
      </w:r>
      <w:r w:rsidR="00254B95" w:rsidRPr="00B17058">
        <w:rPr>
          <w:rFonts w:ascii="Times New Roman" w:hAnsi="Times New Roman" w:cs="Times New Roman"/>
          <w:sz w:val="24"/>
          <w:szCs w:val="24"/>
        </w:rPr>
        <w:t>Song 2003).</w:t>
      </w:r>
      <w:r w:rsidR="00254B95">
        <w:rPr>
          <w:rFonts w:ascii="Times New Roman" w:hAnsi="Times New Roman" w:cs="Times New Roman"/>
          <w:sz w:val="24"/>
          <w:szCs w:val="24"/>
        </w:rPr>
        <w:t xml:space="preserve"> </w:t>
      </w:r>
      <w:r w:rsidR="00441A18">
        <w:rPr>
          <w:rFonts w:ascii="Times New Roman" w:hAnsi="Times New Roman" w:cs="Times New Roman"/>
          <w:sz w:val="24"/>
          <w:szCs w:val="24"/>
        </w:rPr>
        <w:t>Some strong features of the Korean education system</w:t>
      </w:r>
      <w:r w:rsidR="009F0CBB">
        <w:rPr>
          <w:rFonts w:ascii="Times New Roman" w:hAnsi="Times New Roman" w:cs="Times New Roman"/>
          <w:sz w:val="24"/>
          <w:szCs w:val="24"/>
        </w:rPr>
        <w:t>,</w:t>
      </w:r>
      <w:r w:rsidR="009F0CBB">
        <w:rPr>
          <w:rStyle w:val="FootnoteReference"/>
          <w:rFonts w:ascii="Times New Roman" w:hAnsi="Times New Roman" w:cs="Times New Roman"/>
          <w:sz w:val="24"/>
          <w:szCs w:val="24"/>
        </w:rPr>
        <w:footnoteReference w:id="7"/>
      </w:r>
      <w:r w:rsidR="00F50DD8">
        <w:rPr>
          <w:rFonts w:ascii="Times New Roman" w:hAnsi="Times New Roman" w:cs="Times New Roman"/>
          <w:sz w:val="24"/>
          <w:szCs w:val="24"/>
        </w:rPr>
        <w:t xml:space="preserve"> </w:t>
      </w:r>
      <w:r w:rsidR="00441A18">
        <w:rPr>
          <w:rFonts w:ascii="Times New Roman" w:hAnsi="Times New Roman" w:cs="Times New Roman"/>
          <w:sz w:val="24"/>
          <w:szCs w:val="24"/>
        </w:rPr>
        <w:t xml:space="preserve">which might be relevant for policy making </w:t>
      </w:r>
      <w:r w:rsidR="00A43B2F">
        <w:rPr>
          <w:rFonts w:ascii="Times New Roman" w:hAnsi="Times New Roman" w:cs="Times New Roman"/>
          <w:sz w:val="24"/>
          <w:szCs w:val="24"/>
        </w:rPr>
        <w:t>in Bangladesh, are</w:t>
      </w:r>
      <w:r w:rsidR="00441A18">
        <w:rPr>
          <w:rFonts w:ascii="Times New Roman" w:hAnsi="Times New Roman" w:cs="Times New Roman"/>
          <w:sz w:val="24"/>
          <w:szCs w:val="24"/>
        </w:rPr>
        <w:t xml:space="preserve">: </w:t>
      </w:r>
      <w:r w:rsidRPr="00B17058">
        <w:rPr>
          <w:rFonts w:ascii="Times New Roman" w:hAnsi="Times New Roman" w:cs="Times New Roman"/>
          <w:sz w:val="24"/>
          <w:szCs w:val="24"/>
        </w:rPr>
        <w:t xml:space="preserve"> </w:t>
      </w:r>
      <w:r w:rsidRPr="00B17058">
        <w:rPr>
          <w:rFonts w:ascii="Times New Roman" w:hAnsi="Times New Roman" w:cs="Times New Roman"/>
          <w:i/>
          <w:sz w:val="24"/>
          <w:szCs w:val="24"/>
        </w:rPr>
        <w:t>(1)</w:t>
      </w:r>
      <w:r w:rsidR="00B6144C">
        <w:rPr>
          <w:rFonts w:ascii="Times New Roman" w:hAnsi="Times New Roman" w:cs="Times New Roman"/>
          <w:i/>
          <w:sz w:val="24"/>
          <w:szCs w:val="24"/>
        </w:rPr>
        <w:t xml:space="preserve"> </w:t>
      </w:r>
      <w:r w:rsidRPr="00B17058">
        <w:rPr>
          <w:rFonts w:ascii="Times New Roman" w:hAnsi="Times New Roman" w:cs="Times New Roman"/>
          <w:i/>
          <w:sz w:val="24"/>
          <w:szCs w:val="24"/>
        </w:rPr>
        <w:t>Well trained and well paid teachers can be driving force for improved quality of education; Korean teachers are significantly better paid, in terms of average salary to per capita GDP ratio, compared to their peers elsewhere in OECD. (2). Automatic promotion and singular track education system ensured almost universal enrolment in tertiary education, which also ensured that all secondary school graduates, whether from an academic or vocational school equally qualify for university admission. (3) Shift away from rote memorization to knowledge based education steered students critical thinking and problem solving skills resulting higher student achievements in PISA. (4) Korean education system is highly and efficiently funded.</w:t>
      </w:r>
    </w:p>
    <w:p w14:paraId="60B2EA1B" w14:textId="77777777" w:rsidR="00C25381" w:rsidRDefault="00C25381" w:rsidP="00811D2D">
      <w:pPr>
        <w:autoSpaceDE w:val="0"/>
        <w:autoSpaceDN w:val="0"/>
        <w:adjustRightInd w:val="0"/>
        <w:spacing w:after="240" w:line="276" w:lineRule="auto"/>
        <w:ind w:firstLine="720"/>
        <w:jc w:val="both"/>
        <w:rPr>
          <w:rFonts w:ascii="Times New Roman" w:hAnsi="Times New Roman" w:cs="Times New Roman"/>
          <w:sz w:val="24"/>
          <w:szCs w:val="24"/>
        </w:rPr>
      </w:pPr>
    </w:p>
    <w:p w14:paraId="53A10C3F" w14:textId="37BD6B9A" w:rsidR="00A67E32" w:rsidRPr="00A67E32" w:rsidRDefault="00A43B2F" w:rsidP="002625F4">
      <w:pPr>
        <w:spacing w:after="240" w:line="276"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7.1 </w:t>
      </w:r>
      <w:r w:rsidR="00A67E32" w:rsidRPr="00A67E32">
        <w:rPr>
          <w:rFonts w:ascii="Times New Roman" w:hAnsi="Times New Roman" w:cs="Times New Roman"/>
          <w:b/>
          <w:i/>
          <w:sz w:val="24"/>
          <w:szCs w:val="24"/>
        </w:rPr>
        <w:t xml:space="preserve">Cognitive and behavioural foundation in general education </w:t>
      </w:r>
    </w:p>
    <w:p w14:paraId="072FB983" w14:textId="5107D8DE" w:rsidR="0013582E" w:rsidRDefault="00254B95" w:rsidP="002625F4">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To begin with </w:t>
      </w:r>
      <w:r w:rsidR="00D257BA">
        <w:rPr>
          <w:rFonts w:ascii="Times New Roman" w:hAnsi="Times New Roman" w:cs="Times New Roman"/>
          <w:sz w:val="24"/>
          <w:szCs w:val="24"/>
        </w:rPr>
        <w:t>address</w:t>
      </w:r>
      <w:r>
        <w:rPr>
          <w:rFonts w:ascii="Times New Roman" w:hAnsi="Times New Roman" w:cs="Times New Roman"/>
          <w:sz w:val="24"/>
          <w:szCs w:val="24"/>
        </w:rPr>
        <w:t>ing</w:t>
      </w:r>
      <w:r w:rsidR="00D257BA">
        <w:rPr>
          <w:rFonts w:ascii="Times New Roman" w:hAnsi="Times New Roman" w:cs="Times New Roman"/>
          <w:sz w:val="24"/>
          <w:szCs w:val="24"/>
        </w:rPr>
        <w:t xml:space="preserve"> the future concern</w:t>
      </w:r>
      <w:r>
        <w:rPr>
          <w:rFonts w:ascii="Times New Roman" w:hAnsi="Times New Roman" w:cs="Times New Roman"/>
          <w:sz w:val="24"/>
          <w:szCs w:val="24"/>
        </w:rPr>
        <w:t>, one important intervention</w:t>
      </w:r>
      <w:r w:rsidR="00D257BA">
        <w:rPr>
          <w:rFonts w:ascii="Times New Roman" w:hAnsi="Times New Roman" w:cs="Times New Roman"/>
          <w:sz w:val="24"/>
          <w:szCs w:val="24"/>
        </w:rPr>
        <w:t xml:space="preserve"> would be to focus on developing cognitive and behavioural foundation in general education system. This will require balancing literacy and numeracy skills with advanced skills such as problem solving and critical thinking. </w:t>
      </w:r>
      <w:r w:rsidR="0013582E">
        <w:rPr>
          <w:rFonts w:ascii="Times New Roman" w:hAnsi="Times New Roman" w:cs="Times New Roman"/>
          <w:sz w:val="24"/>
          <w:szCs w:val="24"/>
        </w:rPr>
        <w:t xml:space="preserve">Basic cognitive skills are referred numeracy and literacy skills. Higher cognitive skills refer the ability to understand complex ideas, learn from experience and use if logical, intuitive as well as critical thinking, and problem solving using logical process by way of acquired knowledge. Social and behavioural skill, defined as soft skills include personality traits, social skills. These also include openness to experience, conscientiousness, extraversion, agreeability, emotional and self -control to decision-making skills. </w:t>
      </w:r>
      <w:r w:rsidR="00D257BA">
        <w:rPr>
          <w:rFonts w:ascii="Times New Roman" w:hAnsi="Times New Roman" w:cs="Times New Roman"/>
          <w:sz w:val="24"/>
          <w:szCs w:val="24"/>
        </w:rPr>
        <w:t xml:space="preserve">The contradiction between available findings on cognitive ability of primary school completers  and the  nation-wide examination results are indicative of the fact that  primary school curriculum and or pedagogy may not equip children with cognitive skills that allows one to transfer formal knowledge into unfamiliar settings. Importantly, reform has to be built on the system’s strength. </w:t>
      </w:r>
      <w:r w:rsidR="008B3899">
        <w:rPr>
          <w:rFonts w:ascii="Times New Roman" w:hAnsi="Times New Roman" w:cs="Times New Roman"/>
          <w:sz w:val="24"/>
          <w:szCs w:val="24"/>
        </w:rPr>
        <w:t xml:space="preserve"> </w:t>
      </w:r>
      <w:r w:rsidR="0013582E">
        <w:rPr>
          <w:rFonts w:ascii="Times New Roman" w:hAnsi="Times New Roman" w:cs="Times New Roman"/>
          <w:sz w:val="24"/>
          <w:szCs w:val="24"/>
        </w:rPr>
        <w:t xml:space="preserve">General education system should focus on nurturing the above cognitive, behavioural and social skills.  Technical skills </w:t>
      </w:r>
      <w:r w:rsidR="0013582E" w:rsidRPr="00A43B2F">
        <w:rPr>
          <w:rFonts w:ascii="Times New Roman" w:hAnsi="Times New Roman" w:cs="Times New Roman"/>
          <w:sz w:val="24"/>
          <w:szCs w:val="24"/>
        </w:rPr>
        <w:t xml:space="preserve">that involve manual dexterity, application of methods, materials or instruments – are developed through vocational schooling and training, job or occupation specific on –the-job </w:t>
      </w:r>
      <w:r w:rsidR="00B6144C" w:rsidRPr="00A43B2F">
        <w:rPr>
          <w:rFonts w:ascii="Times New Roman" w:hAnsi="Times New Roman" w:cs="Times New Roman"/>
          <w:sz w:val="24"/>
          <w:szCs w:val="24"/>
        </w:rPr>
        <w:t>tra</w:t>
      </w:r>
      <w:r w:rsidR="00B6144C">
        <w:rPr>
          <w:rFonts w:ascii="Times New Roman" w:hAnsi="Times New Roman" w:cs="Times New Roman"/>
          <w:sz w:val="24"/>
          <w:szCs w:val="24"/>
        </w:rPr>
        <w:t>ining (Pierre et al. 2014</w:t>
      </w:r>
      <w:r w:rsidR="0013582E" w:rsidRPr="00A43B2F">
        <w:rPr>
          <w:rFonts w:ascii="Times New Roman" w:hAnsi="Times New Roman" w:cs="Times New Roman"/>
          <w:sz w:val="24"/>
          <w:szCs w:val="24"/>
        </w:rPr>
        <w:t>)</w:t>
      </w:r>
      <w:r w:rsidR="0013582E">
        <w:rPr>
          <w:rFonts w:ascii="Times New Roman" w:hAnsi="Times New Roman" w:cs="Times New Roman"/>
          <w:sz w:val="24"/>
          <w:szCs w:val="24"/>
        </w:rPr>
        <w:t xml:space="preserve"> </w:t>
      </w:r>
    </w:p>
    <w:p w14:paraId="07B86E4E" w14:textId="7BB8D973" w:rsidR="00A43B2F" w:rsidRDefault="00D257BA" w:rsidP="008B3899">
      <w:pPr>
        <w:spacing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emphasis has to be shifted so that more can acquire the cognitive and behavioural skills that would be needed for becoming successful in the </w:t>
      </w:r>
      <w:r w:rsidR="006E2C5E">
        <w:rPr>
          <w:rFonts w:ascii="Times New Roman" w:hAnsi="Times New Roman" w:cs="Times New Roman"/>
          <w:sz w:val="24"/>
          <w:szCs w:val="24"/>
        </w:rPr>
        <w:t>labour</w:t>
      </w:r>
      <w:r>
        <w:rPr>
          <w:rFonts w:ascii="Times New Roman" w:hAnsi="Times New Roman" w:cs="Times New Roman"/>
          <w:sz w:val="24"/>
          <w:szCs w:val="24"/>
        </w:rPr>
        <w:t xml:space="preserve"> market. The latter may require more schooling for all, expanding access to secondary education and more importantly a teaching and assessment method that will enhance the development of such skills. In this context for example, individualized self- learning approach that teaches at the right level has shown promise in many countries includ</w:t>
      </w:r>
      <w:r w:rsidR="00A43B2F">
        <w:rPr>
          <w:rFonts w:ascii="Times New Roman" w:hAnsi="Times New Roman" w:cs="Times New Roman"/>
          <w:sz w:val="24"/>
          <w:szCs w:val="24"/>
        </w:rPr>
        <w:t>ing Bangladesh (see Sawada et al. 2017)</w:t>
      </w:r>
      <w:r>
        <w:rPr>
          <w:rFonts w:ascii="Times New Roman" w:hAnsi="Times New Roman" w:cs="Times New Roman"/>
          <w:sz w:val="24"/>
          <w:szCs w:val="24"/>
        </w:rPr>
        <w:t>. It is important that drop-outs from schools are substantially reduced and the progression from primary to slower secondary to higher secondary to post-secondary are increased. The latter may require extra-hour of tuition which may not be currently at the desirable level comrade to other countries. The extra-hour of tuition has shown promise in reducing drop-outs or incre</w:t>
      </w:r>
      <w:r w:rsidR="00A43B2F">
        <w:rPr>
          <w:rFonts w:ascii="Times New Roman" w:hAnsi="Times New Roman" w:cs="Times New Roman"/>
          <w:sz w:val="24"/>
          <w:szCs w:val="24"/>
        </w:rPr>
        <w:t>asing enrolments i</w:t>
      </w:r>
      <w:r w:rsidR="004464BE">
        <w:rPr>
          <w:rFonts w:ascii="Times New Roman" w:hAnsi="Times New Roman" w:cs="Times New Roman"/>
          <w:sz w:val="24"/>
          <w:szCs w:val="24"/>
        </w:rPr>
        <w:t>n Bangladesh (Rutbah et al. 2016</w:t>
      </w:r>
      <w:r w:rsidR="00A43B2F">
        <w:rPr>
          <w:rFonts w:ascii="Times New Roman" w:hAnsi="Times New Roman" w:cs="Times New Roman"/>
          <w:sz w:val="24"/>
          <w:szCs w:val="24"/>
        </w:rPr>
        <w:t>)</w:t>
      </w:r>
      <w:r>
        <w:rPr>
          <w:rFonts w:ascii="Times New Roman" w:hAnsi="Times New Roman" w:cs="Times New Roman"/>
          <w:sz w:val="24"/>
          <w:szCs w:val="24"/>
        </w:rPr>
        <w:t xml:space="preserve">. However, what is most important is to provide quality teaching and learning environment to foster cognitive ability. Schooling through general education should balance competency as well as content based learning that will stimulate creative and critical thing among primary and secondary schools goers. </w:t>
      </w:r>
    </w:p>
    <w:p w14:paraId="2D867781" w14:textId="52DE5DB3" w:rsidR="00D257BA" w:rsidRDefault="00D257BA" w:rsidP="008B3899">
      <w:pPr>
        <w:spacing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In this context, we can learn from the experience of Singapore and Korea- these two countries exemplified as successful education system had adopted curriculum and student assessment system, which promote knowledge acquisition as well as active learning and critical thinking in schools</w:t>
      </w:r>
      <w:r w:rsidR="00A43B2F">
        <w:rPr>
          <w:rFonts w:ascii="Times New Roman" w:hAnsi="Times New Roman" w:cs="Times New Roman"/>
          <w:sz w:val="24"/>
          <w:szCs w:val="24"/>
        </w:rPr>
        <w:t xml:space="preserve"> (cited in VDR 2014)</w:t>
      </w:r>
      <w:r>
        <w:rPr>
          <w:rFonts w:ascii="Times New Roman" w:hAnsi="Times New Roman" w:cs="Times New Roman"/>
          <w:sz w:val="24"/>
          <w:szCs w:val="24"/>
        </w:rPr>
        <w:t xml:space="preserve">. For example, Vietnam also undergoing modernization its school curriculum system and redesigning general education system   defining students’ essential competencies that will form the basis of educational objectives, standards, learning </w:t>
      </w:r>
      <w:r>
        <w:rPr>
          <w:rFonts w:ascii="Times New Roman" w:hAnsi="Times New Roman" w:cs="Times New Roman"/>
          <w:sz w:val="24"/>
          <w:szCs w:val="24"/>
        </w:rPr>
        <w:lastRenderedPageBreak/>
        <w:t>content,</w:t>
      </w:r>
      <w:r w:rsidR="00A43B2F">
        <w:rPr>
          <w:rFonts w:ascii="Times New Roman" w:hAnsi="Times New Roman" w:cs="Times New Roman"/>
          <w:sz w:val="24"/>
          <w:szCs w:val="24"/>
        </w:rPr>
        <w:t xml:space="preserve"> teaching method and assessment(VDR 2014)</w:t>
      </w:r>
      <w:r>
        <w:rPr>
          <w:rFonts w:ascii="Times New Roman" w:hAnsi="Times New Roman" w:cs="Times New Roman"/>
          <w:sz w:val="24"/>
          <w:szCs w:val="24"/>
        </w:rPr>
        <w:t xml:space="preserve">. In an effort to reform its school curriculum modernization, beyond textbook reform only, Vietnam undertook a model replicating what was taken in Columbia, which is called Esculea Nueva that features group learning and problem solving rather than memorisation and copying that is often seen in many places; Vietnam has piloted its version of Esculea Nuvea in 1500 schools and the government intend to expand the pilot in lower secondary schools </w:t>
      </w:r>
      <w:r w:rsidR="00A43B2F">
        <w:rPr>
          <w:rFonts w:ascii="Times New Roman" w:hAnsi="Times New Roman" w:cs="Times New Roman"/>
          <w:sz w:val="24"/>
          <w:szCs w:val="24"/>
        </w:rPr>
        <w:t>(VDR 2014)</w:t>
      </w:r>
      <w:r>
        <w:rPr>
          <w:rFonts w:ascii="Times New Roman" w:hAnsi="Times New Roman" w:cs="Times New Roman"/>
          <w:sz w:val="24"/>
          <w:szCs w:val="24"/>
        </w:rPr>
        <w:t>.</w:t>
      </w:r>
    </w:p>
    <w:p w14:paraId="04F99046" w14:textId="438FBB0D" w:rsidR="001844C8" w:rsidRPr="00B17058" w:rsidRDefault="00A43B2F" w:rsidP="00874880">
      <w:pPr>
        <w:spacing w:after="240" w:line="276" w:lineRule="auto"/>
        <w:jc w:val="both"/>
        <w:rPr>
          <w:rFonts w:ascii="Times New Roman" w:eastAsia="Times New Roman" w:hAnsi="Times New Roman" w:cs="Times New Roman"/>
          <w:b/>
          <w:color w:val="0F1010"/>
          <w:sz w:val="24"/>
          <w:szCs w:val="24"/>
          <w:lang w:val="en" w:eastAsia="en-GB"/>
        </w:rPr>
      </w:pPr>
      <w:r>
        <w:rPr>
          <w:rFonts w:ascii="Times New Roman" w:eastAsia="Times New Roman" w:hAnsi="Times New Roman" w:cs="Times New Roman"/>
          <w:b/>
          <w:color w:val="0F1010"/>
          <w:sz w:val="24"/>
          <w:szCs w:val="24"/>
          <w:lang w:val="en" w:eastAsia="en-GB"/>
        </w:rPr>
        <w:t>7.2</w:t>
      </w:r>
      <w:r w:rsidR="008A562B" w:rsidRPr="00B17058">
        <w:rPr>
          <w:rFonts w:ascii="Times New Roman" w:eastAsia="Times New Roman" w:hAnsi="Times New Roman" w:cs="Times New Roman"/>
          <w:b/>
          <w:color w:val="0F1010"/>
          <w:sz w:val="24"/>
          <w:szCs w:val="24"/>
          <w:lang w:val="en" w:eastAsia="en-GB"/>
        </w:rPr>
        <w:t xml:space="preserve"> </w:t>
      </w:r>
      <w:r w:rsidR="001844C8" w:rsidRPr="00B17058">
        <w:rPr>
          <w:rFonts w:ascii="Times New Roman" w:eastAsia="Times New Roman" w:hAnsi="Times New Roman" w:cs="Times New Roman"/>
          <w:b/>
          <w:color w:val="0F1010"/>
          <w:sz w:val="24"/>
          <w:szCs w:val="24"/>
          <w:lang w:val="en" w:eastAsia="en-GB"/>
        </w:rPr>
        <w:t>Addressing Learning Crisis</w:t>
      </w:r>
    </w:p>
    <w:p w14:paraId="752092BC" w14:textId="77777777" w:rsidR="001844C8" w:rsidRPr="00B17058" w:rsidRDefault="001844C8" w:rsidP="00874880">
      <w:pPr>
        <w:autoSpaceDE w:val="0"/>
        <w:autoSpaceDN w:val="0"/>
        <w:adjustRightInd w:val="0"/>
        <w:spacing w:after="240" w:line="276" w:lineRule="auto"/>
        <w:jc w:val="both"/>
        <w:rPr>
          <w:rFonts w:ascii="Times New Roman" w:hAnsi="Times New Roman" w:cs="Times New Roman"/>
          <w:sz w:val="24"/>
          <w:szCs w:val="24"/>
        </w:rPr>
      </w:pPr>
      <w:r w:rsidRPr="00B17058">
        <w:rPr>
          <w:rFonts w:ascii="Times New Roman" w:hAnsi="Times New Roman" w:cs="Times New Roman"/>
          <w:sz w:val="24"/>
          <w:szCs w:val="24"/>
        </w:rPr>
        <w:t xml:space="preserve">The benefits an individual would derive from education largely depend on learning implying that schooling without learning can be wasted opportunity.  Education or schooling should provide with skills needed to sustain life activities. It is extremely important that students learn how to interpret many types of written passages, understand how numbers work and be able to use higher-order reasoning and creativity that building on these foundational skills. Importantly they should be able to acquire socio-emotional skills such as perseverance for success and interpersonal communication to the ability to work on teams. </w:t>
      </w:r>
    </w:p>
    <w:p w14:paraId="06137D03" w14:textId="77777777" w:rsidR="001844C8" w:rsidRPr="00B17058" w:rsidRDefault="001844C8" w:rsidP="00874880">
      <w:pPr>
        <w:autoSpaceDE w:val="0"/>
        <w:autoSpaceDN w:val="0"/>
        <w:adjustRightInd w:val="0"/>
        <w:spacing w:after="240" w:line="276" w:lineRule="auto"/>
        <w:jc w:val="both"/>
        <w:rPr>
          <w:rFonts w:ascii="Times New Roman" w:hAnsi="Times New Roman" w:cs="Times New Roman"/>
          <w:b/>
          <w:i/>
          <w:sz w:val="24"/>
          <w:szCs w:val="24"/>
          <w:lang w:val="en-US"/>
        </w:rPr>
      </w:pPr>
      <w:r w:rsidRPr="00B17058">
        <w:rPr>
          <w:rFonts w:ascii="Times New Roman" w:hAnsi="Times New Roman" w:cs="Times New Roman"/>
          <w:b/>
          <w:i/>
          <w:sz w:val="24"/>
          <w:szCs w:val="24"/>
          <w:lang w:val="en-US"/>
        </w:rPr>
        <w:t xml:space="preserve">Early childhood development </w:t>
      </w:r>
    </w:p>
    <w:p w14:paraId="34AF9077" w14:textId="067B5D6C" w:rsidR="001844C8" w:rsidRPr="00B17058" w:rsidRDefault="001844C8" w:rsidP="00874880">
      <w:pPr>
        <w:autoSpaceDE w:val="0"/>
        <w:autoSpaceDN w:val="0"/>
        <w:adjustRightInd w:val="0"/>
        <w:spacing w:after="240" w:line="276" w:lineRule="auto"/>
        <w:jc w:val="both"/>
        <w:rPr>
          <w:rFonts w:ascii="Times New Roman" w:eastAsia="Times New Roman" w:hAnsi="Times New Roman" w:cs="Times New Roman"/>
          <w:color w:val="0F1010"/>
          <w:sz w:val="24"/>
          <w:szCs w:val="24"/>
          <w:lang w:val="en" w:eastAsia="en-GB"/>
        </w:rPr>
      </w:pPr>
      <w:r w:rsidRPr="00B17058">
        <w:rPr>
          <w:rFonts w:ascii="Times New Roman" w:hAnsi="Times New Roman" w:cs="Times New Roman"/>
          <w:sz w:val="24"/>
          <w:szCs w:val="24"/>
          <w:lang w:val="en-US"/>
        </w:rPr>
        <w:t>Early childhood development assumes crucial importance for future human development. The family environments of young children are major predictors of cognitive and non-cognitive abilities as well as other child outcomes and that ability gaps between advantaged and disadvantaged open up early years of lives of children (Heckman 2008</w:t>
      </w:r>
      <w:r w:rsidRPr="00B17058">
        <w:rPr>
          <w:rFonts w:ascii="Times New Roman" w:hAnsi="Times New Roman" w:cs="Times New Roman"/>
          <w:sz w:val="24"/>
          <w:szCs w:val="24"/>
        </w:rPr>
        <w:t xml:space="preserve">). Studies focusing on early childhood education conclude that such interventions can have positive impacts on cognitive skills and test outcomes during the later stages of schooling and can also have longer term later life success including </w:t>
      </w:r>
      <w:r w:rsidR="006E2C5E">
        <w:rPr>
          <w:rFonts w:ascii="Times New Roman" w:hAnsi="Times New Roman" w:cs="Times New Roman"/>
          <w:sz w:val="24"/>
          <w:szCs w:val="24"/>
        </w:rPr>
        <w:t>labour</w:t>
      </w:r>
      <w:r w:rsidRPr="00B17058">
        <w:rPr>
          <w:rFonts w:ascii="Times New Roman" w:hAnsi="Times New Roman" w:cs="Times New Roman"/>
          <w:sz w:val="24"/>
          <w:szCs w:val="24"/>
        </w:rPr>
        <w:t xml:space="preserve"> market outcomes.  </w:t>
      </w:r>
      <w:r w:rsidRPr="00B17058">
        <w:rPr>
          <w:rFonts w:ascii="Times New Roman" w:eastAsia="Times New Roman" w:hAnsi="Times New Roman" w:cs="Times New Roman"/>
          <w:color w:val="0F1010"/>
          <w:sz w:val="24"/>
          <w:szCs w:val="24"/>
          <w:lang w:val="en" w:eastAsia="en-GB"/>
        </w:rPr>
        <w:t xml:space="preserve">Rabbani </w:t>
      </w:r>
      <w:r w:rsidR="00B6144C">
        <w:rPr>
          <w:rFonts w:ascii="Times New Roman" w:eastAsia="Times New Roman" w:hAnsi="Times New Roman" w:cs="Times New Roman"/>
          <w:color w:val="0F1010"/>
          <w:sz w:val="24"/>
          <w:szCs w:val="24"/>
          <w:lang w:val="en" w:eastAsia="en-GB"/>
        </w:rPr>
        <w:t xml:space="preserve">(2016) </w:t>
      </w:r>
      <w:r w:rsidRPr="00B17058">
        <w:rPr>
          <w:rFonts w:ascii="Times New Roman" w:eastAsia="Times New Roman" w:hAnsi="Times New Roman" w:cs="Times New Roman"/>
          <w:color w:val="0F1010"/>
          <w:sz w:val="24"/>
          <w:szCs w:val="24"/>
          <w:lang w:val="en" w:eastAsia="en-GB"/>
        </w:rPr>
        <w:t xml:space="preserve">discusses some of the smarter goals for education sector in Bangladesh, those particularly focuses on early childhood development through psycho-social stimulation.  Drawing from a study in Jamaica, which provided a “two-year stimulation intervention” to stunted children, who lagged behind in learning and productivity and that resulted in about 20 years almost equal </w:t>
      </w:r>
      <w:r w:rsidR="006E2C5E">
        <w:rPr>
          <w:rFonts w:ascii="Times New Roman" w:eastAsia="Times New Roman" w:hAnsi="Times New Roman" w:cs="Times New Roman"/>
          <w:color w:val="0F1010"/>
          <w:sz w:val="24"/>
          <w:szCs w:val="24"/>
          <w:lang w:val="en" w:eastAsia="en-GB"/>
        </w:rPr>
        <w:t>labour</w:t>
      </w:r>
      <w:r w:rsidRPr="00B17058">
        <w:rPr>
          <w:rFonts w:ascii="Times New Roman" w:eastAsia="Times New Roman" w:hAnsi="Times New Roman" w:cs="Times New Roman"/>
          <w:color w:val="0F1010"/>
          <w:sz w:val="24"/>
          <w:szCs w:val="24"/>
          <w:lang w:val="en" w:eastAsia="en-GB"/>
        </w:rPr>
        <w:t xml:space="preserve"> market outcomes in terms of wage and earning level for these treated and their non-stunted (stunted control) cohorts; stunted children not covered by such program 20 years earlier,</w:t>
      </w:r>
      <w:r w:rsidR="00A43B2F">
        <w:rPr>
          <w:rFonts w:ascii="Times New Roman" w:eastAsia="Times New Roman" w:hAnsi="Times New Roman" w:cs="Times New Roman"/>
          <w:color w:val="0F1010"/>
          <w:sz w:val="24"/>
          <w:szCs w:val="24"/>
          <w:lang w:val="en" w:eastAsia="en-GB"/>
        </w:rPr>
        <w:t xml:space="preserve"> earn</w:t>
      </w:r>
      <w:r w:rsidR="004464BE">
        <w:rPr>
          <w:rFonts w:ascii="Times New Roman" w:eastAsia="Times New Roman" w:hAnsi="Times New Roman" w:cs="Times New Roman"/>
          <w:color w:val="0F1010"/>
          <w:sz w:val="24"/>
          <w:szCs w:val="24"/>
          <w:lang w:val="en" w:eastAsia="en-GB"/>
        </w:rPr>
        <w:t>ed 25% less</w:t>
      </w:r>
      <w:r w:rsidR="00B6144C">
        <w:rPr>
          <w:rFonts w:ascii="Times New Roman" w:eastAsia="Times New Roman" w:hAnsi="Times New Roman" w:cs="Times New Roman"/>
          <w:color w:val="0F1010"/>
          <w:sz w:val="24"/>
          <w:szCs w:val="24"/>
          <w:lang w:val="en" w:eastAsia="en-GB"/>
        </w:rPr>
        <w:t xml:space="preserve"> (</w:t>
      </w:r>
      <w:r w:rsidR="004464BE">
        <w:rPr>
          <w:rFonts w:ascii="Times New Roman" w:eastAsia="Times New Roman" w:hAnsi="Times New Roman" w:cs="Times New Roman"/>
          <w:color w:val="0F1010"/>
          <w:sz w:val="24"/>
          <w:szCs w:val="24"/>
          <w:lang w:val="en" w:eastAsia="en-GB"/>
        </w:rPr>
        <w:t>Rabbani 2016). Rabbani</w:t>
      </w:r>
      <w:r w:rsidR="00B6144C">
        <w:rPr>
          <w:rFonts w:ascii="Times New Roman" w:eastAsia="Times New Roman" w:hAnsi="Times New Roman" w:cs="Times New Roman"/>
          <w:color w:val="0F1010"/>
          <w:sz w:val="24"/>
          <w:szCs w:val="24"/>
          <w:lang w:val="en" w:eastAsia="en-GB"/>
        </w:rPr>
        <w:t xml:space="preserve"> </w:t>
      </w:r>
      <w:r w:rsidR="004464BE">
        <w:rPr>
          <w:rFonts w:ascii="Times New Roman" w:eastAsia="Times New Roman" w:hAnsi="Times New Roman" w:cs="Times New Roman"/>
          <w:color w:val="0F1010"/>
          <w:sz w:val="24"/>
          <w:szCs w:val="24"/>
          <w:lang w:val="en" w:eastAsia="en-GB"/>
        </w:rPr>
        <w:t>(2016</w:t>
      </w:r>
      <w:r w:rsidR="00A43B2F">
        <w:rPr>
          <w:rFonts w:ascii="Times New Roman" w:eastAsia="Times New Roman" w:hAnsi="Times New Roman" w:cs="Times New Roman"/>
          <w:color w:val="0F1010"/>
          <w:sz w:val="24"/>
          <w:szCs w:val="24"/>
          <w:lang w:val="en" w:eastAsia="en-GB"/>
        </w:rPr>
        <w:t>)</w:t>
      </w:r>
      <w:r w:rsidRPr="00B17058">
        <w:rPr>
          <w:rFonts w:ascii="Times New Roman" w:eastAsia="Times New Roman" w:hAnsi="Times New Roman" w:cs="Times New Roman"/>
          <w:color w:val="0F1010"/>
          <w:sz w:val="24"/>
          <w:szCs w:val="24"/>
          <w:lang w:val="en" w:eastAsia="en-GB"/>
        </w:rPr>
        <w:t xml:space="preserve"> suggest</w:t>
      </w:r>
      <w:r w:rsidR="00A43B2F">
        <w:rPr>
          <w:rFonts w:ascii="Times New Roman" w:eastAsia="Times New Roman" w:hAnsi="Times New Roman" w:cs="Times New Roman"/>
          <w:color w:val="0F1010"/>
          <w:sz w:val="24"/>
          <w:szCs w:val="24"/>
          <w:lang w:val="en" w:eastAsia="en-GB"/>
        </w:rPr>
        <w:t>s</w:t>
      </w:r>
      <w:r w:rsidR="00CE44E6">
        <w:rPr>
          <w:rFonts w:ascii="Times New Roman" w:eastAsia="Times New Roman" w:hAnsi="Times New Roman" w:cs="Times New Roman"/>
          <w:color w:val="0F1010"/>
          <w:sz w:val="24"/>
          <w:szCs w:val="24"/>
          <w:lang w:val="en" w:eastAsia="en-GB"/>
        </w:rPr>
        <w:t xml:space="preserve">, when </w:t>
      </w:r>
      <w:r w:rsidRPr="00B17058">
        <w:rPr>
          <w:rFonts w:ascii="Times New Roman" w:eastAsia="Times New Roman" w:hAnsi="Times New Roman" w:cs="Times New Roman"/>
          <w:color w:val="0F1010"/>
          <w:sz w:val="24"/>
          <w:szCs w:val="24"/>
          <w:lang w:val="en" w:eastAsia="en-GB"/>
        </w:rPr>
        <w:t xml:space="preserve">translated to Bangladesh, benefit of such program (one social worker for one hour per week per child) would out-weight the cost at a ratio of 18:1. </w:t>
      </w:r>
    </w:p>
    <w:p w14:paraId="6E264968" w14:textId="77777777" w:rsidR="001844C8" w:rsidRPr="00B17058" w:rsidRDefault="001844C8" w:rsidP="00874880">
      <w:pPr>
        <w:autoSpaceDE w:val="0"/>
        <w:autoSpaceDN w:val="0"/>
        <w:adjustRightInd w:val="0"/>
        <w:spacing w:after="240" w:line="276" w:lineRule="auto"/>
        <w:jc w:val="both"/>
        <w:rPr>
          <w:rFonts w:ascii="Times New Roman" w:hAnsi="Times New Roman" w:cs="Times New Roman"/>
          <w:b/>
          <w:i/>
          <w:iCs/>
          <w:sz w:val="24"/>
          <w:szCs w:val="24"/>
        </w:rPr>
      </w:pPr>
      <w:r w:rsidRPr="00B17058">
        <w:rPr>
          <w:rFonts w:ascii="Times New Roman" w:hAnsi="Times New Roman" w:cs="Times New Roman"/>
          <w:b/>
          <w:i/>
          <w:iCs/>
          <w:sz w:val="24"/>
          <w:szCs w:val="24"/>
        </w:rPr>
        <w:t xml:space="preserve">Remedial prevention approaches </w:t>
      </w:r>
    </w:p>
    <w:p w14:paraId="4DDB13DD" w14:textId="3A2BA4F2" w:rsidR="001844C8" w:rsidRPr="00B17058" w:rsidRDefault="001844C8" w:rsidP="00874880">
      <w:pPr>
        <w:autoSpaceDE w:val="0"/>
        <w:autoSpaceDN w:val="0"/>
        <w:adjustRightInd w:val="0"/>
        <w:spacing w:after="240" w:line="276" w:lineRule="auto"/>
        <w:jc w:val="both"/>
        <w:rPr>
          <w:rFonts w:ascii="Times New Roman" w:hAnsi="Times New Roman" w:cs="Times New Roman"/>
          <w:sz w:val="24"/>
          <w:szCs w:val="24"/>
        </w:rPr>
      </w:pPr>
      <w:r w:rsidRPr="00B17058">
        <w:rPr>
          <w:rFonts w:ascii="Times New Roman" w:hAnsi="Times New Roman" w:cs="Times New Roman"/>
          <w:sz w:val="24"/>
          <w:szCs w:val="24"/>
        </w:rPr>
        <w:t>Remedial programs can help young children at risk in the formal education system to prepare themselves for further academic education or training</w:t>
      </w:r>
      <w:r w:rsidR="00B6144C">
        <w:rPr>
          <w:rFonts w:ascii="Times New Roman" w:hAnsi="Times New Roman" w:cs="Times New Roman"/>
          <w:sz w:val="24"/>
          <w:szCs w:val="24"/>
        </w:rPr>
        <w:t xml:space="preserve"> (World Bank</w:t>
      </w:r>
      <w:r w:rsidR="00A43B2F">
        <w:rPr>
          <w:rFonts w:ascii="Times New Roman" w:hAnsi="Times New Roman" w:cs="Times New Roman"/>
          <w:sz w:val="24"/>
          <w:szCs w:val="24"/>
        </w:rPr>
        <w:t xml:space="preserve"> 2018)</w:t>
      </w:r>
      <w:r w:rsidRPr="00B17058">
        <w:rPr>
          <w:rFonts w:ascii="Times New Roman" w:hAnsi="Times New Roman" w:cs="Times New Roman"/>
          <w:sz w:val="24"/>
          <w:szCs w:val="24"/>
        </w:rPr>
        <w:t xml:space="preserve">.  The most promising remedial prevention approaches include: 1) supporting primary and secondary students willing to stay in school and master foundational skills:  in India, offering additional instruction for </w:t>
      </w:r>
      <w:r w:rsidRPr="00B17058">
        <w:rPr>
          <w:rFonts w:ascii="Times New Roman" w:hAnsi="Times New Roman" w:cs="Times New Roman"/>
          <w:sz w:val="24"/>
          <w:szCs w:val="24"/>
        </w:rPr>
        <w:lastRenderedPageBreak/>
        <w:t xml:space="preserve">disadvantaged students have shown positive impacts on foundational skills; 2) offering students with early assessments of their academic standing, along with extra instruction to improve performance. For example, early assessment program in California for academically at-risk students shows declining needs for remediation at later stages of education and training; 3) providing secondary school students the option of registering concurrently in postsecondary courses: in USA it was found that those student are were less likely to require remediation and more likely to persist in tertiary education and improve academic outcomes. </w:t>
      </w:r>
    </w:p>
    <w:p w14:paraId="5BAB7D1E" w14:textId="77777777" w:rsidR="001844C8" w:rsidRPr="00B17058" w:rsidRDefault="001844C8" w:rsidP="00874880">
      <w:pPr>
        <w:autoSpaceDE w:val="0"/>
        <w:autoSpaceDN w:val="0"/>
        <w:adjustRightInd w:val="0"/>
        <w:spacing w:after="240" w:line="276" w:lineRule="auto"/>
        <w:jc w:val="both"/>
        <w:rPr>
          <w:rFonts w:ascii="Times New Roman" w:hAnsi="Times New Roman" w:cs="Times New Roman"/>
          <w:b/>
          <w:i/>
          <w:iCs/>
          <w:sz w:val="24"/>
          <w:szCs w:val="24"/>
        </w:rPr>
      </w:pPr>
      <w:r w:rsidRPr="00B17058">
        <w:rPr>
          <w:rFonts w:ascii="Times New Roman" w:hAnsi="Times New Roman" w:cs="Times New Roman"/>
          <w:b/>
          <w:i/>
          <w:iCs/>
          <w:sz w:val="24"/>
          <w:szCs w:val="24"/>
        </w:rPr>
        <w:t xml:space="preserve">Making teaching more effective: </w:t>
      </w:r>
    </w:p>
    <w:p w14:paraId="5CEBDF42" w14:textId="77777777" w:rsidR="001844C8" w:rsidRPr="00B17058" w:rsidRDefault="001844C8" w:rsidP="00874880">
      <w:pPr>
        <w:autoSpaceDE w:val="0"/>
        <w:autoSpaceDN w:val="0"/>
        <w:adjustRightInd w:val="0"/>
        <w:spacing w:after="240" w:line="276" w:lineRule="auto"/>
        <w:jc w:val="both"/>
        <w:rPr>
          <w:rFonts w:ascii="Times New Roman" w:hAnsi="Times New Roman" w:cs="Times New Roman"/>
          <w:sz w:val="24"/>
          <w:szCs w:val="24"/>
        </w:rPr>
      </w:pPr>
      <w:r w:rsidRPr="00B17058">
        <w:rPr>
          <w:rFonts w:ascii="Times New Roman" w:hAnsi="Times New Roman" w:cs="Times New Roman"/>
          <w:iCs/>
          <w:sz w:val="24"/>
          <w:szCs w:val="24"/>
        </w:rPr>
        <w:t xml:space="preserve">For effective teaching teachers’ skill and motivation </w:t>
      </w:r>
      <w:r w:rsidRPr="00B17058">
        <w:rPr>
          <w:rFonts w:ascii="Times New Roman" w:hAnsi="Times New Roman" w:cs="Times New Roman"/>
          <w:sz w:val="24"/>
          <w:szCs w:val="24"/>
        </w:rPr>
        <w:t xml:space="preserve">is crucial. For this education system need to attract qualified people in teaching and provide a solid foundation of subject knowledge and pedagogy before they start teaching, without which teachers will find them in the class room less equipped to teach effectively with only theoretical knowledge. Education system need effective mechanism to mentor, support and motivate teachers- without motivation of teachers their skills may not translate to student learning. </w:t>
      </w:r>
    </w:p>
    <w:p w14:paraId="4E5A2C30" w14:textId="7B470031" w:rsidR="001844C8" w:rsidRPr="00B17058" w:rsidRDefault="001844C8" w:rsidP="00874880">
      <w:pPr>
        <w:autoSpaceDE w:val="0"/>
        <w:autoSpaceDN w:val="0"/>
        <w:adjustRightInd w:val="0"/>
        <w:spacing w:after="240" w:line="276" w:lineRule="auto"/>
        <w:jc w:val="both"/>
        <w:rPr>
          <w:rFonts w:ascii="Times New Roman" w:hAnsi="Times New Roman" w:cs="Times New Roman"/>
          <w:b/>
          <w:i/>
          <w:sz w:val="24"/>
          <w:szCs w:val="24"/>
        </w:rPr>
      </w:pPr>
      <w:r w:rsidRPr="00B17058">
        <w:rPr>
          <w:rFonts w:ascii="Times New Roman" w:hAnsi="Times New Roman" w:cs="Times New Roman"/>
          <w:b/>
          <w:i/>
          <w:sz w:val="24"/>
          <w:szCs w:val="24"/>
        </w:rPr>
        <w:t>All for learning</w:t>
      </w:r>
      <w:r w:rsidR="008A562B" w:rsidRPr="00B17058">
        <w:rPr>
          <w:rFonts w:ascii="Times New Roman" w:hAnsi="Times New Roman" w:cs="Times New Roman"/>
          <w:b/>
          <w:i/>
          <w:sz w:val="24"/>
          <w:szCs w:val="24"/>
        </w:rPr>
        <w:t xml:space="preserve"> approach </w:t>
      </w:r>
    </w:p>
    <w:p w14:paraId="745E1C2E" w14:textId="5FFE047B" w:rsidR="001844C8" w:rsidRDefault="001844C8" w:rsidP="00874880">
      <w:pPr>
        <w:autoSpaceDE w:val="0"/>
        <w:autoSpaceDN w:val="0"/>
        <w:adjustRightInd w:val="0"/>
        <w:spacing w:after="240" w:line="276" w:lineRule="auto"/>
        <w:jc w:val="both"/>
        <w:rPr>
          <w:rFonts w:ascii="Times New Roman" w:hAnsi="Times New Roman" w:cs="Times New Roman"/>
          <w:sz w:val="24"/>
          <w:szCs w:val="24"/>
        </w:rPr>
      </w:pPr>
      <w:r w:rsidRPr="00B17058">
        <w:rPr>
          <w:rFonts w:ascii="Times New Roman" w:hAnsi="Times New Roman" w:cs="Times New Roman"/>
          <w:sz w:val="24"/>
          <w:szCs w:val="24"/>
        </w:rPr>
        <w:t>Focusing on improving learning outcome can bring great progress in achieving the goals of education and building skilled human resources. The case of republic Korea is a great example that achieved universal enrolment in high quality education through secondary schools in 45 years from very low level of literacy in 1945; Korean students perform at the highest level in international learning assessments (World Bank 2018). Another example is Vietnam, which as a lower-middle income country, demonstrated comparable performance in student (15 years old students) learning assessment tests to that of Germany</w:t>
      </w:r>
      <w:r w:rsidR="004464BE">
        <w:rPr>
          <w:rFonts w:ascii="Times New Roman" w:hAnsi="Times New Roman" w:cs="Times New Roman"/>
          <w:sz w:val="24"/>
          <w:szCs w:val="24"/>
        </w:rPr>
        <w:t xml:space="preserve"> (VDR 2014)</w:t>
      </w:r>
      <w:r w:rsidRPr="00B17058">
        <w:rPr>
          <w:rFonts w:ascii="Times New Roman" w:hAnsi="Times New Roman" w:cs="Times New Roman"/>
          <w:sz w:val="24"/>
          <w:szCs w:val="24"/>
        </w:rPr>
        <w:t>. As reported</w:t>
      </w:r>
      <w:r w:rsidR="004464BE">
        <w:rPr>
          <w:rFonts w:ascii="Times New Roman" w:hAnsi="Times New Roman" w:cs="Times New Roman"/>
          <w:sz w:val="24"/>
          <w:szCs w:val="24"/>
        </w:rPr>
        <w:t>,</w:t>
      </w:r>
      <w:r w:rsidRPr="00B17058">
        <w:rPr>
          <w:rFonts w:ascii="Times New Roman" w:hAnsi="Times New Roman" w:cs="Times New Roman"/>
          <w:sz w:val="24"/>
          <w:szCs w:val="24"/>
        </w:rPr>
        <w:t xml:space="preserve"> during 2009 to 2015, Peru achieved some of the fastest growth in overall learning outcomes following policy action </w:t>
      </w:r>
      <w:r w:rsidR="004464BE">
        <w:rPr>
          <w:rFonts w:ascii="Times New Roman" w:hAnsi="Times New Roman" w:cs="Times New Roman"/>
          <w:sz w:val="24"/>
          <w:szCs w:val="24"/>
        </w:rPr>
        <w:t>(VDR 2014). R</w:t>
      </w:r>
      <w:r w:rsidRPr="00B17058">
        <w:rPr>
          <w:rFonts w:ascii="Times New Roman" w:hAnsi="Times New Roman" w:cs="Times New Roman"/>
          <w:sz w:val="24"/>
          <w:szCs w:val="24"/>
        </w:rPr>
        <w:t xml:space="preserve">ecently, Malaysia and Tanzania launched promising society wide </w:t>
      </w:r>
      <w:r w:rsidR="00B6144C" w:rsidRPr="00B17058">
        <w:rPr>
          <w:rFonts w:ascii="Times New Roman" w:hAnsi="Times New Roman" w:cs="Times New Roman"/>
          <w:sz w:val="24"/>
          <w:szCs w:val="24"/>
        </w:rPr>
        <w:t>col</w:t>
      </w:r>
      <w:r w:rsidR="00B6144C">
        <w:rPr>
          <w:rFonts w:ascii="Times New Roman" w:hAnsi="Times New Roman" w:cs="Times New Roman"/>
          <w:sz w:val="24"/>
          <w:szCs w:val="24"/>
        </w:rPr>
        <w:t>labora</w:t>
      </w:r>
      <w:r w:rsidR="00B6144C" w:rsidRPr="00B17058">
        <w:rPr>
          <w:rFonts w:ascii="Times New Roman" w:hAnsi="Times New Roman" w:cs="Times New Roman"/>
          <w:sz w:val="24"/>
          <w:szCs w:val="24"/>
        </w:rPr>
        <w:t>tive</w:t>
      </w:r>
      <w:r w:rsidRPr="00B17058">
        <w:rPr>
          <w:rFonts w:ascii="Times New Roman" w:hAnsi="Times New Roman" w:cs="Times New Roman"/>
          <w:sz w:val="24"/>
          <w:szCs w:val="24"/>
        </w:rPr>
        <w:t xml:space="preserve"> approaches to systematically improving learning (World Bank 2018). For a successful approach to addressing learning crisis and achieving the promise of education, a “clear-eyed diagnosis followed by concerned action’ will be needed. The WDR 2018, drawing evidences, discusses how change might be possible with commitment to “all for learning.” The three complimentary strategies to achieve “all for learning” would entail “1) </w:t>
      </w:r>
      <w:r w:rsidRPr="00B17058">
        <w:rPr>
          <w:rFonts w:ascii="Times New Roman" w:hAnsi="Times New Roman" w:cs="Times New Roman"/>
          <w:iCs/>
          <w:sz w:val="24"/>
          <w:szCs w:val="24"/>
        </w:rPr>
        <w:t>Assess learning</w:t>
      </w:r>
      <w:r w:rsidRPr="00B17058">
        <w:rPr>
          <w:rFonts w:ascii="Times New Roman" w:hAnsi="Times New Roman" w:cs="Times New Roman"/>
          <w:sz w:val="24"/>
          <w:szCs w:val="24"/>
        </w:rPr>
        <w:t>—</w:t>
      </w:r>
      <w:r w:rsidRPr="00B17058">
        <w:rPr>
          <w:rFonts w:ascii="Times New Roman" w:hAnsi="Times New Roman" w:cs="Times New Roman"/>
          <w:iCs/>
          <w:sz w:val="24"/>
          <w:szCs w:val="24"/>
        </w:rPr>
        <w:t xml:space="preserve">to make it a serious goal. </w:t>
      </w:r>
      <w:r w:rsidRPr="00B17058">
        <w:rPr>
          <w:rFonts w:ascii="Times New Roman" w:hAnsi="Times New Roman" w:cs="Times New Roman"/>
          <w:sz w:val="24"/>
          <w:szCs w:val="24"/>
        </w:rPr>
        <w:t xml:space="preserve">Measure and track learning better; use the results to guide action. </w:t>
      </w:r>
      <w:r w:rsidRPr="00B17058">
        <w:rPr>
          <w:rFonts w:ascii="Times New Roman" w:hAnsi="Times New Roman" w:cs="Times New Roman"/>
          <w:iCs/>
          <w:sz w:val="24"/>
          <w:szCs w:val="24"/>
        </w:rPr>
        <w:t>2) Act on evidence</w:t>
      </w:r>
      <w:r w:rsidRPr="00B17058">
        <w:rPr>
          <w:rFonts w:ascii="Times New Roman" w:hAnsi="Times New Roman" w:cs="Times New Roman"/>
          <w:sz w:val="24"/>
          <w:szCs w:val="24"/>
        </w:rPr>
        <w:t>—</w:t>
      </w:r>
      <w:r w:rsidRPr="00B17058">
        <w:rPr>
          <w:rFonts w:ascii="Times New Roman" w:hAnsi="Times New Roman" w:cs="Times New Roman"/>
          <w:iCs/>
          <w:sz w:val="24"/>
          <w:szCs w:val="24"/>
        </w:rPr>
        <w:t xml:space="preserve">to make schools work for all learners. </w:t>
      </w:r>
      <w:r w:rsidRPr="00B17058">
        <w:rPr>
          <w:rFonts w:ascii="Times New Roman" w:hAnsi="Times New Roman" w:cs="Times New Roman"/>
          <w:sz w:val="24"/>
          <w:szCs w:val="24"/>
        </w:rPr>
        <w:t xml:space="preserve">Use evidence to guide innovation and practice. </w:t>
      </w:r>
      <w:r w:rsidRPr="00B17058">
        <w:rPr>
          <w:rFonts w:ascii="Times New Roman" w:hAnsi="Times New Roman" w:cs="Times New Roman"/>
          <w:iCs/>
          <w:sz w:val="24"/>
          <w:szCs w:val="24"/>
        </w:rPr>
        <w:t>3) Align actors</w:t>
      </w:r>
      <w:r w:rsidRPr="00B17058">
        <w:rPr>
          <w:rFonts w:ascii="Times New Roman" w:hAnsi="Times New Roman" w:cs="Times New Roman"/>
          <w:sz w:val="24"/>
          <w:szCs w:val="24"/>
        </w:rPr>
        <w:t>—</w:t>
      </w:r>
      <w:r w:rsidRPr="00B17058">
        <w:rPr>
          <w:rFonts w:ascii="Times New Roman" w:hAnsi="Times New Roman" w:cs="Times New Roman"/>
          <w:iCs/>
          <w:sz w:val="24"/>
          <w:szCs w:val="24"/>
        </w:rPr>
        <w:t xml:space="preserve">to make the whole system work for learning. </w:t>
      </w:r>
      <w:r w:rsidRPr="00B17058">
        <w:rPr>
          <w:rFonts w:ascii="Times New Roman" w:hAnsi="Times New Roman" w:cs="Times New Roman"/>
          <w:sz w:val="24"/>
          <w:szCs w:val="24"/>
        </w:rPr>
        <w:t>Tackle the technical and political barriers to learning at scale.”</w:t>
      </w:r>
    </w:p>
    <w:p w14:paraId="4ACBF8E1" w14:textId="77777777" w:rsidR="00C25381" w:rsidRDefault="00C25381" w:rsidP="00874880">
      <w:pPr>
        <w:autoSpaceDE w:val="0"/>
        <w:autoSpaceDN w:val="0"/>
        <w:adjustRightInd w:val="0"/>
        <w:spacing w:after="240" w:line="276" w:lineRule="auto"/>
        <w:jc w:val="both"/>
        <w:rPr>
          <w:rFonts w:ascii="Times New Roman" w:hAnsi="Times New Roman" w:cs="Times New Roman"/>
          <w:sz w:val="24"/>
          <w:szCs w:val="24"/>
        </w:rPr>
      </w:pPr>
    </w:p>
    <w:p w14:paraId="0E17BF3C" w14:textId="77777777" w:rsidR="00C25381" w:rsidRDefault="00C25381" w:rsidP="00874880">
      <w:pPr>
        <w:autoSpaceDE w:val="0"/>
        <w:autoSpaceDN w:val="0"/>
        <w:adjustRightInd w:val="0"/>
        <w:spacing w:after="240" w:line="276" w:lineRule="auto"/>
        <w:jc w:val="both"/>
        <w:rPr>
          <w:rFonts w:ascii="Times New Roman" w:hAnsi="Times New Roman" w:cs="Times New Roman"/>
          <w:sz w:val="24"/>
          <w:szCs w:val="24"/>
        </w:rPr>
      </w:pPr>
    </w:p>
    <w:p w14:paraId="1ECDEA09" w14:textId="77777777" w:rsidR="0042277F" w:rsidRPr="00B17058" w:rsidRDefault="0042277F" w:rsidP="0042277F">
      <w:pPr>
        <w:autoSpaceDE w:val="0"/>
        <w:autoSpaceDN w:val="0"/>
        <w:adjustRightInd w:val="0"/>
        <w:spacing w:after="240" w:line="276" w:lineRule="auto"/>
        <w:jc w:val="both"/>
        <w:rPr>
          <w:rFonts w:ascii="Times New Roman" w:hAnsi="Times New Roman" w:cs="Times New Roman"/>
          <w:b/>
          <w:bCs/>
          <w:i/>
          <w:iCs/>
          <w:sz w:val="24"/>
          <w:szCs w:val="24"/>
        </w:rPr>
      </w:pPr>
      <w:r w:rsidRPr="00B17058">
        <w:rPr>
          <w:rFonts w:ascii="Times New Roman" w:hAnsi="Times New Roman" w:cs="Times New Roman"/>
          <w:b/>
          <w:bCs/>
          <w:i/>
          <w:iCs/>
          <w:sz w:val="24"/>
          <w:szCs w:val="24"/>
        </w:rPr>
        <w:lastRenderedPageBreak/>
        <w:t>Stakeholder Mobilization</w:t>
      </w:r>
    </w:p>
    <w:p w14:paraId="5C98133D" w14:textId="77777777" w:rsidR="0042277F" w:rsidRDefault="0042277F" w:rsidP="00C25381">
      <w:pPr>
        <w:autoSpaceDE w:val="0"/>
        <w:autoSpaceDN w:val="0"/>
        <w:adjustRightInd w:val="0"/>
        <w:spacing w:after="240" w:line="276" w:lineRule="auto"/>
        <w:jc w:val="both"/>
        <w:rPr>
          <w:rFonts w:ascii="Times New Roman" w:hAnsi="Times New Roman" w:cs="Times New Roman"/>
          <w:sz w:val="24"/>
          <w:szCs w:val="24"/>
        </w:rPr>
      </w:pPr>
      <w:r w:rsidRPr="00B17058">
        <w:rPr>
          <w:rFonts w:ascii="Times New Roman" w:hAnsi="Times New Roman" w:cs="Times New Roman"/>
          <w:sz w:val="24"/>
          <w:szCs w:val="24"/>
        </w:rPr>
        <w:t>One important strategy to improve learning is that of ‘mobilizing everyone who has a stake in learning.  Many countries have used wide-ranging consultations with all potential stakeholders in policy reforms and implementation. For example, Malaysia used a “lab” model to bring all stakeholders and involve them in all stages of reform, from design to implementation. Citizen mobilization though information and communication is also seen an important strategy. For example, in Peru, the government policy makers used information on poor learning outcomes and performance of the education system to mobilize public support for reforms to strengthen teacher accountability, which also was able to buy-in business support for funding a campaign highlighting the importance of quality education for economic growth. WDR suggest modernization of vocational training will help employers and at the same time could buy their support for broader educational reform.</w:t>
      </w:r>
    </w:p>
    <w:p w14:paraId="7D7B0D0A" w14:textId="2C4F6E31" w:rsidR="00DE7857" w:rsidRDefault="00DE7857" w:rsidP="00DE7857">
      <w:pPr>
        <w:spacing w:after="240" w:line="276" w:lineRule="auto"/>
        <w:ind w:firstLine="720"/>
        <w:jc w:val="both"/>
        <w:rPr>
          <w:rFonts w:ascii="Times New Roman" w:hAnsi="Times New Roman" w:cs="Times New Roman"/>
          <w:sz w:val="24"/>
          <w:szCs w:val="24"/>
        </w:rPr>
      </w:pPr>
      <w:r w:rsidRPr="00F321E0">
        <w:rPr>
          <w:rFonts w:ascii="Times New Roman" w:hAnsi="Times New Roman" w:cs="Times New Roman"/>
          <w:sz w:val="24"/>
          <w:szCs w:val="24"/>
        </w:rPr>
        <w:t>The participation of the private sector can help the education-</w:t>
      </w:r>
      <w:r w:rsidR="006E2C5E">
        <w:rPr>
          <w:rFonts w:ascii="Times New Roman" w:hAnsi="Times New Roman" w:cs="Times New Roman"/>
          <w:sz w:val="24"/>
          <w:szCs w:val="24"/>
        </w:rPr>
        <w:t>labour</w:t>
      </w:r>
      <w:r w:rsidRPr="00F321E0">
        <w:rPr>
          <w:rFonts w:ascii="Times New Roman" w:hAnsi="Times New Roman" w:cs="Times New Roman"/>
          <w:sz w:val="24"/>
          <w:szCs w:val="24"/>
        </w:rPr>
        <w:t xml:space="preserve"> linkage by providing more market-oriented skill training, while reducing the government’s fiscal burden in education spending. In some countries, the sector has provided technical training courses along with nationally recognized licenses to trainees and has also directly placed them in employment. The Republic of Korea, for example, has established a qualifications act, which allows the national technical qualifications system set up by the Government to be supplemented by certification of qualifications issued by the private sector. In turn, private sector involvement in vocational education and training is assisted by the policy that supports industry level training through the Employment Insurance Scheme (EIS) administered by the Ministry of Labour. The EIS supports training and re-training of workers through a tax on firm level wages.</w:t>
      </w:r>
    </w:p>
    <w:p w14:paraId="3BE2FFE5" w14:textId="175EEA6C" w:rsidR="0042277F" w:rsidRPr="0042277F" w:rsidRDefault="0042277F" w:rsidP="0042277F">
      <w:pPr>
        <w:autoSpaceDE w:val="0"/>
        <w:autoSpaceDN w:val="0"/>
        <w:adjustRightInd w:val="0"/>
        <w:spacing w:after="240" w:line="276" w:lineRule="auto"/>
        <w:jc w:val="both"/>
        <w:rPr>
          <w:rFonts w:ascii="Times New Roman" w:hAnsi="Times New Roman" w:cs="Times New Roman"/>
          <w:b/>
          <w:sz w:val="24"/>
          <w:szCs w:val="24"/>
        </w:rPr>
      </w:pPr>
      <w:r w:rsidRPr="0042277F">
        <w:rPr>
          <w:rFonts w:ascii="Times New Roman" w:hAnsi="Times New Roman" w:cs="Times New Roman"/>
          <w:b/>
          <w:sz w:val="24"/>
          <w:szCs w:val="24"/>
        </w:rPr>
        <w:t>7.3 Technical and Vocational Education and Training</w:t>
      </w:r>
    </w:p>
    <w:p w14:paraId="0E7FB934" w14:textId="7D59B4EF" w:rsidR="0042277F" w:rsidRDefault="0042277F" w:rsidP="0042277F">
      <w:pPr>
        <w:autoSpaceDE w:val="0"/>
        <w:autoSpaceDN w:val="0"/>
        <w:adjustRightInd w:val="0"/>
        <w:spacing w:after="240" w:line="276" w:lineRule="auto"/>
        <w:jc w:val="both"/>
        <w:rPr>
          <w:rFonts w:ascii="Times New Roman" w:hAnsi="Times New Roman" w:cs="Times New Roman"/>
          <w:sz w:val="24"/>
          <w:szCs w:val="24"/>
        </w:rPr>
      </w:pPr>
      <w:r w:rsidRPr="00626DE2">
        <w:rPr>
          <w:rFonts w:ascii="Times New Roman" w:hAnsi="Times New Roman" w:cs="Times New Roman"/>
          <w:sz w:val="24"/>
          <w:szCs w:val="24"/>
        </w:rPr>
        <w:t>Globalization and the advancement of information technology will require human-</w:t>
      </w:r>
      <w:r w:rsidR="00B6144C" w:rsidRPr="00626DE2">
        <w:rPr>
          <w:rFonts w:ascii="Times New Roman" w:hAnsi="Times New Roman" w:cs="Times New Roman"/>
          <w:sz w:val="24"/>
          <w:szCs w:val="24"/>
        </w:rPr>
        <w:t>centred</w:t>
      </w:r>
      <w:r w:rsidRPr="00626DE2">
        <w:rPr>
          <w:rFonts w:ascii="Times New Roman" w:hAnsi="Times New Roman" w:cs="Times New Roman"/>
          <w:sz w:val="24"/>
          <w:szCs w:val="24"/>
        </w:rPr>
        <w:t xml:space="preserve"> development paradigm, whereby in knowledge –based information society,   knowledge and expertise will be   crucial for competitiveness of individuals, companies, and countries. In order to adapt to such rapidly changing economic environment and competition, the efficient development and use of human resources will foster country’s economic development. This will necessitate the development of technically skilled workers who will propel the engine of growth. For example, Korea drew global attention for its spectacular economic growth, while many observed that it was possible since the country focused from the 1960s developing technical personnel through vocational training. Korea’s vocational education and training system provided the workers needed by the industrial sector to contribute to economic growth</w:t>
      </w:r>
      <w:r w:rsidR="004464BE">
        <w:rPr>
          <w:rFonts w:ascii="Times New Roman" w:hAnsi="Times New Roman" w:cs="Times New Roman"/>
          <w:sz w:val="24"/>
          <w:szCs w:val="24"/>
        </w:rPr>
        <w:t xml:space="preserve">. </w:t>
      </w:r>
      <w:r w:rsidR="00DE7857">
        <w:rPr>
          <w:rStyle w:val="FootnoteReference"/>
          <w:rFonts w:ascii="Times New Roman" w:hAnsi="Times New Roman" w:cs="Times New Roman"/>
          <w:sz w:val="24"/>
          <w:szCs w:val="24"/>
        </w:rPr>
        <w:footnoteReference w:id="8"/>
      </w:r>
      <w:r w:rsidRPr="00626DE2">
        <w:rPr>
          <w:rFonts w:ascii="Times New Roman" w:hAnsi="Times New Roman" w:cs="Times New Roman"/>
          <w:sz w:val="24"/>
          <w:szCs w:val="24"/>
        </w:rPr>
        <w:t xml:space="preserve"> </w:t>
      </w:r>
    </w:p>
    <w:p w14:paraId="135B6964" w14:textId="23CFB93C" w:rsidR="0042277F" w:rsidRDefault="0042277F" w:rsidP="00C25381">
      <w:pPr>
        <w:autoSpaceDE w:val="0"/>
        <w:autoSpaceDN w:val="0"/>
        <w:adjustRightInd w:val="0"/>
        <w:spacing w:after="240" w:line="276" w:lineRule="auto"/>
        <w:jc w:val="both"/>
        <w:rPr>
          <w:rFonts w:ascii="Times New Roman" w:hAnsi="Times New Roman" w:cs="Times New Roman"/>
          <w:sz w:val="24"/>
          <w:szCs w:val="24"/>
        </w:rPr>
      </w:pPr>
      <w:r w:rsidRPr="00626DE2">
        <w:rPr>
          <w:rFonts w:ascii="Times New Roman" w:hAnsi="Times New Roman" w:cs="Times New Roman"/>
          <w:sz w:val="24"/>
          <w:szCs w:val="24"/>
        </w:rPr>
        <w:lastRenderedPageBreak/>
        <w:t xml:space="preserve">In this context vocational education and vocational training need to be differentiated as both </w:t>
      </w:r>
      <w:r>
        <w:rPr>
          <w:rFonts w:ascii="Times New Roman" w:hAnsi="Times New Roman" w:cs="Times New Roman"/>
          <w:sz w:val="24"/>
          <w:szCs w:val="24"/>
        </w:rPr>
        <w:t xml:space="preserve">can be pursued with different policy focus, as was in the case of </w:t>
      </w:r>
      <w:r w:rsidRPr="00626DE2">
        <w:rPr>
          <w:rFonts w:ascii="Times New Roman" w:hAnsi="Times New Roman" w:cs="Times New Roman"/>
          <w:sz w:val="24"/>
          <w:szCs w:val="24"/>
        </w:rPr>
        <w:t xml:space="preserve">Korea’s industrialization efforts. Vocational education refers to long-term courses in which students gain basic competencies towards becoming technical personnel, whereas vocational is training provided to enhance workers’ employment prospects. The vocational education is provided at vocational high schools and colleges under the Ministry of </w:t>
      </w:r>
      <w:r w:rsidR="00DE7857" w:rsidRPr="00626DE2">
        <w:rPr>
          <w:rFonts w:ascii="Times New Roman" w:hAnsi="Times New Roman" w:cs="Times New Roman"/>
          <w:sz w:val="24"/>
          <w:szCs w:val="24"/>
        </w:rPr>
        <w:t>Education,</w:t>
      </w:r>
      <w:r w:rsidRPr="00626DE2">
        <w:rPr>
          <w:rFonts w:ascii="Times New Roman" w:hAnsi="Times New Roman" w:cs="Times New Roman"/>
          <w:sz w:val="24"/>
          <w:szCs w:val="24"/>
        </w:rPr>
        <w:t xml:space="preserve"> while the vocational training </w:t>
      </w:r>
      <w:r w:rsidR="00CE44E6" w:rsidRPr="00626DE2">
        <w:rPr>
          <w:rFonts w:ascii="Times New Roman" w:hAnsi="Times New Roman" w:cs="Times New Roman"/>
          <w:sz w:val="24"/>
          <w:szCs w:val="24"/>
        </w:rPr>
        <w:t>is</w:t>
      </w:r>
      <w:r w:rsidRPr="00626DE2">
        <w:rPr>
          <w:rFonts w:ascii="Times New Roman" w:hAnsi="Times New Roman" w:cs="Times New Roman"/>
          <w:sz w:val="24"/>
          <w:szCs w:val="24"/>
        </w:rPr>
        <w:t xml:space="preserve"> provided under the responsibility of the Ministry of </w:t>
      </w:r>
      <w:r w:rsidR="006E2C5E">
        <w:rPr>
          <w:rFonts w:ascii="Times New Roman" w:hAnsi="Times New Roman" w:cs="Times New Roman"/>
          <w:sz w:val="24"/>
          <w:szCs w:val="24"/>
        </w:rPr>
        <w:t>Labour</w:t>
      </w:r>
      <w:r w:rsidRPr="00626DE2">
        <w:rPr>
          <w:rFonts w:ascii="Times New Roman" w:hAnsi="Times New Roman" w:cs="Times New Roman"/>
          <w:sz w:val="24"/>
          <w:szCs w:val="24"/>
        </w:rPr>
        <w:t>.</w:t>
      </w:r>
      <w:r>
        <w:rPr>
          <w:rFonts w:ascii="Times New Roman" w:hAnsi="Times New Roman" w:cs="Times New Roman"/>
          <w:sz w:val="24"/>
          <w:szCs w:val="24"/>
        </w:rPr>
        <w:t xml:space="preserve"> </w:t>
      </w:r>
      <w:r w:rsidRPr="00626DE2">
        <w:rPr>
          <w:rFonts w:ascii="Times New Roman" w:hAnsi="Times New Roman" w:cs="Times New Roman"/>
          <w:sz w:val="24"/>
          <w:szCs w:val="24"/>
        </w:rPr>
        <w:t xml:space="preserve">The vocational education in Korea evolve with its focus and promotion of industrialization, with the full scale promotion of  vocational education in the 1960s when a structural transformation a way from agricultural to a manufacturing economy, and an export drive was underway. </w:t>
      </w:r>
      <w:r w:rsidRPr="00626DE2">
        <w:rPr>
          <w:rFonts w:ascii="TimesNewRoman" w:hAnsi="TimesNewRoman" w:cs="TimesNewRoman"/>
          <w:sz w:val="24"/>
          <w:szCs w:val="24"/>
        </w:rPr>
        <w:t>The changes in vocation</w:t>
      </w:r>
      <w:r>
        <w:rPr>
          <w:rFonts w:ascii="TimesNewRoman" w:hAnsi="TimesNewRoman" w:cs="TimesNewRoman"/>
          <w:sz w:val="24"/>
          <w:szCs w:val="24"/>
        </w:rPr>
        <w:t>al</w:t>
      </w:r>
      <w:r w:rsidRPr="00626DE2">
        <w:rPr>
          <w:rFonts w:ascii="TimesNewRoman" w:hAnsi="TimesNewRoman" w:cs="TimesNewRoman"/>
          <w:sz w:val="24"/>
          <w:szCs w:val="24"/>
        </w:rPr>
        <w:t xml:space="preserve"> training policies and facilities were also in correspondence with the country’s industrialization and growth stages, which are defined in four major stages , stage 1( 1945-60)- post war rebuilding and  founding stage, stage 2( 1961-1981)- export oriented industrialization and rapid growth , stage 3(1982-9</w:t>
      </w:r>
      <w:r w:rsidR="00C25381">
        <w:rPr>
          <w:rFonts w:ascii="TimesNewRoman" w:hAnsi="TimesNewRoman" w:cs="TimesNewRoman"/>
          <w:sz w:val="24"/>
          <w:szCs w:val="24"/>
        </w:rPr>
        <w:t>7</w:t>
      </w:r>
      <w:r w:rsidRPr="00626DE2">
        <w:rPr>
          <w:rFonts w:ascii="TimesNewRoman" w:hAnsi="TimesNewRoman" w:cs="TimesNewRoman"/>
          <w:sz w:val="24"/>
          <w:szCs w:val="24"/>
        </w:rPr>
        <w:t>) – ec</w:t>
      </w:r>
      <w:r w:rsidR="00C25381">
        <w:rPr>
          <w:rFonts w:ascii="TimesNewRoman" w:hAnsi="TimesNewRoman" w:cs="TimesNewRoman"/>
          <w:sz w:val="24"/>
          <w:szCs w:val="24"/>
        </w:rPr>
        <w:t>onomic restructuring , stage 4(</w:t>
      </w:r>
      <w:r w:rsidRPr="00626DE2">
        <w:rPr>
          <w:rFonts w:ascii="TimesNewRoman" w:hAnsi="TimesNewRoman" w:cs="TimesNewRoman"/>
          <w:sz w:val="24"/>
          <w:szCs w:val="24"/>
        </w:rPr>
        <w:t>1998- ) – knowledge based economy and vocational training paradigm</w:t>
      </w:r>
      <w:r w:rsidR="00DE7857">
        <w:rPr>
          <w:rFonts w:ascii="TimesNewRoman" w:hAnsi="TimesNewRoman" w:cs="TimesNewRoman"/>
          <w:sz w:val="24"/>
          <w:szCs w:val="24"/>
        </w:rPr>
        <w:t>( see Appendix)</w:t>
      </w:r>
      <w:r w:rsidRPr="00626DE2">
        <w:rPr>
          <w:rFonts w:ascii="TimesNewRoman" w:hAnsi="TimesNewRoman" w:cs="TimesNewRoman"/>
          <w:sz w:val="24"/>
          <w:szCs w:val="24"/>
        </w:rPr>
        <w:t>.   While vocational education in Korea in the 1960s and 1970s focused on the training of skilled workers, education efforts in the 1980s aimed to produce technicians required for the upgradation of the economy as well as national competitiveness. The major vocational education policies in this period included the strengthening of science and technical education, the consolidation of vocational high school education, and the revitalization of vocational education within higher education.</w:t>
      </w:r>
      <w:r>
        <w:rPr>
          <w:rStyle w:val="FootnoteReference"/>
          <w:rFonts w:ascii="TimesNewRoman" w:hAnsi="TimesNewRoman" w:cs="TimesNewRoman"/>
          <w:sz w:val="24"/>
          <w:szCs w:val="24"/>
        </w:rPr>
        <w:footnoteReference w:id="9"/>
      </w:r>
      <w:r>
        <w:rPr>
          <w:rFonts w:ascii="TimesNewRoman" w:hAnsi="TimesNewRoman" w:cs="TimesNewRoman"/>
          <w:sz w:val="24"/>
          <w:szCs w:val="24"/>
        </w:rPr>
        <w:t xml:space="preserve"> </w:t>
      </w:r>
      <w:r>
        <w:rPr>
          <w:rFonts w:ascii="Times New Roman" w:hAnsi="Times New Roman" w:cs="Times New Roman"/>
          <w:sz w:val="24"/>
          <w:szCs w:val="24"/>
        </w:rPr>
        <w:t xml:space="preserve">More recently in order to address industry demand, the Korean government encourages innovation in VET offering customized employment-linked vocational training programs (Park 2011). The reform allowed private sector engagement and </w:t>
      </w:r>
      <w:r w:rsidR="00B6144C">
        <w:rPr>
          <w:rFonts w:ascii="Times New Roman" w:hAnsi="Times New Roman" w:cs="Times New Roman"/>
          <w:sz w:val="24"/>
          <w:szCs w:val="24"/>
        </w:rPr>
        <w:t>collaboration</w:t>
      </w:r>
      <w:r>
        <w:rPr>
          <w:rFonts w:ascii="Times New Roman" w:hAnsi="Times New Roman" w:cs="Times New Roman"/>
          <w:sz w:val="24"/>
          <w:szCs w:val="24"/>
        </w:rPr>
        <w:t xml:space="preserve"> among various ministries to address skill mismatch affecting VET graduates. </w:t>
      </w:r>
    </w:p>
    <w:p w14:paraId="0D7A0039" w14:textId="1A9DBC6A" w:rsidR="00A67E32" w:rsidRPr="00B956A5" w:rsidRDefault="0042277F" w:rsidP="00DE7857">
      <w:pPr>
        <w:autoSpaceDE w:val="0"/>
        <w:autoSpaceDN w:val="0"/>
        <w:adjustRightInd w:val="0"/>
        <w:spacing w:after="240" w:line="276" w:lineRule="auto"/>
        <w:rPr>
          <w:rFonts w:ascii="TimesNewRoman" w:hAnsi="TimesNewRoman" w:cs="TimesNewRoman"/>
          <w:b/>
          <w:sz w:val="24"/>
          <w:szCs w:val="24"/>
        </w:rPr>
      </w:pPr>
      <w:r w:rsidRPr="00B956A5">
        <w:rPr>
          <w:rFonts w:ascii="TimesNewRoman" w:hAnsi="TimesNewRoman" w:cs="TimesNewRoman"/>
          <w:b/>
          <w:sz w:val="24"/>
          <w:szCs w:val="24"/>
        </w:rPr>
        <w:t xml:space="preserve">7.4. </w:t>
      </w:r>
      <w:r w:rsidR="00A67E32" w:rsidRPr="00B956A5">
        <w:rPr>
          <w:rFonts w:ascii="TimesNewRoman" w:hAnsi="TimesNewRoman" w:cs="TimesNewRoman"/>
          <w:b/>
          <w:sz w:val="24"/>
          <w:szCs w:val="24"/>
        </w:rPr>
        <w:t xml:space="preserve">ICT use in Education and </w:t>
      </w:r>
      <w:r w:rsidRPr="00B956A5">
        <w:rPr>
          <w:rFonts w:ascii="TimesNewRoman" w:hAnsi="TimesNewRoman" w:cs="TimesNewRoman"/>
          <w:b/>
          <w:sz w:val="24"/>
          <w:szCs w:val="24"/>
        </w:rPr>
        <w:t>E</w:t>
      </w:r>
      <w:r w:rsidR="00A67E32" w:rsidRPr="00B956A5">
        <w:rPr>
          <w:rFonts w:ascii="TimesNewRoman" w:hAnsi="TimesNewRoman" w:cs="TimesNewRoman"/>
          <w:b/>
          <w:sz w:val="24"/>
          <w:szCs w:val="24"/>
        </w:rPr>
        <w:t xml:space="preserve">ducation </w:t>
      </w:r>
      <w:r w:rsidRPr="00B956A5">
        <w:rPr>
          <w:rFonts w:ascii="TimesNewRoman" w:hAnsi="TimesNewRoman" w:cs="TimesNewRoman"/>
          <w:b/>
          <w:sz w:val="24"/>
          <w:szCs w:val="24"/>
        </w:rPr>
        <w:t>I</w:t>
      </w:r>
      <w:r w:rsidR="00A67E32" w:rsidRPr="00B956A5">
        <w:rPr>
          <w:rFonts w:ascii="TimesNewRoman" w:hAnsi="TimesNewRoman" w:cs="TimesNewRoman"/>
          <w:b/>
          <w:sz w:val="24"/>
          <w:szCs w:val="24"/>
        </w:rPr>
        <w:t>nformatization</w:t>
      </w:r>
    </w:p>
    <w:p w14:paraId="1C6731D2" w14:textId="59763220" w:rsidR="00A67E32" w:rsidRPr="00B17058" w:rsidRDefault="00A67E32" w:rsidP="00DE7857">
      <w:pPr>
        <w:autoSpaceDE w:val="0"/>
        <w:autoSpaceDN w:val="0"/>
        <w:adjustRightInd w:val="0"/>
        <w:spacing w:after="240" w:line="276" w:lineRule="auto"/>
        <w:jc w:val="both"/>
        <w:rPr>
          <w:rFonts w:ascii="TimesNewRoman" w:hAnsi="TimesNewRoman" w:cs="TimesNewRoman"/>
          <w:sz w:val="24"/>
          <w:szCs w:val="24"/>
        </w:rPr>
      </w:pPr>
      <w:r w:rsidRPr="00B17058">
        <w:rPr>
          <w:rFonts w:ascii="TimesNewRoman" w:hAnsi="TimesNewRoman" w:cs="TimesNewRoman"/>
          <w:sz w:val="24"/>
          <w:szCs w:val="24"/>
        </w:rPr>
        <w:t>For a knowledge-based economy the application of information and commu</w:t>
      </w:r>
      <w:r w:rsidR="00DE7857">
        <w:rPr>
          <w:rFonts w:ascii="TimesNewRoman" w:hAnsi="TimesNewRoman" w:cs="TimesNewRoman"/>
          <w:sz w:val="24"/>
          <w:szCs w:val="24"/>
        </w:rPr>
        <w:t>nication technology is crucial.</w:t>
      </w:r>
      <w:r w:rsidR="0042277F">
        <w:rPr>
          <w:rStyle w:val="FootnoteReference"/>
          <w:rFonts w:ascii="TimesNewRoman" w:hAnsi="TimesNewRoman" w:cs="TimesNewRoman"/>
          <w:sz w:val="24"/>
          <w:szCs w:val="24"/>
        </w:rPr>
        <w:footnoteReference w:id="10"/>
      </w:r>
      <w:r w:rsidR="00DE7857">
        <w:rPr>
          <w:rFonts w:ascii="TimesNewRoman" w:hAnsi="TimesNewRoman" w:cs="TimesNewRoman"/>
          <w:sz w:val="24"/>
          <w:szCs w:val="24"/>
        </w:rPr>
        <w:t xml:space="preserve"> </w:t>
      </w:r>
      <w:r w:rsidRPr="00B17058">
        <w:rPr>
          <w:rFonts w:ascii="TimesNewRoman" w:hAnsi="TimesNewRoman" w:cs="TimesNewRoman"/>
          <w:sz w:val="24"/>
          <w:szCs w:val="24"/>
        </w:rPr>
        <w:t xml:space="preserve">That is ICT use in education is of central importance for building an education system for a knowledge society.  ICT use in education produces education resources and information and sustains student-oriented learning and education opportunity. The informatization has essentially led to a network society – enhancing participation, cooperation, and sharing. The informatization has resulted in education models such as learner-teacher models, group models, self-guided learning, for example. The informatization has created prospects for home schooling and a new education system that “blurs the boundaries between </w:t>
      </w:r>
      <w:r w:rsidRPr="00B17058">
        <w:rPr>
          <w:rFonts w:ascii="TimesNewRoman" w:hAnsi="TimesNewRoman" w:cs="TimesNewRoman"/>
          <w:sz w:val="24"/>
          <w:szCs w:val="24"/>
        </w:rPr>
        <w:lastRenderedPageBreak/>
        <w:t>online and offline, reality and cyber-world,” and has stimulated the creation of a new education institutions such as cybe</w:t>
      </w:r>
      <w:r w:rsidR="0042277F">
        <w:rPr>
          <w:rFonts w:ascii="TimesNewRoman" w:hAnsi="TimesNewRoman" w:cs="TimesNewRoman"/>
          <w:sz w:val="24"/>
          <w:szCs w:val="24"/>
        </w:rPr>
        <w:t>r Universities</w:t>
      </w:r>
      <w:r w:rsidRPr="00B17058">
        <w:rPr>
          <w:rFonts w:ascii="TimesNewRoman" w:hAnsi="TimesNewRoman" w:cs="TimesNewRoman"/>
          <w:sz w:val="24"/>
          <w:szCs w:val="24"/>
        </w:rPr>
        <w:t xml:space="preserve">.  </w:t>
      </w:r>
    </w:p>
    <w:p w14:paraId="3DEF1816" w14:textId="77777777" w:rsidR="00A67E32" w:rsidRPr="00B17058" w:rsidRDefault="00A67E32" w:rsidP="00874880">
      <w:pPr>
        <w:autoSpaceDE w:val="0"/>
        <w:autoSpaceDN w:val="0"/>
        <w:adjustRightInd w:val="0"/>
        <w:spacing w:after="240" w:line="276" w:lineRule="auto"/>
        <w:ind w:firstLine="720"/>
        <w:jc w:val="both"/>
        <w:rPr>
          <w:rFonts w:ascii="TimesNewRoman" w:hAnsi="TimesNewRoman" w:cs="TimesNewRoman"/>
          <w:sz w:val="24"/>
          <w:szCs w:val="24"/>
        </w:rPr>
      </w:pPr>
      <w:r w:rsidRPr="00B17058">
        <w:rPr>
          <w:rFonts w:ascii="TimesNewRoman" w:hAnsi="TimesNewRoman" w:cs="TimesNewRoman"/>
          <w:sz w:val="24"/>
          <w:szCs w:val="24"/>
        </w:rPr>
        <w:t xml:space="preserve">Facilitating the computer use and computer training programs in schools is a first step for ICT use in education and thus creating information society. The use of computer  not only facilitate lessons to students but also can develop and process school governing tasks including automation of grades and school schedules and time tables. Gradually computer education can become part of regular education. The challenge will be to facilitate higher order thinking skills or increasing global competitiveness in the future. In this context Korean experience is worth revisiting as Korea received international recognition of its education informatization which focused on nurturing computer literate teachers and students’ basic computer knowledge. </w:t>
      </w:r>
    </w:p>
    <w:p w14:paraId="187BD2D2" w14:textId="10DBE5DB" w:rsidR="00A67E32" w:rsidRDefault="00A67E32" w:rsidP="00B6144C">
      <w:pPr>
        <w:autoSpaceDE w:val="0"/>
        <w:autoSpaceDN w:val="0"/>
        <w:adjustRightInd w:val="0"/>
        <w:spacing w:after="240" w:line="276" w:lineRule="auto"/>
        <w:jc w:val="both"/>
        <w:rPr>
          <w:rFonts w:ascii="TimesNewRoman" w:hAnsi="TimesNewRoman" w:cs="TimesNewRoman"/>
          <w:sz w:val="24"/>
          <w:szCs w:val="24"/>
        </w:rPr>
      </w:pPr>
      <w:r w:rsidRPr="00B17058">
        <w:rPr>
          <w:rFonts w:ascii="TimesNewRoman" w:hAnsi="TimesNewRoman" w:cs="TimesNewRoman"/>
          <w:sz w:val="24"/>
          <w:szCs w:val="24"/>
        </w:rPr>
        <w:t>For example, Korea followed an education informatization process in three phases namely computer introduction phase, automation phase and informatization phase (see Table</w:t>
      </w:r>
      <w:r w:rsidR="0042277F">
        <w:rPr>
          <w:rFonts w:ascii="TimesNewRoman" w:hAnsi="TimesNewRoman" w:cs="TimesNewRoman"/>
          <w:sz w:val="24"/>
          <w:szCs w:val="24"/>
        </w:rPr>
        <w:t xml:space="preserve"> 3</w:t>
      </w:r>
      <w:r w:rsidRPr="00B17058">
        <w:rPr>
          <w:rFonts w:ascii="TimesNewRoman" w:hAnsi="TimesNewRoman" w:cs="TimesNewRoman"/>
          <w:sz w:val="24"/>
          <w:szCs w:val="24"/>
        </w:rPr>
        <w:t>). The government’s ‘Master Plan for Education Reform’ emphasized introduction of computers to improve teaching methods at elementary and secondary schools, promote science and technology education, and prepare for an information society. Korean national policy on education informatization began with the ‘Measures to Strengthen Computer Education in Schools’ followed by and three ‘Master Plans on ICT Use in Education’ as well as supplementary plans were created to supplement the master plan.  The measures included provision of computer education opportunities, development of computer based learning method and computerization of school operations. Eventually computer education became a part of regular education resulting from the Government’s National Computer Network Project, education reforms, growth of computer industry, increased social demand and global focus on computer education</w:t>
      </w:r>
      <w:r w:rsidR="0042277F">
        <w:rPr>
          <w:rFonts w:ascii="TimesNewRoman" w:hAnsi="TimesNewRoman" w:cs="TimesNewRoman"/>
          <w:sz w:val="24"/>
          <w:szCs w:val="24"/>
        </w:rPr>
        <w:t xml:space="preserve">. </w:t>
      </w:r>
      <w:r w:rsidRPr="00B17058">
        <w:rPr>
          <w:rFonts w:ascii="TimesNewRoman" w:hAnsi="TimesNewRoman" w:cs="TimesNewRoman"/>
          <w:sz w:val="24"/>
          <w:szCs w:val="24"/>
        </w:rPr>
        <w:t xml:space="preserve"> </w:t>
      </w:r>
    </w:p>
    <w:p w14:paraId="6153790F" w14:textId="5FC348C0" w:rsidR="00A67E32" w:rsidRPr="00626DE2" w:rsidRDefault="008B3899" w:rsidP="008B3899">
      <w:pPr>
        <w:keepNext/>
        <w:autoSpaceDE w:val="0"/>
        <w:autoSpaceDN w:val="0"/>
        <w:adjustRightInd w:val="0"/>
        <w:spacing w:after="240" w:line="276" w:lineRule="auto"/>
        <w:rPr>
          <w:rFonts w:ascii="TimesNewRoman" w:hAnsi="TimesNewRoman" w:cs="TimesNewRoman"/>
          <w:b/>
          <w:sz w:val="24"/>
          <w:szCs w:val="24"/>
        </w:rPr>
      </w:pPr>
      <w:r>
        <w:rPr>
          <w:rFonts w:ascii="TimesNewRoman" w:hAnsi="TimesNewRoman" w:cs="TimesNewRoman"/>
          <w:b/>
          <w:sz w:val="24"/>
          <w:szCs w:val="24"/>
        </w:rPr>
        <w:t>Table</w:t>
      </w:r>
      <w:r w:rsidR="0042277F">
        <w:rPr>
          <w:rFonts w:ascii="TimesNewRoman" w:hAnsi="TimesNewRoman" w:cs="TimesNewRoman"/>
          <w:b/>
          <w:sz w:val="24"/>
          <w:szCs w:val="24"/>
        </w:rPr>
        <w:t>3</w:t>
      </w:r>
      <w:r>
        <w:rPr>
          <w:rFonts w:ascii="TimesNewRoman" w:hAnsi="TimesNewRoman" w:cs="TimesNewRoman"/>
          <w:b/>
          <w:sz w:val="24"/>
          <w:szCs w:val="24"/>
        </w:rPr>
        <w:t xml:space="preserve">. </w:t>
      </w:r>
      <w:r w:rsidR="00A67E32" w:rsidRPr="00626DE2">
        <w:rPr>
          <w:rFonts w:ascii="TimesNewRoman" w:hAnsi="TimesNewRoman" w:cs="TimesNewRoman"/>
          <w:b/>
          <w:sz w:val="24"/>
          <w:szCs w:val="24"/>
        </w:rPr>
        <w:t>Education Informatization in Korea</w:t>
      </w:r>
    </w:p>
    <w:tbl>
      <w:tblPr>
        <w:tblStyle w:val="TableGrid"/>
        <w:tblW w:w="0" w:type="auto"/>
        <w:tblLook w:val="04A0" w:firstRow="1" w:lastRow="0" w:firstColumn="1" w:lastColumn="0" w:noHBand="0" w:noVBand="1"/>
      </w:tblPr>
      <w:tblGrid>
        <w:gridCol w:w="2988"/>
        <w:gridCol w:w="3240"/>
        <w:gridCol w:w="3348"/>
      </w:tblGrid>
      <w:tr w:rsidR="00A67E32" w:rsidRPr="00AC2758" w14:paraId="47FE53F3" w14:textId="77777777" w:rsidTr="0013582E">
        <w:tc>
          <w:tcPr>
            <w:tcW w:w="2988" w:type="dxa"/>
          </w:tcPr>
          <w:p w14:paraId="5A582C2F" w14:textId="77777777" w:rsidR="00A67E32" w:rsidRPr="0042277F" w:rsidRDefault="00A67E32" w:rsidP="0042277F">
            <w:pPr>
              <w:keepNext/>
              <w:autoSpaceDE w:val="0"/>
              <w:autoSpaceDN w:val="0"/>
              <w:adjustRightInd w:val="0"/>
              <w:spacing w:after="120"/>
              <w:jc w:val="center"/>
              <w:rPr>
                <w:rFonts w:ascii="Times New Roman" w:hAnsi="Times New Roman" w:cs="Times New Roman"/>
                <w:b/>
                <w:sz w:val="20"/>
                <w:szCs w:val="20"/>
              </w:rPr>
            </w:pPr>
            <w:r w:rsidRPr="0042277F">
              <w:rPr>
                <w:rFonts w:ascii="Times New Roman" w:hAnsi="Times New Roman" w:cs="Times New Roman"/>
                <w:b/>
                <w:sz w:val="20"/>
                <w:szCs w:val="20"/>
              </w:rPr>
              <w:t>Computer introduction  phase</w:t>
            </w:r>
          </w:p>
        </w:tc>
        <w:tc>
          <w:tcPr>
            <w:tcW w:w="3240" w:type="dxa"/>
          </w:tcPr>
          <w:p w14:paraId="03A3EAF5" w14:textId="77777777" w:rsidR="00A67E32" w:rsidRPr="0042277F" w:rsidRDefault="00A67E32" w:rsidP="0042277F">
            <w:pPr>
              <w:keepNext/>
              <w:autoSpaceDE w:val="0"/>
              <w:autoSpaceDN w:val="0"/>
              <w:adjustRightInd w:val="0"/>
              <w:spacing w:after="120"/>
              <w:jc w:val="center"/>
              <w:rPr>
                <w:rFonts w:ascii="Times New Roman" w:hAnsi="Times New Roman" w:cs="Times New Roman"/>
                <w:b/>
                <w:sz w:val="20"/>
                <w:szCs w:val="20"/>
              </w:rPr>
            </w:pPr>
            <w:r w:rsidRPr="0042277F">
              <w:rPr>
                <w:rFonts w:ascii="Times New Roman" w:hAnsi="Times New Roman" w:cs="Times New Roman"/>
                <w:b/>
                <w:sz w:val="20"/>
                <w:szCs w:val="20"/>
              </w:rPr>
              <w:t>Automation phase</w:t>
            </w:r>
          </w:p>
        </w:tc>
        <w:tc>
          <w:tcPr>
            <w:tcW w:w="3348" w:type="dxa"/>
          </w:tcPr>
          <w:p w14:paraId="4279715A" w14:textId="77777777" w:rsidR="00A67E32" w:rsidRPr="0042277F" w:rsidRDefault="00A67E32" w:rsidP="0042277F">
            <w:pPr>
              <w:keepNext/>
              <w:autoSpaceDE w:val="0"/>
              <w:autoSpaceDN w:val="0"/>
              <w:adjustRightInd w:val="0"/>
              <w:spacing w:after="120"/>
              <w:jc w:val="center"/>
              <w:rPr>
                <w:rFonts w:ascii="Times New Roman" w:hAnsi="Times New Roman" w:cs="Times New Roman"/>
                <w:b/>
                <w:sz w:val="20"/>
                <w:szCs w:val="20"/>
              </w:rPr>
            </w:pPr>
            <w:r w:rsidRPr="0042277F">
              <w:rPr>
                <w:rFonts w:ascii="Times New Roman" w:hAnsi="Times New Roman" w:cs="Times New Roman"/>
                <w:b/>
                <w:sz w:val="20"/>
                <w:szCs w:val="20"/>
              </w:rPr>
              <w:t>Informatization phase</w:t>
            </w:r>
          </w:p>
        </w:tc>
      </w:tr>
      <w:tr w:rsidR="00A67E32" w:rsidRPr="00441A18" w14:paraId="0B1B3913" w14:textId="77777777" w:rsidTr="0013582E">
        <w:trPr>
          <w:trHeight w:val="2375"/>
        </w:trPr>
        <w:tc>
          <w:tcPr>
            <w:tcW w:w="2988" w:type="dxa"/>
          </w:tcPr>
          <w:p w14:paraId="02E76B58" w14:textId="77777777" w:rsidR="00A67E32" w:rsidRPr="0042277F" w:rsidRDefault="00A67E32" w:rsidP="0042277F">
            <w:pPr>
              <w:pStyle w:val="ListParagraph"/>
              <w:keepNext/>
              <w:numPr>
                <w:ilvl w:val="0"/>
                <w:numId w:val="19"/>
              </w:numPr>
              <w:autoSpaceDE w:val="0"/>
              <w:autoSpaceDN w:val="0"/>
              <w:adjustRightInd w:val="0"/>
              <w:spacing w:after="120"/>
              <w:rPr>
                <w:rFonts w:ascii="Times New Roman" w:hAnsi="Times New Roman" w:cs="Times New Roman"/>
                <w:i/>
                <w:sz w:val="20"/>
                <w:szCs w:val="20"/>
              </w:rPr>
            </w:pPr>
            <w:r w:rsidRPr="0042277F">
              <w:rPr>
                <w:rFonts w:ascii="Times New Roman" w:hAnsi="Times New Roman" w:cs="Times New Roman"/>
                <w:i/>
                <w:sz w:val="20"/>
                <w:szCs w:val="20"/>
              </w:rPr>
              <w:t>Creating  specialists demanded by society</w:t>
            </w:r>
          </w:p>
          <w:p w14:paraId="030DCF30" w14:textId="77777777" w:rsidR="00A67E32" w:rsidRPr="0042277F" w:rsidRDefault="00A67E32" w:rsidP="0042277F">
            <w:pPr>
              <w:pStyle w:val="ListParagraph"/>
              <w:keepNext/>
              <w:numPr>
                <w:ilvl w:val="0"/>
                <w:numId w:val="19"/>
              </w:numPr>
              <w:autoSpaceDE w:val="0"/>
              <w:autoSpaceDN w:val="0"/>
              <w:adjustRightInd w:val="0"/>
              <w:spacing w:after="120"/>
              <w:rPr>
                <w:rFonts w:ascii="Times New Roman" w:hAnsi="Times New Roman" w:cs="Times New Roman"/>
                <w:i/>
                <w:sz w:val="20"/>
                <w:szCs w:val="20"/>
              </w:rPr>
            </w:pPr>
            <w:r w:rsidRPr="0042277F">
              <w:rPr>
                <w:rFonts w:ascii="Times New Roman" w:hAnsi="Times New Roman" w:cs="Times New Roman"/>
                <w:i/>
                <w:sz w:val="20"/>
                <w:szCs w:val="20"/>
              </w:rPr>
              <w:t>Focused on university and industrial training education following progress in the information industry</w:t>
            </w:r>
          </w:p>
          <w:p w14:paraId="43D20B1A" w14:textId="77777777" w:rsidR="00A67E32" w:rsidRPr="0042277F" w:rsidRDefault="00A67E32" w:rsidP="0042277F">
            <w:pPr>
              <w:pStyle w:val="ListParagraph"/>
              <w:keepNext/>
              <w:numPr>
                <w:ilvl w:val="0"/>
                <w:numId w:val="19"/>
              </w:numPr>
              <w:autoSpaceDE w:val="0"/>
              <w:autoSpaceDN w:val="0"/>
              <w:adjustRightInd w:val="0"/>
              <w:spacing w:after="120"/>
              <w:rPr>
                <w:rFonts w:ascii="Times New Roman" w:hAnsi="Times New Roman" w:cs="Times New Roman"/>
                <w:i/>
                <w:sz w:val="20"/>
                <w:szCs w:val="20"/>
              </w:rPr>
            </w:pPr>
            <w:r w:rsidRPr="0042277F">
              <w:rPr>
                <w:rFonts w:ascii="Times New Roman" w:hAnsi="Times New Roman" w:cs="Times New Roman"/>
                <w:i/>
                <w:sz w:val="20"/>
                <w:szCs w:val="20"/>
              </w:rPr>
              <w:t xml:space="preserve">Began computer education at elementary, middle, high school level as after-school classes </w:t>
            </w:r>
            <w:r w:rsidRPr="0042277F">
              <w:rPr>
                <w:rFonts w:ascii="Times New Roman" w:eastAsia="ｹﾙﾅﾁ" w:hAnsi="Times New Roman" w:cs="Times New Roman"/>
                <w:i/>
                <w:sz w:val="20"/>
                <w:szCs w:val="20"/>
              </w:rPr>
              <w:t>•</w:t>
            </w:r>
            <w:r w:rsidRPr="0042277F">
              <w:rPr>
                <w:rFonts w:ascii="Times New Roman" w:hAnsi="Times New Roman" w:cs="Times New Roman"/>
                <w:i/>
                <w:sz w:val="20"/>
                <w:szCs w:val="20"/>
              </w:rPr>
              <w:t>Automated tasks on</w:t>
            </w:r>
          </w:p>
          <w:p w14:paraId="6C00CACA" w14:textId="77777777" w:rsidR="00A67E32" w:rsidRPr="0042277F" w:rsidRDefault="00A67E32" w:rsidP="0042277F">
            <w:pPr>
              <w:pStyle w:val="ListParagraph"/>
              <w:keepNext/>
              <w:autoSpaceDE w:val="0"/>
              <w:autoSpaceDN w:val="0"/>
              <w:adjustRightInd w:val="0"/>
              <w:spacing w:after="120"/>
              <w:ind w:left="360"/>
              <w:rPr>
                <w:rFonts w:ascii="Times New Roman" w:hAnsi="Times New Roman" w:cs="Times New Roman"/>
                <w:i/>
                <w:sz w:val="20"/>
                <w:szCs w:val="20"/>
              </w:rPr>
            </w:pPr>
            <w:r w:rsidRPr="0042277F">
              <w:rPr>
                <w:rFonts w:ascii="Times New Roman" w:hAnsi="Times New Roman" w:cs="Times New Roman"/>
                <w:i/>
                <w:sz w:val="20"/>
                <w:szCs w:val="20"/>
              </w:rPr>
              <w:t>individual school base</w:t>
            </w:r>
          </w:p>
        </w:tc>
        <w:tc>
          <w:tcPr>
            <w:tcW w:w="3240" w:type="dxa"/>
          </w:tcPr>
          <w:p w14:paraId="7570A496" w14:textId="77777777" w:rsidR="00A67E32" w:rsidRPr="0042277F" w:rsidRDefault="00A67E32" w:rsidP="0042277F">
            <w:pPr>
              <w:pStyle w:val="ListParagraph"/>
              <w:keepNext/>
              <w:numPr>
                <w:ilvl w:val="0"/>
                <w:numId w:val="21"/>
              </w:numPr>
              <w:autoSpaceDE w:val="0"/>
              <w:autoSpaceDN w:val="0"/>
              <w:adjustRightInd w:val="0"/>
              <w:spacing w:after="120"/>
              <w:rPr>
                <w:rFonts w:ascii="Times New Roman" w:hAnsi="Times New Roman" w:cs="Times New Roman"/>
                <w:i/>
                <w:sz w:val="20"/>
                <w:szCs w:val="20"/>
              </w:rPr>
            </w:pPr>
            <w:r w:rsidRPr="0042277F">
              <w:rPr>
                <w:rFonts w:ascii="Times New Roman" w:hAnsi="Times New Roman" w:cs="Times New Roman"/>
                <w:i/>
                <w:sz w:val="20"/>
                <w:szCs w:val="20"/>
              </w:rPr>
              <w:t>Began computer education as part of regular curriculum</w:t>
            </w:r>
          </w:p>
          <w:p w14:paraId="7D66FC69" w14:textId="77777777" w:rsidR="00A67E32" w:rsidRPr="0042277F" w:rsidRDefault="00A67E32" w:rsidP="0042277F">
            <w:pPr>
              <w:pStyle w:val="ListParagraph"/>
              <w:keepNext/>
              <w:numPr>
                <w:ilvl w:val="0"/>
                <w:numId w:val="21"/>
              </w:numPr>
              <w:autoSpaceDE w:val="0"/>
              <w:autoSpaceDN w:val="0"/>
              <w:adjustRightInd w:val="0"/>
              <w:spacing w:after="120"/>
              <w:rPr>
                <w:rFonts w:ascii="Times New Roman" w:hAnsi="Times New Roman" w:cs="Times New Roman"/>
                <w:i/>
                <w:sz w:val="20"/>
                <w:szCs w:val="20"/>
              </w:rPr>
            </w:pPr>
            <w:r w:rsidRPr="0042277F">
              <w:rPr>
                <w:rFonts w:ascii="Times New Roman" w:hAnsi="Times New Roman" w:cs="Times New Roman"/>
                <w:i/>
                <w:sz w:val="20"/>
                <w:szCs w:val="20"/>
              </w:rPr>
              <w:t>Provided computer literacy training and how to use ICT in education</w:t>
            </w:r>
          </w:p>
          <w:p w14:paraId="72EE33F7" w14:textId="77777777" w:rsidR="00A67E32" w:rsidRPr="0042277F" w:rsidRDefault="00A67E32" w:rsidP="0042277F">
            <w:pPr>
              <w:pStyle w:val="ListParagraph"/>
              <w:keepNext/>
              <w:numPr>
                <w:ilvl w:val="0"/>
                <w:numId w:val="21"/>
              </w:numPr>
              <w:autoSpaceDE w:val="0"/>
              <w:autoSpaceDN w:val="0"/>
              <w:adjustRightInd w:val="0"/>
              <w:spacing w:after="120"/>
              <w:rPr>
                <w:rFonts w:ascii="Times New Roman" w:hAnsi="Times New Roman" w:cs="Times New Roman"/>
                <w:i/>
                <w:sz w:val="20"/>
                <w:szCs w:val="20"/>
              </w:rPr>
            </w:pPr>
            <w:r w:rsidRPr="0042277F">
              <w:rPr>
                <w:rFonts w:ascii="Times New Roman" w:hAnsi="Times New Roman" w:cs="Times New Roman"/>
                <w:i/>
                <w:sz w:val="20"/>
                <w:szCs w:val="20"/>
              </w:rPr>
              <w:t>Aimed for more computers, education , schoolteachers training</w:t>
            </w:r>
          </w:p>
          <w:p w14:paraId="374C7342" w14:textId="77777777" w:rsidR="00A67E32" w:rsidRPr="0042277F" w:rsidRDefault="00A67E32" w:rsidP="0042277F">
            <w:pPr>
              <w:pStyle w:val="ListParagraph"/>
              <w:keepNext/>
              <w:numPr>
                <w:ilvl w:val="0"/>
                <w:numId w:val="21"/>
              </w:numPr>
              <w:autoSpaceDE w:val="0"/>
              <w:autoSpaceDN w:val="0"/>
              <w:adjustRightInd w:val="0"/>
              <w:spacing w:after="120"/>
              <w:rPr>
                <w:rFonts w:ascii="Times New Roman" w:hAnsi="Times New Roman" w:cs="Times New Roman"/>
                <w:i/>
                <w:sz w:val="20"/>
                <w:szCs w:val="20"/>
              </w:rPr>
            </w:pPr>
            <w:r w:rsidRPr="0042277F">
              <w:rPr>
                <w:rFonts w:ascii="Times New Roman" w:hAnsi="Times New Roman" w:cs="Times New Roman"/>
                <w:i/>
                <w:sz w:val="20"/>
                <w:szCs w:val="20"/>
              </w:rPr>
              <w:t>Promoted LAN, C/S-based automation of school tasks</w:t>
            </w:r>
          </w:p>
        </w:tc>
        <w:tc>
          <w:tcPr>
            <w:tcW w:w="3348" w:type="dxa"/>
          </w:tcPr>
          <w:p w14:paraId="0AEE6D71" w14:textId="77777777" w:rsidR="00A67E32" w:rsidRPr="0042277F" w:rsidRDefault="00A67E32" w:rsidP="0042277F">
            <w:pPr>
              <w:pStyle w:val="ListParagraph"/>
              <w:keepNext/>
              <w:numPr>
                <w:ilvl w:val="0"/>
                <w:numId w:val="23"/>
              </w:numPr>
              <w:autoSpaceDE w:val="0"/>
              <w:autoSpaceDN w:val="0"/>
              <w:adjustRightInd w:val="0"/>
              <w:spacing w:after="120"/>
              <w:rPr>
                <w:rFonts w:ascii="Times New Roman" w:eastAsia="ｹﾙﾅﾁ" w:hAnsi="Times New Roman" w:cs="Times New Roman"/>
                <w:i/>
                <w:sz w:val="20"/>
                <w:szCs w:val="20"/>
              </w:rPr>
            </w:pPr>
            <w:r w:rsidRPr="0042277F">
              <w:rPr>
                <w:rFonts w:ascii="Times New Roman" w:hAnsi="Times New Roman" w:cs="Times New Roman"/>
                <w:i/>
                <w:sz w:val="20"/>
                <w:szCs w:val="20"/>
              </w:rPr>
              <w:t xml:space="preserve">Implemented ICT to improve education System </w:t>
            </w:r>
          </w:p>
          <w:p w14:paraId="77E93FF2" w14:textId="77777777" w:rsidR="00A67E32" w:rsidRPr="0042277F" w:rsidRDefault="00A67E32" w:rsidP="0042277F">
            <w:pPr>
              <w:pStyle w:val="ListParagraph"/>
              <w:keepNext/>
              <w:numPr>
                <w:ilvl w:val="0"/>
                <w:numId w:val="23"/>
              </w:numPr>
              <w:autoSpaceDE w:val="0"/>
              <w:autoSpaceDN w:val="0"/>
              <w:adjustRightInd w:val="0"/>
              <w:spacing w:after="120"/>
              <w:rPr>
                <w:rFonts w:ascii="Times New Roman" w:hAnsi="Times New Roman" w:cs="Times New Roman"/>
                <w:i/>
                <w:sz w:val="20"/>
                <w:szCs w:val="20"/>
              </w:rPr>
            </w:pPr>
            <w:r w:rsidRPr="0042277F">
              <w:rPr>
                <w:rFonts w:ascii="Times New Roman" w:hAnsi="Times New Roman" w:cs="Times New Roman"/>
                <w:i/>
                <w:sz w:val="20"/>
                <w:szCs w:val="20"/>
              </w:rPr>
              <w:t>Promoted general ICT education to facilitate  quality education and access to education</w:t>
            </w:r>
          </w:p>
          <w:p w14:paraId="4A471416" w14:textId="77777777" w:rsidR="00A67E32" w:rsidRPr="0042277F" w:rsidRDefault="00A67E32" w:rsidP="0042277F">
            <w:pPr>
              <w:pStyle w:val="ListParagraph"/>
              <w:keepNext/>
              <w:numPr>
                <w:ilvl w:val="0"/>
                <w:numId w:val="23"/>
              </w:numPr>
              <w:autoSpaceDE w:val="0"/>
              <w:autoSpaceDN w:val="0"/>
              <w:adjustRightInd w:val="0"/>
              <w:spacing w:after="120"/>
              <w:rPr>
                <w:rFonts w:ascii="Times New Roman" w:hAnsi="Times New Roman" w:cs="Times New Roman"/>
                <w:i/>
                <w:sz w:val="20"/>
                <w:szCs w:val="20"/>
              </w:rPr>
            </w:pPr>
            <w:r w:rsidRPr="0042277F">
              <w:rPr>
                <w:rFonts w:ascii="Times New Roman" w:hAnsi="Times New Roman" w:cs="Times New Roman"/>
                <w:i/>
                <w:sz w:val="20"/>
                <w:szCs w:val="20"/>
              </w:rPr>
              <w:t>Emphasized school teachers and student participation of education resources, information sharing, joint-production</w:t>
            </w:r>
          </w:p>
          <w:p w14:paraId="23DA5C7F" w14:textId="09672040" w:rsidR="00A67E32" w:rsidRPr="0042277F" w:rsidRDefault="00CE44E6" w:rsidP="0042277F">
            <w:pPr>
              <w:pStyle w:val="ListParagraph"/>
              <w:keepNext/>
              <w:numPr>
                <w:ilvl w:val="0"/>
                <w:numId w:val="23"/>
              </w:numPr>
              <w:autoSpaceDE w:val="0"/>
              <w:autoSpaceDN w:val="0"/>
              <w:adjustRightInd w:val="0"/>
              <w:spacing w:after="120"/>
              <w:rPr>
                <w:rFonts w:ascii="Times New Roman" w:hAnsi="Times New Roman" w:cs="Times New Roman"/>
                <w:i/>
                <w:sz w:val="20"/>
                <w:szCs w:val="20"/>
              </w:rPr>
            </w:pPr>
            <w:r w:rsidRPr="0042277F">
              <w:rPr>
                <w:rFonts w:ascii="Times New Roman" w:hAnsi="Times New Roman" w:cs="Times New Roman"/>
                <w:i/>
                <w:sz w:val="20"/>
                <w:szCs w:val="20"/>
              </w:rPr>
              <w:t>Emphasized</w:t>
            </w:r>
            <w:r w:rsidR="00441A18" w:rsidRPr="0042277F">
              <w:rPr>
                <w:rFonts w:ascii="Times New Roman" w:hAnsi="Times New Roman" w:cs="Times New Roman"/>
                <w:i/>
                <w:sz w:val="20"/>
                <w:szCs w:val="20"/>
              </w:rPr>
              <w:t xml:space="preserve"> on e</w:t>
            </w:r>
            <w:r w:rsidR="00A67E32" w:rsidRPr="0042277F">
              <w:rPr>
                <w:rFonts w:ascii="Times New Roman" w:hAnsi="Times New Roman" w:cs="Times New Roman"/>
                <w:i/>
                <w:sz w:val="20"/>
                <w:szCs w:val="20"/>
              </w:rPr>
              <w:t xml:space="preserve">ducation </w:t>
            </w:r>
            <w:r w:rsidR="00441A18" w:rsidRPr="0042277F">
              <w:rPr>
                <w:rFonts w:ascii="Times New Roman" w:hAnsi="Times New Roman" w:cs="Times New Roman"/>
                <w:i/>
                <w:sz w:val="20"/>
                <w:szCs w:val="20"/>
              </w:rPr>
              <w:t>i</w:t>
            </w:r>
            <w:r w:rsidR="00A67E32" w:rsidRPr="0042277F">
              <w:rPr>
                <w:rFonts w:ascii="Times New Roman" w:hAnsi="Times New Roman" w:cs="Times New Roman"/>
                <w:i/>
                <w:sz w:val="20"/>
                <w:szCs w:val="20"/>
              </w:rPr>
              <w:t>nformatization based on intranet, Internet, web</w:t>
            </w:r>
          </w:p>
        </w:tc>
      </w:tr>
    </w:tbl>
    <w:p w14:paraId="2E694593" w14:textId="6299C8BD" w:rsidR="00A67E32" w:rsidRPr="0042277F" w:rsidRDefault="00A67E32" w:rsidP="00874880">
      <w:pPr>
        <w:keepNext/>
        <w:autoSpaceDE w:val="0"/>
        <w:autoSpaceDN w:val="0"/>
        <w:adjustRightInd w:val="0"/>
        <w:spacing w:after="240" w:line="276" w:lineRule="auto"/>
        <w:rPr>
          <w:rFonts w:ascii="Times New Roman" w:hAnsi="Times New Roman" w:cs="Times New Roman"/>
          <w:sz w:val="20"/>
          <w:szCs w:val="20"/>
        </w:rPr>
      </w:pPr>
      <w:r w:rsidRPr="0042277F">
        <w:rPr>
          <w:rFonts w:ascii="Times New Roman" w:hAnsi="Times New Roman" w:cs="Times New Roman"/>
          <w:sz w:val="20"/>
          <w:szCs w:val="20"/>
        </w:rPr>
        <w:t xml:space="preserve">Source: Adapted from “Understanding Korean Educational Policy </w:t>
      </w:r>
      <w:r w:rsidRPr="0042277F">
        <w:rPr>
          <w:rFonts w:ascii="Times New Roman" w:hAnsi="Times New Roman" w:cs="Times New Roman"/>
          <w:bCs/>
          <w:sz w:val="20"/>
          <w:szCs w:val="20"/>
        </w:rPr>
        <w:t>Vol. 6, Informatization</w:t>
      </w:r>
      <w:r w:rsidRPr="0042277F">
        <w:rPr>
          <w:rFonts w:ascii="Times New Roman" w:hAnsi="Times New Roman" w:cs="Times New Roman"/>
          <w:sz w:val="20"/>
          <w:szCs w:val="20"/>
        </w:rPr>
        <w:t xml:space="preserve"> of Education: ICT Use in Education, Korean Development Institute</w:t>
      </w:r>
      <w:r w:rsidR="00441A18" w:rsidRPr="0042277F">
        <w:rPr>
          <w:rFonts w:ascii="Times New Roman" w:hAnsi="Times New Roman" w:cs="Times New Roman"/>
          <w:sz w:val="20"/>
          <w:szCs w:val="20"/>
        </w:rPr>
        <w:t>.</w:t>
      </w:r>
    </w:p>
    <w:p w14:paraId="3BC789C0" w14:textId="77777777" w:rsidR="00C25381" w:rsidRDefault="00C25381" w:rsidP="00C25381">
      <w:pPr>
        <w:autoSpaceDE w:val="0"/>
        <w:autoSpaceDN w:val="0"/>
        <w:adjustRightInd w:val="0"/>
        <w:spacing w:after="240" w:line="276" w:lineRule="auto"/>
        <w:jc w:val="both"/>
        <w:rPr>
          <w:rFonts w:ascii="Times New Roman" w:hAnsi="Times New Roman" w:cs="Times New Roman"/>
          <w:sz w:val="24"/>
          <w:szCs w:val="24"/>
        </w:rPr>
      </w:pPr>
    </w:p>
    <w:p w14:paraId="4783A8E9" w14:textId="5EF501E0" w:rsidR="00A67E32" w:rsidRDefault="00A67E32" w:rsidP="00C25381">
      <w:pPr>
        <w:autoSpaceDE w:val="0"/>
        <w:autoSpaceDN w:val="0"/>
        <w:adjustRightInd w:val="0"/>
        <w:spacing w:after="240" w:line="276" w:lineRule="auto"/>
        <w:jc w:val="both"/>
        <w:rPr>
          <w:rFonts w:ascii="Times New Roman" w:hAnsi="Times New Roman" w:cs="Times New Roman"/>
          <w:sz w:val="24"/>
          <w:szCs w:val="24"/>
        </w:rPr>
      </w:pPr>
      <w:r w:rsidRPr="00B17058">
        <w:rPr>
          <w:rFonts w:ascii="Times New Roman" w:hAnsi="Times New Roman" w:cs="Times New Roman"/>
          <w:sz w:val="24"/>
          <w:szCs w:val="24"/>
        </w:rPr>
        <w:lastRenderedPageBreak/>
        <w:t xml:space="preserve">Learning from Korea’s experience, where computer education was considered an integral part of school education from the beginning of its industrialization process, following factors are important in realizing ICT use in education:  Firstly, the government must have a development plan for an information industry or society informatization. This is important as growing demands for school informatization equipment or networking solutions, specialists, could not be effectively meet without such plan. Secondly, for the former, a clear objective for ICT use in education is needed. Korean </w:t>
      </w:r>
      <w:r w:rsidR="00CE44E6" w:rsidRPr="00B17058">
        <w:rPr>
          <w:rFonts w:ascii="Times New Roman" w:hAnsi="Times New Roman" w:cs="Times New Roman"/>
          <w:sz w:val="24"/>
          <w:szCs w:val="24"/>
        </w:rPr>
        <w:t>example</w:t>
      </w:r>
      <w:r w:rsidRPr="00B17058">
        <w:rPr>
          <w:rFonts w:ascii="Times New Roman" w:hAnsi="Times New Roman" w:cs="Times New Roman"/>
          <w:sz w:val="24"/>
          <w:szCs w:val="24"/>
        </w:rPr>
        <w:t xml:space="preserve"> shows that the country underwent phases of computer specialist training, computer education universalization, and, finally, ICT use in education, whereby </w:t>
      </w:r>
      <w:r w:rsidR="00CE44E6" w:rsidRPr="00B17058">
        <w:rPr>
          <w:rFonts w:ascii="Times New Roman" w:hAnsi="Times New Roman" w:cs="Times New Roman"/>
          <w:sz w:val="24"/>
          <w:szCs w:val="24"/>
        </w:rPr>
        <w:t>it’s</w:t>
      </w:r>
      <w:r w:rsidRPr="00B17058">
        <w:rPr>
          <w:rFonts w:ascii="Times New Roman" w:hAnsi="Times New Roman" w:cs="Times New Roman"/>
          <w:sz w:val="24"/>
          <w:szCs w:val="24"/>
        </w:rPr>
        <w:t xml:space="preserve"> economic, industrial, and socio-cultural factors </w:t>
      </w:r>
      <w:r w:rsidR="00CE44E6" w:rsidRPr="00B17058">
        <w:rPr>
          <w:rFonts w:ascii="Times New Roman" w:hAnsi="Times New Roman" w:cs="Times New Roman"/>
          <w:sz w:val="24"/>
          <w:szCs w:val="24"/>
        </w:rPr>
        <w:t>was</w:t>
      </w:r>
      <w:r w:rsidRPr="00B17058">
        <w:rPr>
          <w:rFonts w:ascii="Times New Roman" w:hAnsi="Times New Roman" w:cs="Times New Roman"/>
          <w:sz w:val="24"/>
          <w:szCs w:val="24"/>
        </w:rPr>
        <w:t xml:space="preserve"> at play. This means country’s context is important in setting out objectives and plans for education informatization.  Moreover, the necessary manpower to handle the responsibility of computer education or ICT use in education has to be ensured and education informatization needs to be consistent with education curriculum or demand driven. Government also need to ascertain funding /financing issues secure capital for education informatization as well as make prior evaluation of social and overhead capital such as electricity and communication network availability as foundation for education informatization.</w:t>
      </w:r>
    </w:p>
    <w:p w14:paraId="678B6C5F" w14:textId="255847B9" w:rsidR="00CE02F4" w:rsidRPr="00B17058" w:rsidRDefault="008A562B" w:rsidP="00874880">
      <w:pPr>
        <w:spacing w:after="240" w:line="276" w:lineRule="auto"/>
        <w:jc w:val="both"/>
        <w:rPr>
          <w:rFonts w:ascii="Times New Roman" w:hAnsi="Times New Roman" w:cs="Times New Roman"/>
          <w:b/>
          <w:bCs/>
          <w:i/>
          <w:iCs/>
          <w:sz w:val="24"/>
          <w:szCs w:val="24"/>
        </w:rPr>
      </w:pPr>
      <w:r w:rsidRPr="00B17058">
        <w:rPr>
          <w:rFonts w:ascii="Times New Roman" w:hAnsi="Times New Roman" w:cs="Times New Roman"/>
          <w:b/>
          <w:bCs/>
          <w:i/>
          <w:iCs/>
          <w:sz w:val="24"/>
          <w:szCs w:val="24"/>
        </w:rPr>
        <w:t>7.2 Reforming higher education to e</w:t>
      </w:r>
      <w:r w:rsidR="00CE02F4" w:rsidRPr="00B17058">
        <w:rPr>
          <w:rFonts w:ascii="Times New Roman" w:hAnsi="Times New Roman" w:cs="Times New Roman"/>
          <w:b/>
          <w:bCs/>
          <w:i/>
          <w:iCs/>
          <w:sz w:val="24"/>
          <w:szCs w:val="24"/>
        </w:rPr>
        <w:t>mbracing global transformation</w:t>
      </w:r>
    </w:p>
    <w:p w14:paraId="09C210EA" w14:textId="7D028535" w:rsidR="001844C8" w:rsidRPr="00B17058" w:rsidRDefault="00B956A5" w:rsidP="00B6144C">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The development of MOOC facilitate the universalization of university education though expansion of learning access and quality. These courses are conducted online for thousands of students worldwide without restrictions. The new global learning practice created opportunities </w:t>
      </w:r>
      <w:r w:rsidR="00736D7F">
        <w:rPr>
          <w:rFonts w:ascii="Times New Roman" w:hAnsi="Times New Roman" w:cs="Times New Roman"/>
          <w:sz w:val="24"/>
          <w:szCs w:val="24"/>
        </w:rPr>
        <w:t>to utilize the potential of ICT in pedagogy. MOOC initiatives provide global platform</w:t>
      </w:r>
      <w:r w:rsidR="00935CEF">
        <w:rPr>
          <w:rFonts w:ascii="Times New Roman" w:hAnsi="Times New Roman" w:cs="Times New Roman"/>
          <w:sz w:val="24"/>
          <w:szCs w:val="24"/>
        </w:rPr>
        <w:t xml:space="preserve"> for extending the reach of educational institutions and providing universal access to quality education. It facilitates innovation in teaching and research and international collaboration. </w:t>
      </w:r>
      <w:r w:rsidR="00210582">
        <w:rPr>
          <w:rFonts w:ascii="Times New Roman" w:hAnsi="Times New Roman" w:cs="Times New Roman"/>
          <w:sz w:val="24"/>
          <w:szCs w:val="24"/>
        </w:rPr>
        <w:t>Virtual learning contexts, transnational learning platforms, global citizenship have become priority following subject specific learning across the world. For example, the national Knowledge commission in India emphasizes the use of OER in order to enhance the availability of high quality educational resources and improve quality of education for all</w:t>
      </w:r>
      <w:r w:rsidR="00773027">
        <w:rPr>
          <w:rFonts w:ascii="Times New Roman" w:hAnsi="Times New Roman" w:cs="Times New Roman"/>
          <w:sz w:val="24"/>
          <w:szCs w:val="24"/>
        </w:rPr>
        <w:t xml:space="preserve"> </w:t>
      </w:r>
      <w:r w:rsidR="00210582">
        <w:rPr>
          <w:rFonts w:ascii="Times New Roman" w:hAnsi="Times New Roman" w:cs="Times New Roman"/>
          <w:sz w:val="24"/>
          <w:szCs w:val="24"/>
        </w:rPr>
        <w:t>(</w:t>
      </w:r>
      <w:r w:rsidR="00773027">
        <w:rPr>
          <w:rFonts w:ascii="Times New Roman" w:hAnsi="Times New Roman" w:cs="Times New Roman"/>
          <w:sz w:val="24"/>
          <w:szCs w:val="24"/>
        </w:rPr>
        <w:t>Pushpanadham 2015)</w:t>
      </w:r>
      <w:r w:rsidR="00210582">
        <w:rPr>
          <w:rFonts w:ascii="Times New Roman" w:hAnsi="Times New Roman" w:cs="Times New Roman"/>
          <w:sz w:val="24"/>
          <w:szCs w:val="24"/>
        </w:rPr>
        <w:t xml:space="preserve">. </w:t>
      </w:r>
      <w:r w:rsidR="001844C8" w:rsidRPr="00B17058">
        <w:rPr>
          <w:rFonts w:ascii="Times New Roman" w:hAnsi="Times New Roman" w:cs="Times New Roman"/>
          <w:sz w:val="24"/>
          <w:szCs w:val="24"/>
        </w:rPr>
        <w:t xml:space="preserve"> </w:t>
      </w:r>
      <w:r w:rsidR="00773027">
        <w:rPr>
          <w:rFonts w:ascii="Times New Roman" w:hAnsi="Times New Roman" w:cs="Times New Roman"/>
          <w:sz w:val="24"/>
          <w:szCs w:val="24"/>
        </w:rPr>
        <w:t xml:space="preserve">It is expected that these OER can potentially solve the paucity of high quality teachers, inadequate infrastructures of universities including libraries and poor quality educational resources. </w:t>
      </w:r>
      <w:r w:rsidR="001844C8" w:rsidRPr="00B17058">
        <w:rPr>
          <w:rFonts w:ascii="Times New Roman" w:hAnsi="Times New Roman" w:cs="Times New Roman"/>
          <w:sz w:val="24"/>
          <w:szCs w:val="24"/>
        </w:rPr>
        <w:t xml:space="preserve">The developments in digital technologies such as Big data, Internets, and artificial </w:t>
      </w:r>
      <w:r w:rsidR="00952088" w:rsidRPr="00B17058">
        <w:rPr>
          <w:rFonts w:ascii="Times New Roman" w:hAnsi="Times New Roman" w:cs="Times New Roman"/>
          <w:sz w:val="24"/>
          <w:szCs w:val="24"/>
        </w:rPr>
        <w:t>intelligence (</w:t>
      </w:r>
      <w:r w:rsidR="001844C8" w:rsidRPr="00B17058">
        <w:rPr>
          <w:rFonts w:ascii="Times New Roman" w:hAnsi="Times New Roman" w:cs="Times New Roman"/>
          <w:sz w:val="24"/>
          <w:szCs w:val="24"/>
        </w:rPr>
        <w:t xml:space="preserve">AI) are taking place very fast and which can be utilized by universities to upgrade learning environments. Educational institutions at the university level will need to embrace digital solutions to teaching and learning as the future excellence in education and learning will come through digital technology. Technology like “google apps for education” serves as effective tool to connect with students. Teachers assume the active role in demonstrating digital skills so that students can acquire such skills fast. Also digital skill development courses should be offered. Educational institutions will need to invest on global learning network solutions to offer online training and workshops through video conferencing facilities. Distance learning can address challenges of class room instructions by way of hybrid educational programs. For this </w:t>
      </w:r>
      <w:r w:rsidR="001844C8" w:rsidRPr="00B17058">
        <w:rPr>
          <w:rFonts w:ascii="Times New Roman" w:hAnsi="Times New Roman" w:cs="Times New Roman"/>
          <w:sz w:val="24"/>
          <w:szCs w:val="24"/>
        </w:rPr>
        <w:lastRenderedPageBreak/>
        <w:t>building technology platforms that will facilitate online and digital instructions in universities will be crucial.</w:t>
      </w:r>
    </w:p>
    <w:p w14:paraId="750F9082" w14:textId="77777777" w:rsidR="001844C8" w:rsidRPr="00B17058" w:rsidRDefault="001844C8" w:rsidP="00874880">
      <w:pPr>
        <w:spacing w:after="240" w:line="276" w:lineRule="auto"/>
        <w:ind w:firstLine="720"/>
        <w:jc w:val="both"/>
        <w:rPr>
          <w:rFonts w:ascii="Times New Roman" w:hAnsi="Times New Roman" w:cs="Times New Roman"/>
          <w:sz w:val="24"/>
          <w:szCs w:val="24"/>
        </w:rPr>
      </w:pPr>
      <w:r w:rsidRPr="00B17058">
        <w:rPr>
          <w:rFonts w:ascii="Times New Roman" w:hAnsi="Times New Roman" w:cs="Times New Roman"/>
          <w:sz w:val="24"/>
          <w:szCs w:val="24"/>
        </w:rPr>
        <w:t xml:space="preserve">Both public and private universities in the country will need to play active role in embracing this transformation to offer globally competitive education to develop skilled human resources. Given the ever increasing demand for higher education digital based distance learning solution will be essential to educate the population. Universities will need to adapt and design solutions to offer globally competitive online education. This means universities will need to focus on education on digital technologies and as well as application of such technologies in teaching and learning.  Digitally equipped classrooms as well as digital  platforms for online education  will be extremely important in the higher education sectors in the country as this will be essentially create better understanding  between providers of education and learners thus improving the quality of education. </w:t>
      </w:r>
    </w:p>
    <w:p w14:paraId="5221302B" w14:textId="3F818886" w:rsidR="00CE02F4" w:rsidRPr="00B17058" w:rsidRDefault="00CE02F4" w:rsidP="00874880">
      <w:pPr>
        <w:spacing w:after="240" w:line="276" w:lineRule="auto"/>
        <w:ind w:firstLine="720"/>
        <w:jc w:val="both"/>
        <w:rPr>
          <w:rFonts w:ascii="Times New Roman" w:eastAsia="Times New Roman" w:hAnsi="Times New Roman" w:cs="Times New Roman"/>
          <w:color w:val="0F1010"/>
          <w:sz w:val="24"/>
          <w:szCs w:val="24"/>
          <w:lang w:val="en" w:eastAsia="en-GB"/>
        </w:rPr>
      </w:pPr>
      <w:r w:rsidRPr="00B17058">
        <w:rPr>
          <w:rFonts w:ascii="Times New Roman" w:hAnsi="Times New Roman" w:cs="Times New Roman"/>
          <w:sz w:val="24"/>
          <w:szCs w:val="24"/>
        </w:rPr>
        <w:t xml:space="preserve">While the role of government policy is extremely important in facilitating digital education- using technology to connect teaching and learning, </w:t>
      </w:r>
      <w:r w:rsidR="00210582" w:rsidRPr="00B17058">
        <w:rPr>
          <w:rFonts w:ascii="Times New Roman" w:hAnsi="Times New Roman" w:cs="Times New Roman"/>
          <w:sz w:val="24"/>
          <w:szCs w:val="24"/>
        </w:rPr>
        <w:t>col</w:t>
      </w:r>
      <w:r w:rsidR="00210582">
        <w:rPr>
          <w:rFonts w:ascii="Times New Roman" w:hAnsi="Times New Roman" w:cs="Times New Roman"/>
          <w:sz w:val="24"/>
          <w:szCs w:val="24"/>
        </w:rPr>
        <w:t>labora</w:t>
      </w:r>
      <w:r w:rsidR="00210582" w:rsidRPr="00B17058">
        <w:rPr>
          <w:rFonts w:ascii="Times New Roman" w:hAnsi="Times New Roman" w:cs="Times New Roman"/>
          <w:sz w:val="24"/>
          <w:szCs w:val="24"/>
        </w:rPr>
        <w:t>tion</w:t>
      </w:r>
      <w:r w:rsidRPr="00B17058">
        <w:rPr>
          <w:rFonts w:ascii="Times New Roman" w:hAnsi="Times New Roman" w:cs="Times New Roman"/>
          <w:sz w:val="24"/>
          <w:szCs w:val="24"/>
        </w:rPr>
        <w:t xml:space="preserve"> between private sectors, digital industries and universities remains as important.  The universities in Singapore and Malaysia have been able to maintain a credible and sustainable relationship with industries for </w:t>
      </w:r>
      <w:r w:rsidR="00210582" w:rsidRPr="00B17058">
        <w:rPr>
          <w:rFonts w:ascii="Times New Roman" w:hAnsi="Times New Roman" w:cs="Times New Roman"/>
          <w:sz w:val="24"/>
          <w:szCs w:val="24"/>
        </w:rPr>
        <w:t>col</w:t>
      </w:r>
      <w:r w:rsidR="00210582">
        <w:rPr>
          <w:rFonts w:ascii="Times New Roman" w:hAnsi="Times New Roman" w:cs="Times New Roman"/>
          <w:sz w:val="24"/>
          <w:szCs w:val="24"/>
        </w:rPr>
        <w:t>labora</w:t>
      </w:r>
      <w:r w:rsidR="00210582" w:rsidRPr="00B17058">
        <w:rPr>
          <w:rFonts w:ascii="Times New Roman" w:hAnsi="Times New Roman" w:cs="Times New Roman"/>
          <w:sz w:val="24"/>
          <w:szCs w:val="24"/>
        </w:rPr>
        <w:t>ting</w:t>
      </w:r>
      <w:r w:rsidRPr="00B17058">
        <w:rPr>
          <w:rFonts w:ascii="Times New Roman" w:hAnsi="Times New Roman" w:cs="Times New Roman"/>
          <w:sz w:val="24"/>
          <w:szCs w:val="24"/>
        </w:rPr>
        <w:t xml:space="preserve"> and commercializing their research and development products and ideas (</w:t>
      </w:r>
      <w:r w:rsidR="00356999">
        <w:rPr>
          <w:rFonts w:ascii="Times New Roman" w:hAnsi="Times New Roman" w:cs="Times New Roman"/>
          <w:sz w:val="24"/>
          <w:szCs w:val="24"/>
        </w:rPr>
        <w:t>cited in Mohsin and Kamal 2012</w:t>
      </w:r>
      <w:r w:rsidRPr="00B17058">
        <w:rPr>
          <w:rFonts w:ascii="Times New Roman" w:hAnsi="Times New Roman" w:cs="Times New Roman"/>
          <w:sz w:val="24"/>
          <w:szCs w:val="24"/>
        </w:rPr>
        <w:t xml:space="preserve">). </w:t>
      </w:r>
      <w:r w:rsidR="00DE7857">
        <w:rPr>
          <w:rFonts w:ascii="Times New Roman" w:hAnsi="Times New Roman" w:cs="Times New Roman"/>
          <w:sz w:val="24"/>
          <w:szCs w:val="24"/>
        </w:rPr>
        <w:t xml:space="preserve"> </w:t>
      </w:r>
      <w:r w:rsidR="001844C8" w:rsidRPr="00B17058">
        <w:rPr>
          <w:rFonts w:ascii="Times New Roman" w:hAnsi="Times New Roman" w:cs="Times New Roman"/>
          <w:sz w:val="24"/>
          <w:szCs w:val="24"/>
        </w:rPr>
        <w:t xml:space="preserve">Importantly the scope of education has widened in a knowledge based society. Increasingly there have been initiatives in advanced developed countries including countries in Asia to link higher education to external world that also takes into account </w:t>
      </w:r>
      <w:r w:rsidR="006E2C5E">
        <w:rPr>
          <w:rFonts w:ascii="Times New Roman" w:hAnsi="Times New Roman" w:cs="Times New Roman"/>
          <w:sz w:val="24"/>
          <w:szCs w:val="24"/>
        </w:rPr>
        <w:t>labour</w:t>
      </w:r>
      <w:r w:rsidR="001844C8" w:rsidRPr="00B17058">
        <w:rPr>
          <w:rFonts w:ascii="Times New Roman" w:hAnsi="Times New Roman" w:cs="Times New Roman"/>
          <w:sz w:val="24"/>
          <w:szCs w:val="24"/>
        </w:rPr>
        <w:t xml:space="preserve"> market demands domestically and internationally. There have been reforms in higher education systems in these countries to create opportunities for higher education institutes so that the latter can become more responsive to the need of the society. Many countries have allowed their top institutions to open campuses and offer educational programs in other countries. There has been increasing </w:t>
      </w:r>
      <w:r w:rsidR="00BC254D" w:rsidRPr="00B17058">
        <w:rPr>
          <w:rFonts w:ascii="Times New Roman" w:hAnsi="Times New Roman" w:cs="Times New Roman"/>
          <w:sz w:val="24"/>
          <w:szCs w:val="24"/>
        </w:rPr>
        <w:t>col</w:t>
      </w:r>
      <w:r w:rsidR="00BC254D">
        <w:rPr>
          <w:rFonts w:ascii="Times New Roman" w:hAnsi="Times New Roman" w:cs="Times New Roman"/>
          <w:sz w:val="24"/>
          <w:szCs w:val="24"/>
        </w:rPr>
        <w:t>labora</w:t>
      </w:r>
      <w:r w:rsidR="00BC254D" w:rsidRPr="00B17058">
        <w:rPr>
          <w:rFonts w:ascii="Times New Roman" w:hAnsi="Times New Roman" w:cs="Times New Roman"/>
          <w:sz w:val="24"/>
          <w:szCs w:val="24"/>
        </w:rPr>
        <w:t>tion</w:t>
      </w:r>
      <w:r w:rsidR="001844C8" w:rsidRPr="00B17058">
        <w:rPr>
          <w:rFonts w:ascii="Times New Roman" w:hAnsi="Times New Roman" w:cs="Times New Roman"/>
          <w:sz w:val="24"/>
          <w:szCs w:val="24"/>
        </w:rPr>
        <w:t xml:space="preserve"> among universities offering academic programs. </w:t>
      </w:r>
      <w:r w:rsidRPr="00B17058">
        <w:rPr>
          <w:rFonts w:ascii="Times New Roman" w:hAnsi="Times New Roman" w:cs="Times New Roman"/>
          <w:sz w:val="24"/>
          <w:szCs w:val="24"/>
        </w:rPr>
        <w:t xml:space="preserve"> Universities will need to focus on promotion of research, capacity building of faculty, financial support for research funding and their effective use, academic freedom, creating environment to do quality research, adequately incentivising faculty. </w:t>
      </w:r>
      <w:r w:rsidR="009F0CBB">
        <w:rPr>
          <w:rFonts w:ascii="Times New Roman" w:hAnsi="Times New Roman" w:cs="Times New Roman"/>
          <w:sz w:val="24"/>
          <w:szCs w:val="24"/>
        </w:rPr>
        <w:t xml:space="preserve">For example, </w:t>
      </w:r>
      <w:r w:rsidR="00CE44E6">
        <w:rPr>
          <w:rFonts w:ascii="Times New Roman" w:hAnsi="Times New Roman" w:cs="Times New Roman"/>
          <w:sz w:val="24"/>
          <w:szCs w:val="24"/>
        </w:rPr>
        <w:t xml:space="preserve">the </w:t>
      </w:r>
      <w:r w:rsidR="00CE44E6" w:rsidRPr="00B17058">
        <w:rPr>
          <w:rFonts w:ascii="Times New Roman" w:hAnsi="Times New Roman" w:cs="Times New Roman"/>
          <w:sz w:val="24"/>
          <w:szCs w:val="24"/>
        </w:rPr>
        <w:t>universities</w:t>
      </w:r>
      <w:r w:rsidRPr="00B17058">
        <w:rPr>
          <w:rFonts w:ascii="Times New Roman" w:hAnsi="Times New Roman" w:cs="Times New Roman"/>
          <w:sz w:val="24"/>
          <w:szCs w:val="24"/>
        </w:rPr>
        <w:t xml:space="preserve"> </w:t>
      </w:r>
      <w:r w:rsidR="009F0CBB">
        <w:rPr>
          <w:rFonts w:ascii="Times New Roman" w:hAnsi="Times New Roman" w:cs="Times New Roman"/>
          <w:sz w:val="24"/>
          <w:szCs w:val="24"/>
        </w:rPr>
        <w:t xml:space="preserve">can be put </w:t>
      </w:r>
      <w:r w:rsidRPr="00B17058">
        <w:rPr>
          <w:rFonts w:ascii="Times New Roman" w:hAnsi="Times New Roman" w:cs="Times New Roman"/>
          <w:sz w:val="24"/>
          <w:szCs w:val="24"/>
        </w:rPr>
        <w:t>under an obligation to maintain and report their educational and research activities, with a detail self-monitoring and self-evaluation system</w:t>
      </w:r>
      <w:r w:rsidR="009F0CBB">
        <w:rPr>
          <w:rFonts w:ascii="Times New Roman" w:hAnsi="Times New Roman" w:cs="Times New Roman"/>
          <w:sz w:val="24"/>
          <w:szCs w:val="24"/>
        </w:rPr>
        <w:t xml:space="preserve">. </w:t>
      </w:r>
    </w:p>
    <w:p w14:paraId="4C4B63F5" w14:textId="77777777" w:rsidR="00C762DE" w:rsidRDefault="00C762DE" w:rsidP="00874880">
      <w:pPr>
        <w:spacing w:after="240" w:line="276" w:lineRule="auto"/>
        <w:ind w:firstLine="720"/>
        <w:jc w:val="both"/>
        <w:rPr>
          <w:rFonts w:ascii="Times New Roman" w:hAnsi="Times New Roman" w:cs="Times New Roman"/>
          <w:sz w:val="24"/>
          <w:szCs w:val="24"/>
        </w:rPr>
      </w:pPr>
      <w:r w:rsidRPr="00B17058">
        <w:rPr>
          <w:rFonts w:ascii="Times New Roman" w:hAnsi="Times New Roman" w:cs="Times New Roman"/>
          <w:sz w:val="24"/>
          <w:szCs w:val="24"/>
        </w:rPr>
        <w:t xml:space="preserve">The international dimension of quality education needs to be emphasized in view of globalization.  This means countries like Bangladesh need to focus on educations that are nationally comparable as well as internationally acceptable. The learning crises need to be addressed at all level of education keeping in view of the global standard. Recent research has shown that globalisation has impacted higher education in developing countries requiring highly skilled human capital.  The knowledge economy necessitate a well-developed quality education system, both based in teaching and research, particularly at the tertiary level, which will bring future prosperity of developing countries like Bangladesh to the level of developed countries. </w:t>
      </w:r>
    </w:p>
    <w:p w14:paraId="16030337" w14:textId="70FC56A6" w:rsidR="009A7AD1" w:rsidRPr="00B17058" w:rsidRDefault="008A562B" w:rsidP="0018100D">
      <w:pPr>
        <w:pStyle w:val="ListParagraph"/>
        <w:numPr>
          <w:ilvl w:val="0"/>
          <w:numId w:val="14"/>
        </w:numPr>
        <w:spacing w:after="240" w:line="276" w:lineRule="auto"/>
        <w:jc w:val="both"/>
        <w:rPr>
          <w:rFonts w:ascii="Times New Roman" w:hAnsi="Times New Roman" w:cs="Times New Roman"/>
          <w:b/>
          <w:bCs/>
          <w:sz w:val="24"/>
          <w:szCs w:val="24"/>
        </w:rPr>
      </w:pPr>
      <w:r w:rsidRPr="00B17058">
        <w:rPr>
          <w:rFonts w:ascii="Times New Roman" w:hAnsi="Times New Roman" w:cs="Times New Roman"/>
          <w:b/>
          <w:bCs/>
          <w:sz w:val="24"/>
          <w:szCs w:val="24"/>
        </w:rPr>
        <w:lastRenderedPageBreak/>
        <w:t>Conclusion</w:t>
      </w:r>
      <w:r w:rsidR="00C25381">
        <w:rPr>
          <w:rFonts w:ascii="Times New Roman" w:hAnsi="Times New Roman" w:cs="Times New Roman"/>
          <w:b/>
          <w:bCs/>
          <w:sz w:val="24"/>
          <w:szCs w:val="24"/>
        </w:rPr>
        <w:t>s</w:t>
      </w:r>
    </w:p>
    <w:p w14:paraId="4723E74C" w14:textId="1B951E96" w:rsidR="0074383A" w:rsidRPr="00B17058" w:rsidRDefault="001D44B5" w:rsidP="009F0CBB">
      <w:pPr>
        <w:autoSpaceDE w:val="0"/>
        <w:autoSpaceDN w:val="0"/>
        <w:adjustRightInd w:val="0"/>
        <w:spacing w:after="240" w:line="276" w:lineRule="auto"/>
        <w:jc w:val="both"/>
        <w:rPr>
          <w:rFonts w:ascii="Times New Roman" w:hAnsi="Times New Roman" w:cs="Times New Roman"/>
          <w:sz w:val="24"/>
          <w:szCs w:val="24"/>
        </w:rPr>
      </w:pPr>
      <w:r w:rsidRPr="008F2251">
        <w:rPr>
          <w:rFonts w:ascii="Times New Roman" w:hAnsi="Times New Roman" w:cs="Times New Roman"/>
          <w:sz w:val="24"/>
          <w:szCs w:val="24"/>
        </w:rPr>
        <w:t xml:space="preserve">The perspective plan </w:t>
      </w:r>
      <w:r>
        <w:rPr>
          <w:rFonts w:ascii="Times New Roman" w:hAnsi="Times New Roman" w:cs="Times New Roman"/>
          <w:sz w:val="24"/>
          <w:szCs w:val="24"/>
        </w:rPr>
        <w:t xml:space="preserve">2021-2041 envisions </w:t>
      </w:r>
      <w:r w:rsidRPr="008F2251">
        <w:rPr>
          <w:rFonts w:ascii="Times New Roman" w:hAnsi="Times New Roman" w:cs="Times New Roman"/>
          <w:sz w:val="24"/>
          <w:szCs w:val="24"/>
        </w:rPr>
        <w:t>Bangladesh to enter into knowledge based societ</w:t>
      </w:r>
      <w:r>
        <w:rPr>
          <w:rFonts w:ascii="Times New Roman" w:hAnsi="Times New Roman" w:cs="Times New Roman"/>
          <w:sz w:val="24"/>
          <w:szCs w:val="24"/>
        </w:rPr>
        <w:t>ies</w:t>
      </w:r>
      <w:r w:rsidRPr="008F2251">
        <w:rPr>
          <w:rFonts w:ascii="Times New Roman" w:hAnsi="Times New Roman" w:cs="Times New Roman"/>
          <w:sz w:val="24"/>
          <w:szCs w:val="24"/>
        </w:rPr>
        <w:t>, requiring great</w:t>
      </w:r>
      <w:r>
        <w:rPr>
          <w:rFonts w:ascii="Times New Roman" w:hAnsi="Times New Roman" w:cs="Times New Roman"/>
          <w:sz w:val="24"/>
          <w:szCs w:val="24"/>
        </w:rPr>
        <w:t>er</w:t>
      </w:r>
      <w:r w:rsidRPr="008F2251">
        <w:rPr>
          <w:rFonts w:ascii="Times New Roman" w:hAnsi="Times New Roman" w:cs="Times New Roman"/>
          <w:sz w:val="24"/>
          <w:szCs w:val="24"/>
        </w:rPr>
        <w:t xml:space="preserve"> emphasis on education </w:t>
      </w:r>
      <w:r>
        <w:rPr>
          <w:rFonts w:ascii="Times New Roman" w:hAnsi="Times New Roman" w:cs="Times New Roman"/>
          <w:sz w:val="24"/>
          <w:szCs w:val="24"/>
        </w:rPr>
        <w:t xml:space="preserve">and skill </w:t>
      </w:r>
      <w:r w:rsidRPr="008F2251">
        <w:rPr>
          <w:rFonts w:ascii="Times New Roman" w:hAnsi="Times New Roman" w:cs="Times New Roman"/>
          <w:sz w:val="24"/>
          <w:szCs w:val="24"/>
        </w:rPr>
        <w:t xml:space="preserve">through research and development. </w:t>
      </w:r>
      <w:r>
        <w:rPr>
          <w:rFonts w:ascii="Times New Roman" w:hAnsi="Times New Roman" w:cs="Times New Roman"/>
          <w:sz w:val="24"/>
          <w:szCs w:val="24"/>
        </w:rPr>
        <w:t xml:space="preserve">It is argued that a knowledge based society would be crucial for the level of economic development to the status of an upper middle income country. </w:t>
      </w:r>
      <w:r w:rsidR="0074383A" w:rsidRPr="00B17058">
        <w:rPr>
          <w:rFonts w:ascii="Times New Roman" w:hAnsi="Times New Roman" w:cs="Times New Roman"/>
          <w:sz w:val="24"/>
          <w:szCs w:val="24"/>
        </w:rPr>
        <w:t xml:space="preserve">Globalization and the advancement of information technology will require </w:t>
      </w:r>
      <w:r>
        <w:rPr>
          <w:rFonts w:ascii="Times New Roman" w:hAnsi="Times New Roman" w:cs="Times New Roman"/>
          <w:sz w:val="24"/>
          <w:szCs w:val="24"/>
        </w:rPr>
        <w:t>competitiveness of individuals i</w:t>
      </w:r>
      <w:r w:rsidR="0074383A" w:rsidRPr="00B17058">
        <w:rPr>
          <w:rFonts w:ascii="Times New Roman" w:hAnsi="Times New Roman" w:cs="Times New Roman"/>
          <w:sz w:val="24"/>
          <w:szCs w:val="24"/>
        </w:rPr>
        <w:t xml:space="preserve">n order to adapt to such rapidly changing </w:t>
      </w:r>
      <w:r>
        <w:rPr>
          <w:rFonts w:ascii="Times New Roman" w:hAnsi="Times New Roman" w:cs="Times New Roman"/>
          <w:sz w:val="24"/>
          <w:szCs w:val="24"/>
        </w:rPr>
        <w:t xml:space="preserve">global economic environment necessitating </w:t>
      </w:r>
      <w:r w:rsidR="0074383A" w:rsidRPr="00B17058">
        <w:rPr>
          <w:rFonts w:ascii="Times New Roman" w:hAnsi="Times New Roman" w:cs="Times New Roman"/>
          <w:sz w:val="24"/>
          <w:szCs w:val="24"/>
        </w:rPr>
        <w:t xml:space="preserve">the development of technically skilled workers who will propel the engine of growth. Future human development strategy should adopt holistic approach through education and training:  begin with a greater focus on early childhood to develop cognitive skills and prepare a child for school; schooling under general education system need emphasizing cognitive and behavioural development of students by featuring more group learning and problem solving than memorization and copying; postsecondary education and training should be focused on building and updating technical skills. Improve quality of schooling can be enhanced with focused curriculum, teaching and assessment methods fostering higher order cognitive as well as behavioural skills. This will mean a general education curriculum that well balances competency based as well as content-based learning. This has to be supported by teaching method that can stimulate creating and critical thinking among primary and secondary students. The student assessment should eb tailored with the teaching and learning.  The experience of Singapore and Korea is very pertinent  in this context, which countries adopted curriculum and student assessment system that foster knowledge acquisition and active learning as well as creative and critical thinking in schools. Importantly, if the curriculum change can make meaningful results will depend on modernization of teacher training and their professional development. </w:t>
      </w:r>
    </w:p>
    <w:p w14:paraId="0712CB0B" w14:textId="0481E2B0" w:rsidR="0074383A" w:rsidRPr="00B17058" w:rsidRDefault="00A67E32" w:rsidP="0018100D">
      <w:pPr>
        <w:spacing w:after="240" w:line="276" w:lineRule="auto"/>
        <w:ind w:firstLine="720"/>
        <w:jc w:val="both"/>
        <w:rPr>
          <w:rFonts w:ascii="Times New Roman" w:hAnsi="Times New Roman" w:cs="Times New Roman"/>
          <w:sz w:val="24"/>
          <w:szCs w:val="24"/>
        </w:rPr>
      </w:pPr>
      <w:r w:rsidRPr="00B17058">
        <w:rPr>
          <w:rFonts w:ascii="Times New Roman" w:hAnsi="Times New Roman" w:cs="Times New Roman"/>
          <w:sz w:val="24"/>
          <w:szCs w:val="24"/>
        </w:rPr>
        <w:t xml:space="preserve">The skill development system should be in line with the expectation of all stakeholders, students, universities, vocational institutions and not least the employers. Because disconnected skill development system that does not connect the demand and supply side will underperform toward the goal and may result in production of graduates not in line with the </w:t>
      </w:r>
      <w:r w:rsidR="006E2C5E">
        <w:rPr>
          <w:rFonts w:ascii="Times New Roman" w:hAnsi="Times New Roman" w:cs="Times New Roman"/>
          <w:sz w:val="24"/>
          <w:szCs w:val="24"/>
        </w:rPr>
        <w:t>labour</w:t>
      </w:r>
      <w:r w:rsidRPr="00B17058">
        <w:rPr>
          <w:rFonts w:ascii="Times New Roman" w:hAnsi="Times New Roman" w:cs="Times New Roman"/>
          <w:sz w:val="24"/>
          <w:szCs w:val="24"/>
        </w:rPr>
        <w:t xml:space="preserve"> market reality. Again, students and parents may not be demanding certain types of program or training method that they would not desire to have to be successful in the labour market. With the structural transformation in the economy, there has been concern on skill shortage in various occupations as well as skill implying that skill development system should be tailored to overcome these constraints. </w:t>
      </w:r>
      <w:r w:rsidR="0074383A" w:rsidRPr="00B17058">
        <w:rPr>
          <w:rFonts w:ascii="Times New Roman" w:hAnsi="Times New Roman" w:cs="Times New Roman"/>
          <w:sz w:val="24"/>
          <w:szCs w:val="24"/>
        </w:rPr>
        <w:t>Korean example suggests that the  governments’ in developing countries  need to follow an efficient system to implement vocational education and training commensurate with the industrialization process; Korea has transformed its vocational education and training systems to in line with changing industrial demands. Importantly, an economy cannot be globally competitive with simple skills alone. This implies that changes in the vocational education and training paradigm are needed to keep pace with a changing world, and that an industrial structure based on information services requires various basic, technical, and s</w:t>
      </w:r>
      <w:r w:rsidR="006B22DC">
        <w:rPr>
          <w:rFonts w:ascii="Times New Roman" w:hAnsi="Times New Roman" w:cs="Times New Roman"/>
          <w:sz w:val="24"/>
          <w:szCs w:val="24"/>
        </w:rPr>
        <w:t xml:space="preserve">pecialized abilities.  Hence, </w:t>
      </w:r>
      <w:r w:rsidR="0074383A" w:rsidRPr="00B17058">
        <w:rPr>
          <w:rFonts w:ascii="Times New Roman" w:hAnsi="Times New Roman" w:cs="Times New Roman"/>
          <w:sz w:val="24"/>
          <w:szCs w:val="24"/>
        </w:rPr>
        <w:t xml:space="preserve">“the goal of vocational education and training is not to lock students </w:t>
      </w:r>
      <w:r w:rsidR="0074383A" w:rsidRPr="00B17058">
        <w:rPr>
          <w:rFonts w:ascii="Times New Roman" w:hAnsi="Times New Roman" w:cs="Times New Roman"/>
          <w:sz w:val="24"/>
          <w:szCs w:val="24"/>
        </w:rPr>
        <w:lastRenderedPageBreak/>
        <w:t>into specific jobs or skills, but to give them the ability to adapt to changing employment conditions (UNESCO, 2005).”</w:t>
      </w:r>
    </w:p>
    <w:p w14:paraId="23B7B041" w14:textId="42C312C5" w:rsidR="009F0CBB" w:rsidRDefault="00B62AF8" w:rsidP="00C25381">
      <w:pPr>
        <w:pStyle w:val="ListParagraph"/>
        <w:autoSpaceDE w:val="0"/>
        <w:autoSpaceDN w:val="0"/>
        <w:adjustRightInd w:val="0"/>
        <w:spacing w:after="240" w:line="276" w:lineRule="auto"/>
        <w:ind w:left="0" w:firstLine="720"/>
        <w:jc w:val="both"/>
        <w:rPr>
          <w:rFonts w:ascii="Times New Roman" w:hAnsi="Times New Roman" w:cs="Times New Roman"/>
          <w:color w:val="000000"/>
          <w:sz w:val="24"/>
          <w:szCs w:val="24"/>
          <w:lang w:bidi="bn-BD"/>
        </w:rPr>
      </w:pPr>
      <w:r w:rsidRPr="007C1DD4">
        <w:rPr>
          <w:rFonts w:ascii="Times New Roman" w:hAnsi="Times New Roman" w:cs="Times New Roman"/>
          <w:color w:val="000000"/>
          <w:sz w:val="24"/>
          <w:szCs w:val="24"/>
          <w:lang w:bidi="bn-BD"/>
        </w:rPr>
        <w:t>Building on progress achieved in basic education, strengthening of other levels of education in including vocational and higher education is important to have a well</w:t>
      </w:r>
      <w:r w:rsidRPr="007C1DD4">
        <w:rPr>
          <w:rFonts w:ascii="Cambria Math" w:hAnsi="Cambria Math" w:cs="Cambria Math"/>
          <w:color w:val="000000"/>
          <w:sz w:val="24"/>
          <w:szCs w:val="24"/>
          <w:lang w:bidi="bn-BD"/>
        </w:rPr>
        <w:t>‐</w:t>
      </w:r>
      <w:r w:rsidRPr="007C1DD4">
        <w:rPr>
          <w:rFonts w:ascii="Times New Roman" w:hAnsi="Times New Roman" w:cs="Times New Roman"/>
          <w:color w:val="000000"/>
          <w:sz w:val="24"/>
          <w:szCs w:val="24"/>
          <w:lang w:bidi="bn-BD"/>
        </w:rPr>
        <w:t>educated and skilled population with the capacity to contribute effectively to the country’s development. As the country in transition appropriate transferable skills and competencies are essential to the next level of development by increasing its knowledge</w:t>
      </w:r>
      <w:r w:rsidRPr="007C1DD4">
        <w:rPr>
          <w:rFonts w:ascii="Cambria Math" w:hAnsi="Cambria Math" w:cs="Cambria Math"/>
          <w:color w:val="000000"/>
          <w:sz w:val="24"/>
          <w:szCs w:val="24"/>
          <w:lang w:bidi="bn-BD"/>
        </w:rPr>
        <w:t>‐</w:t>
      </w:r>
      <w:r w:rsidRPr="007C1DD4">
        <w:rPr>
          <w:rFonts w:ascii="Times New Roman" w:hAnsi="Times New Roman" w:cs="Times New Roman"/>
          <w:color w:val="000000"/>
          <w:sz w:val="24"/>
          <w:szCs w:val="24"/>
          <w:lang w:bidi="bn-BD"/>
        </w:rPr>
        <w:t xml:space="preserve">based sectors. </w:t>
      </w:r>
      <w:r w:rsidR="00A41EB0" w:rsidRPr="00B17058">
        <w:rPr>
          <w:rFonts w:ascii="Times New Roman" w:hAnsi="Times New Roman" w:cs="Times New Roman"/>
          <w:color w:val="231F20"/>
          <w:sz w:val="24"/>
          <w:szCs w:val="24"/>
        </w:rPr>
        <w:t xml:space="preserve">In the context of higher education, generation of knowledge as well as availability of knowledge for national competitiveness in a globalized world becomes crucial. </w:t>
      </w:r>
      <w:r w:rsidR="00A41EB0" w:rsidRPr="00B17058">
        <w:rPr>
          <w:rFonts w:ascii="Times New Roman" w:hAnsi="Times New Roman" w:cs="Times New Roman"/>
          <w:sz w:val="24"/>
          <w:szCs w:val="24"/>
        </w:rPr>
        <w:t xml:space="preserve">For </w:t>
      </w:r>
      <w:r w:rsidR="009F0CBB" w:rsidRPr="00B17058">
        <w:rPr>
          <w:rFonts w:ascii="Times New Roman" w:hAnsi="Times New Roman" w:cs="Times New Roman"/>
          <w:sz w:val="24"/>
          <w:szCs w:val="24"/>
        </w:rPr>
        <w:t>realization</w:t>
      </w:r>
      <w:r w:rsidR="00A41EB0" w:rsidRPr="00B17058">
        <w:rPr>
          <w:rFonts w:ascii="Times New Roman" w:hAnsi="Times New Roman" w:cs="Times New Roman"/>
          <w:sz w:val="24"/>
          <w:szCs w:val="24"/>
        </w:rPr>
        <w:t xml:space="preserve"> of the country’s long-run economic aspiration, skilled labour-force and hence high quality graduates are required. Th</w:t>
      </w:r>
      <w:r w:rsidR="00400A25" w:rsidRPr="00B17058">
        <w:rPr>
          <w:rFonts w:ascii="Times New Roman" w:hAnsi="Times New Roman" w:cs="Times New Roman"/>
          <w:sz w:val="24"/>
          <w:szCs w:val="24"/>
        </w:rPr>
        <w:t>is means</w:t>
      </w:r>
      <w:r w:rsidR="00A41EB0" w:rsidRPr="00B17058">
        <w:rPr>
          <w:rFonts w:ascii="Times New Roman" w:hAnsi="Times New Roman" w:cs="Times New Roman"/>
          <w:sz w:val="24"/>
          <w:szCs w:val="24"/>
        </w:rPr>
        <w:t xml:space="preserve"> country’s higher education sector needs to be </w:t>
      </w:r>
      <w:r w:rsidR="009F0CBB" w:rsidRPr="00B17058">
        <w:rPr>
          <w:rFonts w:ascii="Times New Roman" w:hAnsi="Times New Roman" w:cs="Times New Roman"/>
          <w:sz w:val="24"/>
          <w:szCs w:val="24"/>
        </w:rPr>
        <w:t>revitalized</w:t>
      </w:r>
      <w:r w:rsidR="00A41EB0" w:rsidRPr="00B17058">
        <w:rPr>
          <w:rFonts w:ascii="Times New Roman" w:hAnsi="Times New Roman" w:cs="Times New Roman"/>
          <w:sz w:val="24"/>
          <w:szCs w:val="24"/>
        </w:rPr>
        <w:t xml:space="preserve"> with appropriate policies and strategies. </w:t>
      </w:r>
      <w:r w:rsidR="009F0CBB">
        <w:rPr>
          <w:rFonts w:ascii="Times New Roman" w:hAnsi="Times New Roman" w:cs="Times New Roman"/>
          <w:color w:val="000000"/>
          <w:sz w:val="24"/>
          <w:szCs w:val="24"/>
          <w:lang w:bidi="bn-BD"/>
        </w:rPr>
        <w:t xml:space="preserve">Finally, </w:t>
      </w:r>
      <w:r w:rsidR="001D44B5">
        <w:rPr>
          <w:rFonts w:ascii="Times New Roman" w:hAnsi="Times New Roman" w:cs="Times New Roman"/>
          <w:color w:val="000000"/>
          <w:sz w:val="24"/>
          <w:szCs w:val="24"/>
          <w:lang w:bidi="bn-BD"/>
        </w:rPr>
        <w:t>based on the successful experience of ASEAN countries</w:t>
      </w:r>
      <w:r w:rsidR="009F0CBB">
        <w:rPr>
          <w:rFonts w:ascii="Times New Roman" w:hAnsi="Times New Roman" w:cs="Times New Roman"/>
          <w:color w:val="000000"/>
          <w:sz w:val="24"/>
          <w:szCs w:val="24"/>
          <w:lang w:bidi="bn-BD"/>
        </w:rPr>
        <w:t>(cited in VDR 2014)</w:t>
      </w:r>
      <w:r w:rsidR="001D44B5">
        <w:rPr>
          <w:rFonts w:ascii="Times New Roman" w:hAnsi="Times New Roman" w:cs="Times New Roman"/>
          <w:color w:val="000000"/>
          <w:sz w:val="24"/>
          <w:szCs w:val="24"/>
          <w:lang w:bidi="bn-BD"/>
        </w:rPr>
        <w:t>, a clear vision, that originates through broad-based consensus and is well coordinated among different sectors for successful implementation, would be crucial</w:t>
      </w:r>
      <w:r w:rsidR="009F0CBB" w:rsidRPr="009F0CBB">
        <w:rPr>
          <w:rFonts w:ascii="Times New Roman" w:hAnsi="Times New Roman" w:cs="Times New Roman"/>
          <w:color w:val="000000"/>
          <w:sz w:val="24"/>
          <w:szCs w:val="24"/>
          <w:lang w:bidi="bn-BD"/>
        </w:rPr>
        <w:t xml:space="preserve"> </w:t>
      </w:r>
      <w:r w:rsidR="009F0CBB">
        <w:rPr>
          <w:rFonts w:ascii="Times New Roman" w:hAnsi="Times New Roman" w:cs="Times New Roman"/>
          <w:color w:val="000000"/>
          <w:sz w:val="24"/>
          <w:szCs w:val="24"/>
          <w:lang w:bidi="bn-BD"/>
        </w:rPr>
        <w:t>for addressing the future human development challenges,</w:t>
      </w:r>
      <w:r w:rsidR="001D44B5">
        <w:rPr>
          <w:rFonts w:ascii="Times New Roman" w:hAnsi="Times New Roman" w:cs="Times New Roman"/>
          <w:color w:val="000000"/>
          <w:sz w:val="24"/>
          <w:szCs w:val="24"/>
          <w:lang w:bidi="bn-BD"/>
        </w:rPr>
        <w:t xml:space="preserve">. While targets need to be set realistically with short, medium and long term objectives, it would </w:t>
      </w:r>
      <w:r w:rsidR="009F0CBB">
        <w:rPr>
          <w:rFonts w:ascii="Times New Roman" w:hAnsi="Times New Roman" w:cs="Times New Roman"/>
          <w:color w:val="000000"/>
          <w:sz w:val="24"/>
          <w:szCs w:val="24"/>
          <w:lang w:bidi="bn-BD"/>
        </w:rPr>
        <w:t>be important</w:t>
      </w:r>
      <w:r w:rsidR="001D44B5">
        <w:rPr>
          <w:rFonts w:ascii="Times New Roman" w:hAnsi="Times New Roman" w:cs="Times New Roman"/>
          <w:color w:val="000000"/>
          <w:sz w:val="24"/>
          <w:szCs w:val="24"/>
          <w:lang w:bidi="bn-BD"/>
        </w:rPr>
        <w:t xml:space="preserve"> to have consistency between goals and actions and that budget should be aligned with effective implementation and monitoring of education reform. In this context clear coordination of educational policies and coordination among relevant ministries will be crucial for achieving shared education sector goals. The role of government </w:t>
      </w:r>
      <w:r w:rsidR="0018100D">
        <w:rPr>
          <w:rFonts w:ascii="Times New Roman" w:hAnsi="Times New Roman" w:cs="Times New Roman"/>
          <w:color w:val="000000"/>
          <w:sz w:val="24"/>
          <w:szCs w:val="24"/>
          <w:lang w:bidi="bn-BD"/>
        </w:rPr>
        <w:t xml:space="preserve">for successful partnerships among various stakeholders </w:t>
      </w:r>
      <w:r w:rsidR="001D44B5">
        <w:rPr>
          <w:rFonts w:ascii="Times New Roman" w:hAnsi="Times New Roman" w:cs="Times New Roman"/>
          <w:color w:val="000000"/>
          <w:sz w:val="24"/>
          <w:szCs w:val="24"/>
          <w:lang w:bidi="bn-BD"/>
        </w:rPr>
        <w:t xml:space="preserve">would </w:t>
      </w:r>
      <w:r w:rsidR="0018100D">
        <w:rPr>
          <w:rFonts w:ascii="Times New Roman" w:hAnsi="Times New Roman" w:cs="Times New Roman"/>
          <w:color w:val="000000"/>
          <w:sz w:val="24"/>
          <w:szCs w:val="24"/>
          <w:lang w:bidi="bn-BD"/>
        </w:rPr>
        <w:t xml:space="preserve">be crucial to </w:t>
      </w:r>
      <w:r w:rsidR="001D44B5">
        <w:rPr>
          <w:rFonts w:ascii="Times New Roman" w:hAnsi="Times New Roman" w:cs="Times New Roman"/>
          <w:color w:val="000000"/>
          <w:sz w:val="24"/>
          <w:szCs w:val="24"/>
          <w:lang w:bidi="bn-BD"/>
        </w:rPr>
        <w:t xml:space="preserve">ensure successful implementation of educational policies and reforms.  </w:t>
      </w:r>
    </w:p>
    <w:p w14:paraId="486AC121" w14:textId="77777777" w:rsidR="009F0CBB" w:rsidRDefault="009F0CBB">
      <w:pP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br w:type="page"/>
      </w:r>
    </w:p>
    <w:p w14:paraId="10955C36" w14:textId="77777777" w:rsidR="00202A12" w:rsidRPr="007E25E9" w:rsidRDefault="00202A12" w:rsidP="00874880">
      <w:pPr>
        <w:spacing w:after="240" w:line="276" w:lineRule="auto"/>
        <w:jc w:val="both"/>
        <w:rPr>
          <w:rFonts w:ascii="Times New Roman" w:hAnsi="Times New Roman" w:cs="Times New Roman"/>
          <w:b/>
          <w:bCs/>
          <w:sz w:val="23"/>
          <w:szCs w:val="23"/>
        </w:rPr>
      </w:pPr>
      <w:r w:rsidRPr="007E25E9">
        <w:rPr>
          <w:rFonts w:ascii="Times New Roman" w:hAnsi="Times New Roman" w:cs="Times New Roman"/>
          <w:b/>
          <w:bCs/>
          <w:sz w:val="23"/>
          <w:szCs w:val="23"/>
        </w:rPr>
        <w:lastRenderedPageBreak/>
        <w:t>References</w:t>
      </w:r>
    </w:p>
    <w:p w14:paraId="2BFBB313"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Ahmed, A.U., and C. del Ninno (2000). The food for education program in Bangladesh: An Evaluation of its impact on educational attainment and food security, International Food Policy Research Institute Working paper 138, Washington</w:t>
      </w:r>
    </w:p>
    <w:p w14:paraId="2D9F393B"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Alamgir, M.(2015), Avoiding Middle Income Trap and Jobless growth in Bangladesh,  in S. Ahmed, M. Alamgir, M. Mujeri and A. Rahman (eds), Bangladesh Vision 2030, Chapter Bangladesh Institute of Bank Management, pp. 84-166</w:t>
      </w:r>
    </w:p>
    <w:p w14:paraId="50635796" w14:textId="35CED7C2"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 xml:space="preserve">APSC </w:t>
      </w:r>
      <w:r w:rsidR="00591BC4" w:rsidRPr="00CE44E6">
        <w:rPr>
          <w:rFonts w:ascii="Times New Roman" w:hAnsi="Times New Roman" w:cs="Times New Roman"/>
          <w:sz w:val="24"/>
          <w:szCs w:val="24"/>
        </w:rPr>
        <w:t>(</w:t>
      </w:r>
      <w:r w:rsidRPr="00CE44E6">
        <w:rPr>
          <w:rFonts w:ascii="Times New Roman" w:hAnsi="Times New Roman" w:cs="Times New Roman"/>
          <w:sz w:val="24"/>
          <w:szCs w:val="24"/>
        </w:rPr>
        <w:t>2013</w:t>
      </w:r>
      <w:r w:rsidR="00591BC4" w:rsidRPr="00CE44E6">
        <w:rPr>
          <w:rFonts w:ascii="Times New Roman" w:hAnsi="Times New Roman" w:cs="Times New Roman"/>
          <w:sz w:val="24"/>
          <w:szCs w:val="24"/>
        </w:rPr>
        <w:t>), Annual Primary School Census, Ministry of Education, Government of Bangladesh, Dhaka</w:t>
      </w:r>
    </w:p>
    <w:p w14:paraId="0E23F674"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Asadullah, M.N. and N. Chowdhury (2013), Primary Schooling, School Quality and Student Learning, CGD Working Paper 349, Centre for Global Development, Washington DC</w:t>
      </w:r>
    </w:p>
    <w:p w14:paraId="14B27545" w14:textId="042F49D6" w:rsidR="00EF1DDB" w:rsidRPr="00CE44E6" w:rsidRDefault="00C83C3A"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BANBEIS (</w:t>
      </w:r>
      <w:r w:rsidR="00EF1DDB" w:rsidRPr="00CE44E6">
        <w:rPr>
          <w:rFonts w:ascii="Times New Roman" w:hAnsi="Times New Roman" w:cs="Times New Roman"/>
          <w:sz w:val="24"/>
          <w:szCs w:val="24"/>
        </w:rPr>
        <w:t>2011)</w:t>
      </w:r>
      <w:r w:rsidRPr="00CE44E6">
        <w:rPr>
          <w:rFonts w:ascii="Times New Roman" w:hAnsi="Times New Roman" w:cs="Times New Roman"/>
          <w:sz w:val="24"/>
          <w:szCs w:val="24"/>
        </w:rPr>
        <w:t>, Bangladesh Bureau of Educational Information Statistics 2011, Dhaka</w:t>
      </w:r>
    </w:p>
    <w:p w14:paraId="4A98E120" w14:textId="22D256BB" w:rsidR="00C83C3A" w:rsidRPr="00CE44E6" w:rsidRDefault="00EF1DDB" w:rsidP="00C83C3A">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 xml:space="preserve">BANBEIS </w:t>
      </w:r>
      <w:r w:rsidR="00C83C3A" w:rsidRPr="00CE44E6">
        <w:rPr>
          <w:rFonts w:ascii="Times New Roman" w:hAnsi="Times New Roman" w:cs="Times New Roman"/>
          <w:sz w:val="24"/>
          <w:szCs w:val="24"/>
        </w:rPr>
        <w:t>(</w:t>
      </w:r>
      <w:r w:rsidRPr="00CE44E6">
        <w:rPr>
          <w:rFonts w:ascii="Times New Roman" w:hAnsi="Times New Roman" w:cs="Times New Roman"/>
          <w:sz w:val="24"/>
          <w:szCs w:val="24"/>
        </w:rPr>
        <w:t>2016</w:t>
      </w:r>
      <w:r w:rsidR="00C83C3A" w:rsidRPr="00CE44E6">
        <w:rPr>
          <w:rFonts w:ascii="Times New Roman" w:hAnsi="Times New Roman" w:cs="Times New Roman"/>
          <w:sz w:val="24"/>
          <w:szCs w:val="24"/>
        </w:rPr>
        <w:t>), Bangladesh Bureau of Educational Information Statistics 2016, Dhaka</w:t>
      </w:r>
    </w:p>
    <w:p w14:paraId="283C1386" w14:textId="0A1020C4" w:rsidR="00EF1DDB" w:rsidRPr="00CE44E6" w:rsidRDefault="00C83C3A"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 xml:space="preserve">Bangladesh Education Watch (2016), Literacy, Skills, Life Loong Learning, SDG 4 in Bangladesh, Where are </w:t>
      </w:r>
      <w:r w:rsidR="00495168" w:rsidRPr="00CE44E6">
        <w:rPr>
          <w:rFonts w:ascii="Times New Roman" w:hAnsi="Times New Roman" w:cs="Times New Roman"/>
          <w:sz w:val="24"/>
          <w:szCs w:val="24"/>
        </w:rPr>
        <w:t xml:space="preserve">we? </w:t>
      </w:r>
      <w:r w:rsidRPr="00CE44E6">
        <w:rPr>
          <w:rFonts w:ascii="Times New Roman" w:hAnsi="Times New Roman" w:cs="Times New Roman"/>
          <w:sz w:val="24"/>
          <w:szCs w:val="24"/>
        </w:rPr>
        <w:t xml:space="preserve">Bangladesh Education Watch, Dhaka </w:t>
      </w:r>
    </w:p>
    <w:p w14:paraId="23C5D226" w14:textId="77777777" w:rsidR="00EF1DDB" w:rsidRPr="00CE44E6" w:rsidRDefault="00EF1DDB" w:rsidP="00EF1DDB">
      <w:pPr>
        <w:tabs>
          <w:tab w:val="center" w:pos="4680"/>
          <w:tab w:val="right" w:pos="9360"/>
        </w:tabs>
        <w:spacing w:after="240" w:line="276" w:lineRule="auto"/>
        <w:ind w:left="720" w:hanging="720"/>
        <w:contextualSpacing/>
        <w:jc w:val="both"/>
        <w:rPr>
          <w:rFonts w:ascii="Times New Roman" w:eastAsia="Times New Roman" w:hAnsi="Times New Roman" w:cs="Times New Roman"/>
          <w:color w:val="222222"/>
          <w:sz w:val="24"/>
          <w:szCs w:val="24"/>
          <w:lang w:eastAsia="x-none" w:bidi="bn-IN"/>
        </w:rPr>
      </w:pPr>
      <w:r w:rsidRPr="00CE44E6">
        <w:rPr>
          <w:rFonts w:ascii="Times New Roman" w:eastAsia="Times New Roman" w:hAnsi="Times New Roman" w:cs="Times New Roman"/>
          <w:color w:val="222222"/>
          <w:sz w:val="24"/>
          <w:szCs w:val="24"/>
          <w:lang w:eastAsia="x-none" w:bidi="bn-IN"/>
        </w:rPr>
        <w:t xml:space="preserve">Barro, Robert J.  2000 “Education and economic growth,” OECD publications. </w:t>
      </w:r>
    </w:p>
    <w:p w14:paraId="771BC6CE" w14:textId="77777777" w:rsidR="00EF1DDB" w:rsidRPr="00CE44E6" w:rsidRDefault="00EF1DDB" w:rsidP="00EF1DDB">
      <w:pPr>
        <w:tabs>
          <w:tab w:val="center" w:pos="4680"/>
          <w:tab w:val="right" w:pos="9360"/>
        </w:tabs>
        <w:spacing w:after="240" w:line="276" w:lineRule="auto"/>
        <w:ind w:left="720" w:hanging="720"/>
        <w:contextualSpacing/>
        <w:jc w:val="both"/>
        <w:rPr>
          <w:rFonts w:ascii="Times New Roman" w:eastAsia="Calibri" w:hAnsi="Times New Roman" w:cs="Times New Roman"/>
          <w:color w:val="333333"/>
          <w:sz w:val="24"/>
          <w:szCs w:val="24"/>
          <w:shd w:val="clear" w:color="auto" w:fill="FFFFFF"/>
          <w:lang w:val="x-none" w:eastAsia="x-none"/>
        </w:rPr>
      </w:pPr>
      <w:r w:rsidRPr="00CE44E6">
        <w:rPr>
          <w:rFonts w:ascii="Times New Roman" w:eastAsia="Calibri" w:hAnsi="Times New Roman" w:cs="Times New Roman"/>
          <w:color w:val="333333"/>
          <w:sz w:val="24"/>
          <w:szCs w:val="24"/>
          <w:shd w:val="clear" w:color="auto" w:fill="FFFFFF"/>
          <w:lang w:val="x-none" w:eastAsia="x-none"/>
        </w:rPr>
        <w:t>Barro, Robert J. &amp; Lee, Jong-Wha, 1994. "Sources of economic growth," Carnegie-Rochester Conference Series on Public Policy, Elsevier, vol. 40(1), pages 1-46, June.</w:t>
      </w:r>
    </w:p>
    <w:p w14:paraId="3C0F3613"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 xml:space="preserve">Goi, C. L., &amp; Goi M. T. (2009). Rebranding of higher education institutions in Malaysia. International journal of Business &amp; Management, 4(9), 170-177. </w:t>
      </w:r>
    </w:p>
    <w:p w14:paraId="2E9A47C0" w14:textId="78AB7341"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Gover, S., Franz, P., Schneider, E. and Pea, R</w:t>
      </w:r>
      <w:r w:rsidR="00495168" w:rsidRPr="00CE44E6">
        <w:rPr>
          <w:rFonts w:ascii="Times New Roman" w:hAnsi="Times New Roman" w:cs="Times New Roman"/>
          <w:sz w:val="24"/>
          <w:szCs w:val="24"/>
        </w:rPr>
        <w:t>. (2013</w:t>
      </w:r>
      <w:r w:rsidRPr="00CE44E6">
        <w:rPr>
          <w:rFonts w:ascii="Times New Roman" w:hAnsi="Times New Roman" w:cs="Times New Roman"/>
          <w:sz w:val="24"/>
          <w:szCs w:val="24"/>
        </w:rPr>
        <w:t>), The MOOC as distributed Intelligence: Dimesions of a framework and evaluation of MOOCs, in 10</w:t>
      </w:r>
      <w:r w:rsidRPr="00CE44E6">
        <w:rPr>
          <w:rFonts w:ascii="Times New Roman" w:hAnsi="Times New Roman" w:cs="Times New Roman"/>
          <w:sz w:val="24"/>
          <w:szCs w:val="24"/>
          <w:vertAlign w:val="superscript"/>
        </w:rPr>
        <w:t>th</w:t>
      </w:r>
      <w:r w:rsidRPr="00CE44E6">
        <w:rPr>
          <w:rFonts w:ascii="Times New Roman" w:hAnsi="Times New Roman" w:cs="Times New Roman"/>
          <w:sz w:val="24"/>
          <w:szCs w:val="24"/>
        </w:rPr>
        <w:t xml:space="preserve"> International conference on Computer </w:t>
      </w:r>
      <w:r w:rsidR="00495168" w:rsidRPr="00CE44E6">
        <w:rPr>
          <w:rFonts w:ascii="Times New Roman" w:hAnsi="Times New Roman" w:cs="Times New Roman"/>
          <w:sz w:val="24"/>
          <w:szCs w:val="24"/>
        </w:rPr>
        <w:t>Supported</w:t>
      </w:r>
      <w:r w:rsidRPr="00CE44E6">
        <w:rPr>
          <w:rFonts w:ascii="Times New Roman" w:hAnsi="Times New Roman" w:cs="Times New Roman"/>
          <w:sz w:val="24"/>
          <w:szCs w:val="24"/>
        </w:rPr>
        <w:t xml:space="preserve"> </w:t>
      </w:r>
      <w:r w:rsidR="00495168" w:rsidRPr="00CE44E6">
        <w:rPr>
          <w:rFonts w:ascii="Times New Roman" w:hAnsi="Times New Roman" w:cs="Times New Roman"/>
          <w:sz w:val="24"/>
          <w:szCs w:val="24"/>
        </w:rPr>
        <w:t>Collaborative</w:t>
      </w:r>
      <w:r w:rsidRPr="00CE44E6">
        <w:rPr>
          <w:rFonts w:ascii="Times New Roman" w:hAnsi="Times New Roman" w:cs="Times New Roman"/>
          <w:sz w:val="24"/>
          <w:szCs w:val="24"/>
        </w:rPr>
        <w:t xml:space="preserve"> Learning, Madison, USA.</w:t>
      </w:r>
    </w:p>
    <w:p w14:paraId="6FBF6A36" w14:textId="3B1AFA9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Hanushek, E.A. and Woessmann, L</w:t>
      </w:r>
      <w:r w:rsidR="00495168" w:rsidRPr="00CE44E6">
        <w:rPr>
          <w:rFonts w:ascii="Times New Roman" w:hAnsi="Times New Roman" w:cs="Times New Roman"/>
          <w:sz w:val="24"/>
          <w:szCs w:val="24"/>
        </w:rPr>
        <w:t>. (</w:t>
      </w:r>
      <w:r w:rsidRPr="00CE44E6">
        <w:rPr>
          <w:rFonts w:ascii="Times New Roman" w:hAnsi="Times New Roman" w:cs="Times New Roman"/>
          <w:sz w:val="24"/>
          <w:szCs w:val="24"/>
        </w:rPr>
        <w:t>2009), Do Better School</w:t>
      </w:r>
      <w:r w:rsidR="00495168" w:rsidRPr="00CE44E6">
        <w:rPr>
          <w:rFonts w:ascii="Times New Roman" w:hAnsi="Times New Roman" w:cs="Times New Roman"/>
          <w:sz w:val="24"/>
          <w:szCs w:val="24"/>
        </w:rPr>
        <w:t>s</w:t>
      </w:r>
      <w:r w:rsidRPr="00CE44E6">
        <w:rPr>
          <w:rFonts w:ascii="Times New Roman" w:hAnsi="Times New Roman" w:cs="Times New Roman"/>
          <w:sz w:val="24"/>
          <w:szCs w:val="24"/>
        </w:rPr>
        <w:t xml:space="preserve"> lead to more growth? Cognitive skills, Economic Outcome and Causation, NBER Working Paper 14633, NBER</w:t>
      </w:r>
    </w:p>
    <w:p w14:paraId="1D5A952D"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 xml:space="preserve">Hawkes, D. and M. Uger. (2012), Evidence on the relationship between Education, Skills and Economic Growth in Low Income Countries; A Systematic Review, EPPI Center Social Science Research Unit, Institute of Education, University of London. </w:t>
      </w:r>
    </w:p>
    <w:p w14:paraId="3719A70E"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Islam, R. (2015), Human Capital and Inclusive Growth: Challenges for Bangladesh, in S. Ahmed, M. Alamgir, M. Mujeri and A. Rahman (eds), Bangladesh Vision 2030, Chapter Bangladesh Institute of Bank Management, pp. 461-502</w:t>
      </w:r>
    </w:p>
    <w:p w14:paraId="6E2A9767" w14:textId="150C474D"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Jones, R.S.</w:t>
      </w:r>
      <w:r w:rsidR="00495168" w:rsidRPr="00CE44E6">
        <w:rPr>
          <w:rFonts w:ascii="Times New Roman" w:hAnsi="Times New Roman" w:cs="Times New Roman"/>
          <w:sz w:val="24"/>
          <w:szCs w:val="24"/>
        </w:rPr>
        <w:t xml:space="preserve"> </w:t>
      </w:r>
      <w:r w:rsidRPr="00CE44E6">
        <w:rPr>
          <w:rFonts w:ascii="Times New Roman" w:hAnsi="Times New Roman" w:cs="Times New Roman"/>
          <w:sz w:val="24"/>
          <w:szCs w:val="24"/>
        </w:rPr>
        <w:t xml:space="preserve">(2013), Education Reform in Korea, OECD Economics Department Working Paper, No 1067, OECD Publishing </w:t>
      </w:r>
    </w:p>
    <w:p w14:paraId="72FF4A05"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Kono, H. Y. Sawada, and Shonchoy, A.S., (2018), Primary, Secondary and Tertiary education in Bangladesh: Achievements and Challenges, in Y. Sawada, M. Mahmud, and N. Kitano (eds.), Economic and Social Development of Bangladesh: Miracle and Challenges, Palgrave Macmillan: 135-150</w:t>
      </w:r>
    </w:p>
    <w:p w14:paraId="46C7888B"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 xml:space="preserve">Lee, M. (1999). Private higher education in Malaysia. Pulau Pinang: Pusat Pengajian IIMU Pendidikan USM. </w:t>
      </w:r>
    </w:p>
    <w:p w14:paraId="6FC64FAC" w14:textId="131823A7" w:rsidR="00DA5CE0" w:rsidRPr="00CE44E6" w:rsidRDefault="00EF1DDB" w:rsidP="00DA5CE0">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lastRenderedPageBreak/>
        <w:t>Lee, M. H. H., &amp; Gopinathan, S. (2001). Centralized decentralization of</w:t>
      </w:r>
      <w:r w:rsidR="00DA5CE0" w:rsidRPr="00CE44E6">
        <w:rPr>
          <w:rFonts w:ascii="Times New Roman" w:hAnsi="Times New Roman" w:cs="Times New Roman"/>
          <w:sz w:val="24"/>
          <w:szCs w:val="24"/>
        </w:rPr>
        <w:t xml:space="preserve"> higher education in Singapore, Education and Society, 19(3), 79-96. </w:t>
      </w:r>
    </w:p>
    <w:p w14:paraId="5069B0D8" w14:textId="6E0AD8EE" w:rsidR="00EF1DDB" w:rsidRPr="00CE44E6" w:rsidRDefault="00C11058"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MICS</w:t>
      </w:r>
      <w:r w:rsidR="00AE62B2" w:rsidRPr="00CE44E6">
        <w:rPr>
          <w:rFonts w:ascii="Times New Roman" w:hAnsi="Times New Roman" w:cs="Times New Roman"/>
          <w:sz w:val="24"/>
          <w:szCs w:val="24"/>
        </w:rPr>
        <w:t xml:space="preserve"> </w:t>
      </w:r>
      <w:r w:rsidRPr="00CE44E6">
        <w:rPr>
          <w:rFonts w:ascii="Times New Roman" w:hAnsi="Times New Roman" w:cs="Times New Roman"/>
          <w:sz w:val="24"/>
          <w:szCs w:val="24"/>
        </w:rPr>
        <w:t xml:space="preserve">(2015), Multiple </w:t>
      </w:r>
      <w:r w:rsidR="00EF1DDB" w:rsidRPr="00CE44E6">
        <w:rPr>
          <w:rFonts w:ascii="Times New Roman" w:hAnsi="Times New Roman" w:cs="Times New Roman"/>
          <w:sz w:val="24"/>
          <w:szCs w:val="24"/>
        </w:rPr>
        <w:t>Indicator Cluster Survey</w:t>
      </w:r>
      <w:r w:rsidR="00AE62B2" w:rsidRPr="00CE44E6">
        <w:rPr>
          <w:rFonts w:ascii="Times New Roman" w:hAnsi="Times New Roman" w:cs="Times New Roman"/>
          <w:sz w:val="24"/>
          <w:szCs w:val="24"/>
        </w:rPr>
        <w:t xml:space="preserve"> 2014</w:t>
      </w:r>
      <w:r w:rsidRPr="00CE44E6">
        <w:rPr>
          <w:rFonts w:ascii="Times New Roman" w:hAnsi="Times New Roman" w:cs="Times New Roman"/>
          <w:sz w:val="24"/>
          <w:szCs w:val="24"/>
        </w:rPr>
        <w:t xml:space="preserve">, UNICEF. </w:t>
      </w:r>
    </w:p>
    <w:p w14:paraId="01B232A7"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Mincer, J. (1974), Schooling, Earning and Experience, Columbia University Press, New York</w:t>
      </w:r>
    </w:p>
    <w:p w14:paraId="6C28CA67" w14:textId="77777777" w:rsidR="00B956A5" w:rsidRPr="00CE44E6" w:rsidRDefault="00D43BD3" w:rsidP="00EF1DDB">
      <w:pPr>
        <w:spacing w:after="240" w:line="276" w:lineRule="auto"/>
        <w:ind w:left="720" w:hanging="720"/>
        <w:jc w:val="both"/>
        <w:rPr>
          <w:rFonts w:ascii="Times New Roman" w:hAnsi="Times New Roman" w:cs="Times New Roman"/>
          <w:sz w:val="24"/>
          <w:szCs w:val="24"/>
        </w:rPr>
      </w:pPr>
      <w:r w:rsidRPr="00CE44E6">
        <w:rPr>
          <w:rFonts w:ascii="Times New Roman" w:hAnsi="Times New Roman" w:cs="Times New Roman"/>
          <w:sz w:val="24"/>
          <w:szCs w:val="24"/>
        </w:rPr>
        <w:t>Mohsin, M. and Kamal, A.(2012), Managing Quality Higher Education in Bangladesh- Lessons from the Singaporean and Malaysian Strategies and Reforms, International Journal of Business and Management 7(20).</w:t>
      </w:r>
      <w:r w:rsidR="00B956A5" w:rsidRPr="00CE44E6">
        <w:rPr>
          <w:rFonts w:ascii="Times New Roman" w:hAnsi="Times New Roman" w:cs="Times New Roman"/>
          <w:sz w:val="24"/>
          <w:szCs w:val="24"/>
        </w:rPr>
        <w:t xml:space="preserve"> </w:t>
      </w:r>
    </w:p>
    <w:p w14:paraId="2C4DDE87" w14:textId="73E9BF7C" w:rsidR="00EF1DDB" w:rsidRPr="00CE44E6" w:rsidRDefault="00EF1DDB" w:rsidP="00EF1DDB">
      <w:pPr>
        <w:spacing w:after="240" w:line="276" w:lineRule="auto"/>
        <w:ind w:left="720" w:hanging="720"/>
        <w:jc w:val="both"/>
        <w:rPr>
          <w:rFonts w:ascii="Times New Roman" w:hAnsi="Times New Roman" w:cs="Times New Roman"/>
          <w:sz w:val="24"/>
          <w:szCs w:val="24"/>
        </w:rPr>
      </w:pPr>
      <w:r w:rsidRPr="00CE44E6">
        <w:rPr>
          <w:rFonts w:ascii="Times New Roman" w:hAnsi="Times New Roman" w:cs="Times New Roman"/>
          <w:sz w:val="24"/>
          <w:szCs w:val="24"/>
        </w:rPr>
        <w:t xml:space="preserve">MOK, K. H. (2011). The quest for regional hub of education: growing </w:t>
      </w:r>
      <w:r w:rsidR="00495168" w:rsidRPr="00CE44E6">
        <w:rPr>
          <w:rFonts w:ascii="Times New Roman" w:hAnsi="Times New Roman" w:cs="Times New Roman"/>
          <w:sz w:val="24"/>
          <w:szCs w:val="24"/>
        </w:rPr>
        <w:t>hierarchies</w:t>
      </w:r>
      <w:r w:rsidRPr="00CE44E6">
        <w:rPr>
          <w:rFonts w:ascii="Times New Roman" w:hAnsi="Times New Roman" w:cs="Times New Roman"/>
          <w:sz w:val="24"/>
          <w:szCs w:val="24"/>
        </w:rPr>
        <w:t>, organizational hybridization, and new governance in Singapore and Malaysia, Journal of Education P</w:t>
      </w:r>
      <w:r w:rsidR="00495168" w:rsidRPr="00CE44E6">
        <w:rPr>
          <w:rFonts w:ascii="Times New Roman" w:hAnsi="Times New Roman" w:cs="Times New Roman"/>
          <w:sz w:val="24"/>
          <w:szCs w:val="24"/>
        </w:rPr>
        <w:t>olicy, Taylor and Francis 26(1)</w:t>
      </w:r>
      <w:r w:rsidRPr="00CE44E6">
        <w:rPr>
          <w:rFonts w:ascii="Times New Roman" w:hAnsi="Times New Roman" w:cs="Times New Roman"/>
          <w:sz w:val="24"/>
          <w:szCs w:val="24"/>
        </w:rPr>
        <w:t>:61-81</w:t>
      </w:r>
    </w:p>
    <w:p w14:paraId="425E9AD1" w14:textId="201C6682"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National Education Policy</w:t>
      </w:r>
      <w:r w:rsidR="00495168" w:rsidRPr="00CE44E6">
        <w:rPr>
          <w:rFonts w:ascii="Times New Roman" w:hAnsi="Times New Roman" w:cs="Times New Roman"/>
          <w:sz w:val="24"/>
          <w:szCs w:val="24"/>
        </w:rPr>
        <w:t xml:space="preserve"> </w:t>
      </w:r>
      <w:r w:rsidR="00AE62B2" w:rsidRPr="00CE44E6">
        <w:rPr>
          <w:rFonts w:ascii="Times New Roman" w:hAnsi="Times New Roman" w:cs="Times New Roman"/>
          <w:sz w:val="24"/>
          <w:szCs w:val="24"/>
        </w:rPr>
        <w:t xml:space="preserve">(2010) , Government of Bangladesh </w:t>
      </w:r>
    </w:p>
    <w:p w14:paraId="42661021"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Nordin, N, Embi, M.A. and Norman, H. (2015), Malaysia MOOCs: The Way Forward, in MOOCs and Educational Challenges in Asia and Europe, KNOU Press, South Korea</w:t>
      </w:r>
    </w:p>
    <w:p w14:paraId="4A178571" w14:textId="52894E0D" w:rsidR="006B22DC" w:rsidRPr="00CE44E6" w:rsidRDefault="006B22DC"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 xml:space="preserve">OECD (2011), </w:t>
      </w:r>
      <w:r w:rsidRPr="00CE44E6">
        <w:rPr>
          <w:rFonts w:ascii="Times New Roman" w:hAnsi="Times New Roman" w:cs="Times New Roman"/>
          <w:iCs/>
          <w:sz w:val="24"/>
          <w:szCs w:val="24"/>
        </w:rPr>
        <w:t xml:space="preserve">Review profile of Innovation in </w:t>
      </w:r>
      <w:r w:rsidR="00CE44E6" w:rsidRPr="00CE44E6">
        <w:rPr>
          <w:rFonts w:ascii="Times New Roman" w:hAnsi="Times New Roman" w:cs="Times New Roman"/>
          <w:iCs/>
          <w:sz w:val="24"/>
          <w:szCs w:val="24"/>
        </w:rPr>
        <w:t>S</w:t>
      </w:r>
      <w:r w:rsidRPr="00CE44E6">
        <w:rPr>
          <w:rFonts w:ascii="Times New Roman" w:hAnsi="Times New Roman" w:cs="Times New Roman"/>
          <w:iCs/>
          <w:sz w:val="24"/>
          <w:szCs w:val="24"/>
        </w:rPr>
        <w:t>outh Asia</w:t>
      </w:r>
      <w:r w:rsidRPr="00CE44E6">
        <w:rPr>
          <w:rFonts w:ascii="Times New Roman" w:hAnsi="Times New Roman" w:cs="Times New Roman"/>
          <w:sz w:val="24"/>
          <w:szCs w:val="24"/>
        </w:rPr>
        <w:t>. Country profile of Innovation: Malaysia.</w:t>
      </w:r>
    </w:p>
    <w:p w14:paraId="60859169" w14:textId="2E570191"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 xml:space="preserve">Park, D.(2011) Korean Policies on Secondary Vocational Education efforts to overcome Skill Mismatch and </w:t>
      </w:r>
      <w:r w:rsidR="006E2C5E" w:rsidRPr="00CE44E6">
        <w:rPr>
          <w:rFonts w:ascii="Times New Roman" w:hAnsi="Times New Roman" w:cs="Times New Roman"/>
          <w:sz w:val="24"/>
          <w:szCs w:val="24"/>
        </w:rPr>
        <w:t>Labour</w:t>
      </w:r>
      <w:r w:rsidRPr="00CE44E6">
        <w:rPr>
          <w:rFonts w:ascii="Times New Roman" w:hAnsi="Times New Roman" w:cs="Times New Roman"/>
          <w:sz w:val="24"/>
          <w:szCs w:val="24"/>
        </w:rPr>
        <w:t xml:space="preserve"> Force Shortage, Centre for Vocational Education Innovation, Korea Research Institute for Vocational Education and Training, Seoul. </w:t>
      </w:r>
    </w:p>
    <w:p w14:paraId="7F2857A9" w14:textId="4BB2C042"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 xml:space="preserve">Pierre, Sanchez Pureta, and </w:t>
      </w:r>
      <w:r w:rsidR="00495168" w:rsidRPr="00CE44E6">
        <w:rPr>
          <w:rFonts w:ascii="Times New Roman" w:hAnsi="Times New Roman" w:cs="Times New Roman"/>
          <w:sz w:val="24"/>
          <w:szCs w:val="24"/>
        </w:rPr>
        <w:t>Valerio (</w:t>
      </w:r>
      <w:r w:rsidRPr="00CE44E6">
        <w:rPr>
          <w:rFonts w:ascii="Times New Roman" w:hAnsi="Times New Roman" w:cs="Times New Roman"/>
          <w:sz w:val="24"/>
          <w:szCs w:val="24"/>
        </w:rPr>
        <w:t xml:space="preserve">2014) STEP Skills Measurement Surveys, Innovative Tools for Assessing Skills, Working Paper 89729, World Bank </w:t>
      </w:r>
    </w:p>
    <w:p w14:paraId="04CBC53D" w14:textId="77777777" w:rsidR="00773027" w:rsidRPr="00CE44E6" w:rsidRDefault="00773027" w:rsidP="00773027">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Puspanadham, K. (2015), Universalizing University Education: MOOCs in the era of Knowledge based society, in MOOCs and Educational Challenges in Asia and Europe, KNOU Press, South Korea</w:t>
      </w:r>
    </w:p>
    <w:p w14:paraId="49B7EB86"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 xml:space="preserve"> Rabbani, A. (2016), In recognizing skill formation as an effective development strategy, in Lomborg, B. and Rahman, M(eds), Bangladesh Priorities, AH Development Publishing, Chapter 24, pp. 887-931</w:t>
      </w:r>
    </w:p>
    <w:p w14:paraId="2FD35A8F"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Ranis, G.( 1995), Another look at the East Asian Miracle, The World Bank Economic Review, 9(2): pp. 509-534</w:t>
      </w:r>
    </w:p>
    <w:p w14:paraId="5A45E27C" w14:textId="7B6737A5"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Ravallion, M. and Wodon, Q.</w:t>
      </w:r>
      <w:r w:rsidR="00C11058" w:rsidRPr="00CE44E6">
        <w:rPr>
          <w:rFonts w:ascii="Times New Roman" w:hAnsi="Times New Roman" w:cs="Times New Roman"/>
          <w:sz w:val="24"/>
          <w:szCs w:val="24"/>
        </w:rPr>
        <w:t xml:space="preserve"> (</w:t>
      </w:r>
      <w:r w:rsidRPr="00CE44E6">
        <w:rPr>
          <w:rFonts w:ascii="Times New Roman" w:hAnsi="Times New Roman" w:cs="Times New Roman"/>
          <w:sz w:val="24"/>
          <w:szCs w:val="24"/>
        </w:rPr>
        <w:t xml:space="preserve">2000), Does Child </w:t>
      </w:r>
      <w:r w:rsidR="006E2C5E" w:rsidRPr="00CE44E6">
        <w:rPr>
          <w:rFonts w:ascii="Times New Roman" w:hAnsi="Times New Roman" w:cs="Times New Roman"/>
          <w:sz w:val="24"/>
          <w:szCs w:val="24"/>
        </w:rPr>
        <w:t>labour</w:t>
      </w:r>
      <w:r w:rsidR="00495168" w:rsidRPr="00CE44E6">
        <w:rPr>
          <w:rFonts w:ascii="Times New Roman" w:hAnsi="Times New Roman" w:cs="Times New Roman"/>
          <w:sz w:val="24"/>
          <w:szCs w:val="24"/>
        </w:rPr>
        <w:t xml:space="preserve"> displace </w:t>
      </w:r>
      <w:r w:rsidRPr="00CE44E6">
        <w:rPr>
          <w:rFonts w:ascii="Times New Roman" w:hAnsi="Times New Roman" w:cs="Times New Roman"/>
          <w:sz w:val="24"/>
          <w:szCs w:val="24"/>
        </w:rPr>
        <w:t>schooling? Evidence on behavioural responses to an enrolment subsidy, The Economic Journal 110(462):158-175</w:t>
      </w:r>
    </w:p>
    <w:p w14:paraId="460E9446" w14:textId="77777777" w:rsidR="00EF1DDB" w:rsidRPr="00CE44E6" w:rsidRDefault="00EF1DDB" w:rsidP="00EF1DDB">
      <w:pPr>
        <w:shd w:val="clear" w:color="auto" w:fill="FFFFFF"/>
        <w:spacing w:after="240" w:line="276" w:lineRule="auto"/>
        <w:ind w:left="720" w:hanging="720"/>
        <w:contextualSpacing/>
        <w:rPr>
          <w:rFonts w:ascii="Times New Roman" w:eastAsia="Times New Roman" w:hAnsi="Times New Roman" w:cs="Times New Roman"/>
          <w:color w:val="111111"/>
          <w:sz w:val="24"/>
          <w:szCs w:val="24"/>
          <w:lang w:val="en" w:eastAsia="en-GB"/>
        </w:rPr>
      </w:pPr>
      <w:r w:rsidRPr="00CE44E6">
        <w:rPr>
          <w:rFonts w:ascii="Times New Roman" w:hAnsi="Times New Roman" w:cs="Times New Roman"/>
          <w:sz w:val="24"/>
          <w:szCs w:val="24"/>
        </w:rPr>
        <w:t xml:space="preserve">Rena, R.(2010) , Emerging Trends of Higher Education in Developing Countries, </w:t>
      </w:r>
      <w:r w:rsidRPr="00CE44E6">
        <w:rPr>
          <w:rFonts w:ascii="Times New Roman" w:eastAsia="Times New Roman" w:hAnsi="Times New Roman" w:cs="Times New Roman"/>
          <w:color w:val="111111"/>
          <w:sz w:val="24"/>
          <w:szCs w:val="24"/>
          <w:lang w:val="en" w:eastAsia="en-GB"/>
        </w:rPr>
        <w:t xml:space="preserve">Analele Stiintifice ale Universitatii Al I Cuza din Iasi - Matematica </w:t>
      </w:r>
    </w:p>
    <w:p w14:paraId="385B2A7B"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Rutbah, U., A. Rabbani, S. Hossain, and G. Sarwar (2016), Do Extra hours of tutoring payoff? Evaluation of a community education program in Bangladesh, Journal of Development Effectiveness 8(2): pp. 196-215</w:t>
      </w:r>
    </w:p>
    <w:p w14:paraId="1C797D7D" w14:textId="41CEA542"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Sawada, Y. M. Mahmud, M. Seki, A. Le, and H. Kawarazaki</w:t>
      </w:r>
      <w:r w:rsidR="00495168" w:rsidRPr="00CE44E6">
        <w:rPr>
          <w:rFonts w:ascii="Times New Roman" w:hAnsi="Times New Roman" w:cs="Times New Roman"/>
          <w:sz w:val="24"/>
          <w:szCs w:val="24"/>
        </w:rPr>
        <w:t xml:space="preserve"> </w:t>
      </w:r>
      <w:r w:rsidRPr="00CE44E6">
        <w:rPr>
          <w:rFonts w:ascii="Times New Roman" w:hAnsi="Times New Roman" w:cs="Times New Roman"/>
          <w:sz w:val="24"/>
          <w:szCs w:val="24"/>
        </w:rPr>
        <w:t>(2017), Individualized Self-Learning program to improve primary education: evidence from a randomized feidl experiment in Bangladesh, JICA Research Institute Working Paper 156, Tokyo</w:t>
      </w:r>
    </w:p>
    <w:p w14:paraId="7BCFDEDA" w14:textId="48E00370"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lastRenderedPageBreak/>
        <w:t>Schultz, T.P</w:t>
      </w:r>
      <w:r w:rsidR="00CE44E6" w:rsidRPr="00CE44E6">
        <w:rPr>
          <w:rFonts w:ascii="Times New Roman" w:hAnsi="Times New Roman" w:cs="Times New Roman"/>
          <w:sz w:val="24"/>
          <w:szCs w:val="24"/>
        </w:rPr>
        <w:t>. (</w:t>
      </w:r>
      <w:r w:rsidRPr="00CE44E6">
        <w:rPr>
          <w:rFonts w:ascii="Times New Roman" w:hAnsi="Times New Roman" w:cs="Times New Roman"/>
          <w:sz w:val="24"/>
          <w:szCs w:val="24"/>
        </w:rPr>
        <w:t xml:space="preserve">1991), Education, Investment and Returns, in Chenery, H. and T.N. </w:t>
      </w:r>
      <w:r w:rsidR="00CE44E6" w:rsidRPr="00CE44E6">
        <w:rPr>
          <w:rFonts w:ascii="Times New Roman" w:hAnsi="Times New Roman" w:cs="Times New Roman"/>
          <w:sz w:val="24"/>
          <w:szCs w:val="24"/>
        </w:rPr>
        <w:t>Srinivasan (</w:t>
      </w:r>
      <w:proofErr w:type="spellStart"/>
      <w:r w:rsidRPr="00CE44E6">
        <w:rPr>
          <w:rFonts w:ascii="Times New Roman" w:hAnsi="Times New Roman" w:cs="Times New Roman"/>
          <w:sz w:val="24"/>
          <w:szCs w:val="24"/>
        </w:rPr>
        <w:t>eds</w:t>
      </w:r>
      <w:proofErr w:type="spellEnd"/>
      <w:r w:rsidRPr="00CE44E6">
        <w:rPr>
          <w:rFonts w:ascii="Times New Roman" w:hAnsi="Times New Roman" w:cs="Times New Roman"/>
          <w:sz w:val="24"/>
          <w:szCs w:val="24"/>
        </w:rPr>
        <w:t>), Handbook of Development Economics, North Holland</w:t>
      </w:r>
    </w:p>
    <w:p w14:paraId="70A5451B"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Sen, B. and Rahman, M.(2017), Strategy for Education and Training, in Shamsul Alam (eds), 7</w:t>
      </w:r>
      <w:r w:rsidRPr="00CE44E6">
        <w:rPr>
          <w:rFonts w:ascii="Times New Roman" w:hAnsi="Times New Roman" w:cs="Times New Roman"/>
          <w:sz w:val="24"/>
          <w:szCs w:val="24"/>
          <w:vertAlign w:val="superscript"/>
        </w:rPr>
        <w:t>th</w:t>
      </w:r>
      <w:r w:rsidRPr="00CE44E6">
        <w:rPr>
          <w:rFonts w:ascii="Times New Roman" w:hAnsi="Times New Roman" w:cs="Times New Roman"/>
          <w:sz w:val="24"/>
          <w:szCs w:val="24"/>
        </w:rPr>
        <w:t xml:space="preserve"> Five Year Plan Background Papers, Chapter 1, General Economics Division, Planning Commission, Ministry of Planning, Government of Bangladesh</w:t>
      </w:r>
    </w:p>
    <w:p w14:paraId="15E2B331" w14:textId="77777777" w:rsidR="00D43BD3" w:rsidRPr="00CE44E6" w:rsidRDefault="00D43BD3" w:rsidP="00EF1DDB">
      <w:pPr>
        <w:spacing w:after="240" w:line="276" w:lineRule="auto"/>
        <w:ind w:left="720" w:hanging="720"/>
        <w:contextualSpacing/>
        <w:jc w:val="both"/>
        <w:rPr>
          <w:rFonts w:ascii="Times New Roman" w:hAnsi="Times New Roman" w:cs="Times New Roman"/>
          <w:sz w:val="24"/>
          <w:szCs w:val="24"/>
        </w:rPr>
      </w:pPr>
    </w:p>
    <w:p w14:paraId="350119D8" w14:textId="1A828A91" w:rsidR="00D43BD3" w:rsidRPr="00CE44E6" w:rsidRDefault="00D43BD3" w:rsidP="00D43BD3">
      <w:pPr>
        <w:autoSpaceDE w:val="0"/>
        <w:autoSpaceDN w:val="0"/>
        <w:adjustRightInd w:val="0"/>
        <w:spacing w:after="240" w:line="276" w:lineRule="auto"/>
        <w:ind w:left="720" w:hanging="720"/>
        <w:rPr>
          <w:rFonts w:ascii="Times New Roman" w:hAnsi="Times New Roman" w:cs="Times New Roman"/>
          <w:sz w:val="24"/>
          <w:szCs w:val="24"/>
        </w:rPr>
      </w:pPr>
      <w:r w:rsidRPr="00CE44E6">
        <w:rPr>
          <w:rFonts w:ascii="Times New Roman" w:hAnsi="Times New Roman" w:cs="Times New Roman"/>
          <w:sz w:val="24"/>
          <w:szCs w:val="24"/>
        </w:rPr>
        <w:t xml:space="preserve">Song, Byung-Nak (2003). </w:t>
      </w:r>
      <w:r w:rsidRPr="00CE44E6">
        <w:rPr>
          <w:rFonts w:ascii="Times New Roman" w:hAnsi="Times New Roman" w:cs="Times New Roman"/>
          <w:iCs/>
          <w:sz w:val="24"/>
          <w:szCs w:val="24"/>
        </w:rPr>
        <w:t xml:space="preserve">The Rise of the Korean Economy (third edition). </w:t>
      </w:r>
      <w:r w:rsidRPr="00CE44E6">
        <w:rPr>
          <w:rFonts w:ascii="Times New Roman" w:hAnsi="Times New Roman" w:cs="Times New Roman"/>
          <w:sz w:val="24"/>
          <w:szCs w:val="24"/>
        </w:rPr>
        <w:t xml:space="preserve">Oxford University Press. </w:t>
      </w:r>
    </w:p>
    <w:p w14:paraId="0F591D04" w14:textId="2BCA84F9"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Stevens, P. and Weale, M.</w:t>
      </w:r>
      <w:r w:rsidR="000C329C" w:rsidRPr="00CE44E6">
        <w:rPr>
          <w:rFonts w:ascii="Times New Roman" w:hAnsi="Times New Roman" w:cs="Times New Roman"/>
          <w:sz w:val="24"/>
          <w:szCs w:val="24"/>
        </w:rPr>
        <w:t xml:space="preserve"> </w:t>
      </w:r>
      <w:r w:rsidRPr="00CE44E6">
        <w:rPr>
          <w:rFonts w:ascii="Times New Roman" w:hAnsi="Times New Roman" w:cs="Times New Roman"/>
          <w:sz w:val="24"/>
          <w:szCs w:val="24"/>
        </w:rPr>
        <w:t>(2003), Education and Economic Growth, National Institute of Economic and Social Research, London</w:t>
      </w:r>
    </w:p>
    <w:p w14:paraId="68BACDD6" w14:textId="7777777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Strategic Plan for Higher education in Bangladesh 2006-2026, University Grants Commission, Dhaka</w:t>
      </w:r>
    </w:p>
    <w:p w14:paraId="0BA3619F" w14:textId="4643D71E" w:rsidR="009F0CBB" w:rsidRPr="00CE44E6" w:rsidRDefault="009F0CB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 xml:space="preserve">Symaco, L. (2012), Higher Education in the Philippines and Malaysia: The Learning Region in the Age of Knowledge Based Societies, </w:t>
      </w:r>
      <w:r w:rsidRPr="00CE44E6">
        <w:rPr>
          <w:rFonts w:ascii="Times New Roman" w:hAnsi="Times New Roman" w:cs="Times New Roman"/>
          <w:sz w:val="24"/>
          <w:szCs w:val="24"/>
        </w:rPr>
        <w:t>Journal of International and Comparative Education, 2012, Volume 1, Issue 1</w:t>
      </w:r>
    </w:p>
    <w:p w14:paraId="1D0AA822" w14:textId="0B86AB99" w:rsidR="00D43BD3" w:rsidRPr="00CE44E6" w:rsidRDefault="00D43BD3" w:rsidP="00D43BD3">
      <w:pPr>
        <w:autoSpaceDE w:val="0"/>
        <w:autoSpaceDN w:val="0"/>
        <w:adjustRightInd w:val="0"/>
        <w:spacing w:after="240" w:line="276" w:lineRule="auto"/>
        <w:ind w:left="720" w:hanging="720"/>
        <w:rPr>
          <w:rFonts w:ascii="Times New Roman" w:hAnsi="Times New Roman" w:cs="Times New Roman"/>
          <w:sz w:val="24"/>
          <w:szCs w:val="24"/>
        </w:rPr>
      </w:pPr>
      <w:r w:rsidRPr="00CE44E6">
        <w:rPr>
          <w:rFonts w:ascii="Times New Roman" w:hAnsi="Times New Roman" w:cs="Times New Roman"/>
          <w:sz w:val="24"/>
          <w:szCs w:val="24"/>
        </w:rPr>
        <w:t xml:space="preserve">Understanding Korean </w:t>
      </w:r>
      <w:r w:rsidR="00773027" w:rsidRPr="00CE44E6">
        <w:rPr>
          <w:rFonts w:ascii="Times New Roman" w:hAnsi="Times New Roman" w:cs="Times New Roman"/>
          <w:sz w:val="24"/>
          <w:szCs w:val="24"/>
        </w:rPr>
        <w:t>Education (</w:t>
      </w:r>
      <w:r w:rsidRPr="00CE44E6">
        <w:rPr>
          <w:rFonts w:ascii="Times New Roman" w:hAnsi="Times New Roman" w:cs="Times New Roman"/>
          <w:sz w:val="24"/>
          <w:szCs w:val="24"/>
        </w:rPr>
        <w:t>2007), Education and Korea's Development, Volume 5, Korean Educational Development Institute.</w:t>
      </w:r>
    </w:p>
    <w:p w14:paraId="354D8F74" w14:textId="4506AA92" w:rsidR="000C329C" w:rsidRPr="00CE44E6" w:rsidRDefault="000C329C" w:rsidP="00D43BD3">
      <w:pPr>
        <w:autoSpaceDE w:val="0"/>
        <w:autoSpaceDN w:val="0"/>
        <w:adjustRightInd w:val="0"/>
        <w:spacing w:after="240" w:line="276" w:lineRule="auto"/>
        <w:ind w:left="720" w:hanging="720"/>
        <w:rPr>
          <w:rFonts w:ascii="Times New Roman" w:hAnsi="Times New Roman" w:cs="Times New Roman"/>
          <w:sz w:val="24"/>
          <w:szCs w:val="24"/>
        </w:rPr>
      </w:pPr>
      <w:r w:rsidRPr="00CE44E6">
        <w:rPr>
          <w:rFonts w:ascii="Times New Roman" w:hAnsi="Times New Roman" w:cs="Times New Roman"/>
          <w:sz w:val="24"/>
          <w:szCs w:val="24"/>
        </w:rPr>
        <w:t>UNESCO</w:t>
      </w:r>
      <w:r w:rsidRPr="00CE44E6">
        <w:rPr>
          <w:rFonts w:ascii="Times New Roman" w:hAnsi="Times New Roman" w:cs="Times New Roman"/>
          <w:sz w:val="24"/>
          <w:szCs w:val="24"/>
        </w:rPr>
        <w:t xml:space="preserve"> (</w:t>
      </w:r>
      <w:r w:rsidRPr="00CE44E6">
        <w:rPr>
          <w:rFonts w:ascii="Times New Roman" w:hAnsi="Times New Roman" w:cs="Times New Roman"/>
          <w:sz w:val="24"/>
          <w:szCs w:val="24"/>
        </w:rPr>
        <w:t>2006</w:t>
      </w:r>
      <w:r w:rsidRPr="00CE44E6">
        <w:rPr>
          <w:rFonts w:ascii="Times New Roman" w:hAnsi="Times New Roman" w:cs="Times New Roman"/>
          <w:sz w:val="24"/>
          <w:szCs w:val="24"/>
        </w:rPr>
        <w:t>)</w:t>
      </w:r>
      <w:r w:rsidRPr="00CE44E6">
        <w:rPr>
          <w:rFonts w:ascii="Times New Roman" w:hAnsi="Times New Roman" w:cs="Times New Roman"/>
          <w:sz w:val="24"/>
          <w:szCs w:val="24"/>
        </w:rPr>
        <w:t xml:space="preserve">. </w:t>
      </w:r>
      <w:r w:rsidRPr="00CE44E6">
        <w:rPr>
          <w:rFonts w:ascii="Times New Roman" w:hAnsi="Times New Roman" w:cs="Times New Roman"/>
          <w:iCs/>
          <w:sz w:val="24"/>
          <w:szCs w:val="24"/>
        </w:rPr>
        <w:t xml:space="preserve">Education for All Global Monitoring Report: Literacy for Life. </w:t>
      </w:r>
      <w:r w:rsidRPr="00CE44E6">
        <w:rPr>
          <w:rFonts w:ascii="Times New Roman" w:hAnsi="Times New Roman" w:cs="Times New Roman"/>
          <w:sz w:val="24"/>
          <w:szCs w:val="24"/>
        </w:rPr>
        <w:t>Paris.</w:t>
      </w:r>
    </w:p>
    <w:p w14:paraId="61776B19" w14:textId="50C703EB"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VDR (2014)</w:t>
      </w:r>
      <w:r w:rsidR="00C11058" w:rsidRPr="00CE44E6">
        <w:rPr>
          <w:rFonts w:ascii="Times New Roman" w:hAnsi="Times New Roman" w:cs="Times New Roman"/>
          <w:sz w:val="24"/>
          <w:szCs w:val="24"/>
        </w:rPr>
        <w:t>,</w:t>
      </w:r>
      <w:r w:rsidRPr="00CE44E6">
        <w:rPr>
          <w:rFonts w:ascii="Times New Roman" w:hAnsi="Times New Roman" w:cs="Times New Roman"/>
          <w:sz w:val="24"/>
          <w:szCs w:val="24"/>
        </w:rPr>
        <w:t xml:space="preserve"> Vietnam Development Report, Skilling up Vietnam: Preparing the workforce for a modern market economy. November 2013</w:t>
      </w:r>
    </w:p>
    <w:p w14:paraId="3D548E8D" w14:textId="52264B7D"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Watters, A. (2010), 10 Open Educational Res</w:t>
      </w:r>
      <w:r w:rsidR="00773027" w:rsidRPr="00CE44E6">
        <w:rPr>
          <w:rFonts w:ascii="Times New Roman" w:hAnsi="Times New Roman" w:cs="Times New Roman"/>
          <w:sz w:val="24"/>
          <w:szCs w:val="24"/>
        </w:rPr>
        <w:t>ources You may not know about (</w:t>
      </w:r>
      <w:r w:rsidRPr="00CE44E6">
        <w:rPr>
          <w:rFonts w:ascii="Times New Roman" w:hAnsi="Times New Roman" w:cs="Times New Roman"/>
          <w:sz w:val="24"/>
          <w:szCs w:val="24"/>
        </w:rPr>
        <w:t xml:space="preserve">but should), </w:t>
      </w:r>
      <w:hyperlink r:id="rId10" w:history="1">
        <w:r w:rsidRPr="00CE44E6">
          <w:rPr>
            <w:rStyle w:val="Hyperlink"/>
            <w:rFonts w:ascii="Times New Roman" w:hAnsi="Times New Roman" w:cs="Times New Roman"/>
            <w:sz w:val="24"/>
            <w:szCs w:val="24"/>
          </w:rPr>
          <w:t>https://www.kqed.org/mindshift/11301/10-open-education-resources-you-may-not-know-about-but-should</w:t>
        </w:r>
      </w:hyperlink>
      <w:r w:rsidRPr="00CE44E6">
        <w:rPr>
          <w:rFonts w:ascii="Times New Roman" w:hAnsi="Times New Roman" w:cs="Times New Roman"/>
          <w:sz w:val="24"/>
          <w:szCs w:val="24"/>
        </w:rPr>
        <w:t>, accessed on May 2018</w:t>
      </w:r>
    </w:p>
    <w:p w14:paraId="6FED8359" w14:textId="17EB1A75" w:rsidR="00EF1DDB" w:rsidRPr="00CE44E6" w:rsidRDefault="00C11058"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World Bank (</w:t>
      </w:r>
      <w:r w:rsidR="00EF1DDB" w:rsidRPr="00CE44E6">
        <w:rPr>
          <w:rFonts w:ascii="Times New Roman" w:hAnsi="Times New Roman" w:cs="Times New Roman"/>
          <w:sz w:val="24"/>
          <w:szCs w:val="24"/>
        </w:rPr>
        <w:t>2014), A Study on National University and Affiliated Colleges in Bangladesh, Report No. 65, South Asia Human Development Sector, World Bank</w:t>
      </w:r>
    </w:p>
    <w:p w14:paraId="05D4DC28" w14:textId="222AC9D6" w:rsidR="00EF1DDB" w:rsidRPr="00CE44E6" w:rsidRDefault="00AE62B2"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W</w:t>
      </w:r>
      <w:r w:rsidR="00DA5CE0" w:rsidRPr="00CE44E6">
        <w:rPr>
          <w:rFonts w:ascii="Times New Roman" w:hAnsi="Times New Roman" w:cs="Times New Roman"/>
          <w:sz w:val="24"/>
          <w:szCs w:val="24"/>
        </w:rPr>
        <w:t>orld Bank</w:t>
      </w:r>
      <w:r w:rsidR="00773027" w:rsidRPr="00CE44E6">
        <w:rPr>
          <w:rFonts w:ascii="Times New Roman" w:hAnsi="Times New Roman" w:cs="Times New Roman"/>
          <w:sz w:val="24"/>
          <w:szCs w:val="24"/>
        </w:rPr>
        <w:t xml:space="preserve"> </w:t>
      </w:r>
      <w:r w:rsidRPr="00CE44E6">
        <w:rPr>
          <w:rFonts w:ascii="Times New Roman" w:hAnsi="Times New Roman" w:cs="Times New Roman"/>
          <w:sz w:val="24"/>
          <w:szCs w:val="24"/>
        </w:rPr>
        <w:t>(</w:t>
      </w:r>
      <w:r w:rsidR="00EF1DDB" w:rsidRPr="00CE44E6">
        <w:rPr>
          <w:rFonts w:ascii="Times New Roman" w:hAnsi="Times New Roman" w:cs="Times New Roman"/>
          <w:sz w:val="24"/>
          <w:szCs w:val="24"/>
        </w:rPr>
        <w:t>201</w:t>
      </w:r>
      <w:r w:rsidRPr="00CE44E6">
        <w:rPr>
          <w:rFonts w:ascii="Times New Roman" w:hAnsi="Times New Roman" w:cs="Times New Roman"/>
          <w:sz w:val="24"/>
          <w:szCs w:val="24"/>
        </w:rPr>
        <w:t>8), Learning: To realise Education’s Promise, World Development Report 2018, The World Bank, Washington</w:t>
      </w:r>
    </w:p>
    <w:p w14:paraId="520E9085" w14:textId="7D707257" w:rsidR="00EF1DDB" w:rsidRPr="00CE44E6"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 xml:space="preserve">Yamada, T. (2015), MOOC phenomenon in Japan: JMOOC and OU-J MOOC, </w:t>
      </w:r>
      <w:r w:rsidR="00773027" w:rsidRPr="00CE44E6">
        <w:rPr>
          <w:rFonts w:ascii="Times New Roman" w:hAnsi="Times New Roman" w:cs="Times New Roman"/>
          <w:sz w:val="24"/>
          <w:szCs w:val="24"/>
        </w:rPr>
        <w:t xml:space="preserve">in </w:t>
      </w:r>
      <w:r w:rsidRPr="00CE44E6">
        <w:rPr>
          <w:rFonts w:ascii="Times New Roman" w:hAnsi="Times New Roman" w:cs="Times New Roman"/>
          <w:sz w:val="24"/>
          <w:szCs w:val="24"/>
        </w:rPr>
        <w:t xml:space="preserve">MOOCs </w:t>
      </w:r>
      <w:r w:rsidR="00773027" w:rsidRPr="00CE44E6">
        <w:rPr>
          <w:rFonts w:ascii="Times New Roman" w:hAnsi="Times New Roman" w:cs="Times New Roman"/>
          <w:sz w:val="24"/>
          <w:szCs w:val="24"/>
        </w:rPr>
        <w:t xml:space="preserve">and </w:t>
      </w:r>
      <w:r w:rsidRPr="00CE44E6">
        <w:rPr>
          <w:rFonts w:ascii="Times New Roman" w:hAnsi="Times New Roman" w:cs="Times New Roman"/>
          <w:sz w:val="24"/>
          <w:szCs w:val="24"/>
        </w:rPr>
        <w:t>Educational Challenges in Asia and Europe, KNOU Press, South Korea</w:t>
      </w:r>
    </w:p>
    <w:p w14:paraId="13CB1BAE" w14:textId="5DDF7AC6" w:rsidR="00EF1DDB" w:rsidRDefault="00EF1DDB" w:rsidP="00EF1DDB">
      <w:pPr>
        <w:spacing w:after="240" w:line="276" w:lineRule="auto"/>
        <w:ind w:left="720" w:hanging="720"/>
        <w:contextualSpacing/>
        <w:jc w:val="both"/>
        <w:rPr>
          <w:rFonts w:ascii="Times New Roman" w:hAnsi="Times New Roman" w:cs="Times New Roman"/>
          <w:sz w:val="24"/>
          <w:szCs w:val="24"/>
        </w:rPr>
      </w:pPr>
      <w:r w:rsidRPr="00CE44E6">
        <w:rPr>
          <w:rFonts w:ascii="Times New Roman" w:hAnsi="Times New Roman" w:cs="Times New Roman"/>
          <w:sz w:val="24"/>
          <w:szCs w:val="24"/>
        </w:rPr>
        <w:t>Ying, W. (2015), The Development of MOOCs in China, in MOOCs and Educational Challenges in Asia and Europe, KNO</w:t>
      </w:r>
      <w:r w:rsidR="00773027" w:rsidRPr="00CE44E6">
        <w:rPr>
          <w:rFonts w:ascii="Times New Roman" w:hAnsi="Times New Roman" w:cs="Times New Roman"/>
          <w:sz w:val="24"/>
          <w:szCs w:val="24"/>
        </w:rPr>
        <w:t>U</w:t>
      </w:r>
      <w:r w:rsidRPr="00CE44E6">
        <w:rPr>
          <w:rFonts w:ascii="Times New Roman" w:hAnsi="Times New Roman" w:cs="Times New Roman"/>
          <w:sz w:val="24"/>
          <w:szCs w:val="24"/>
        </w:rPr>
        <w:t>, Press, South Korea</w:t>
      </w:r>
    </w:p>
    <w:p w14:paraId="5EB65A9A" w14:textId="77777777" w:rsidR="00CE44E6" w:rsidRDefault="00CE44E6" w:rsidP="00EF1DDB">
      <w:pPr>
        <w:spacing w:after="240" w:line="276" w:lineRule="auto"/>
        <w:ind w:left="720" w:hanging="720"/>
        <w:contextualSpacing/>
        <w:jc w:val="both"/>
        <w:rPr>
          <w:rFonts w:ascii="Times New Roman" w:hAnsi="Times New Roman" w:cs="Times New Roman"/>
          <w:sz w:val="24"/>
          <w:szCs w:val="24"/>
        </w:rPr>
      </w:pPr>
    </w:p>
    <w:p w14:paraId="14BEA196" w14:textId="7049B096" w:rsidR="00CE44E6" w:rsidRDefault="00CE44E6">
      <w:pPr>
        <w:rPr>
          <w:rFonts w:ascii="Times New Roman" w:hAnsi="Times New Roman" w:cs="Times New Roman"/>
          <w:sz w:val="24"/>
          <w:szCs w:val="24"/>
        </w:rPr>
      </w:pPr>
      <w:r>
        <w:rPr>
          <w:rFonts w:ascii="Times New Roman" w:hAnsi="Times New Roman" w:cs="Times New Roman"/>
          <w:sz w:val="24"/>
          <w:szCs w:val="24"/>
        </w:rPr>
        <w:br w:type="page"/>
      </w:r>
    </w:p>
    <w:p w14:paraId="0485E04E" w14:textId="1FBA7C24" w:rsidR="00540E9D" w:rsidRPr="00CE44E6" w:rsidRDefault="00CE44E6" w:rsidP="00CE44E6">
      <w:pPr>
        <w:spacing w:after="240" w:line="276" w:lineRule="auto"/>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Appendix</w:t>
      </w:r>
      <w:r w:rsidR="00D408E8" w:rsidRPr="00D408E8">
        <w:rPr>
          <w:rFonts w:ascii="Times New Roman" w:hAnsi="Times New Roman" w:cs="Times New Roman"/>
          <w:b/>
          <w:sz w:val="24"/>
          <w:szCs w:val="24"/>
        </w:rPr>
        <w:t xml:space="preserve">. </w:t>
      </w:r>
      <w:r w:rsidR="00D46078" w:rsidRPr="00D408E8">
        <w:rPr>
          <w:rFonts w:ascii="Times New Roman" w:hAnsi="Times New Roman" w:cs="Times New Roman"/>
          <w:b/>
          <w:sz w:val="24"/>
          <w:szCs w:val="24"/>
        </w:rPr>
        <w:t xml:space="preserve"> C</w:t>
      </w:r>
      <w:r w:rsidR="00540E9D" w:rsidRPr="00D408E8">
        <w:rPr>
          <w:rFonts w:ascii="Times New Roman" w:hAnsi="Times New Roman" w:cs="Times New Roman"/>
          <w:b/>
          <w:sz w:val="24"/>
          <w:szCs w:val="24"/>
        </w:rPr>
        <w:t xml:space="preserve">hanges in </w:t>
      </w:r>
      <w:r>
        <w:rPr>
          <w:rFonts w:ascii="Times New Roman" w:hAnsi="Times New Roman" w:cs="Times New Roman"/>
          <w:b/>
          <w:sz w:val="24"/>
          <w:szCs w:val="24"/>
        </w:rPr>
        <w:t>V</w:t>
      </w:r>
      <w:r w:rsidR="00540E9D" w:rsidRPr="00D408E8">
        <w:rPr>
          <w:rFonts w:ascii="Times New Roman" w:hAnsi="Times New Roman" w:cs="Times New Roman"/>
          <w:b/>
          <w:sz w:val="24"/>
          <w:szCs w:val="24"/>
        </w:rPr>
        <w:t xml:space="preserve">ocational </w:t>
      </w:r>
      <w:r>
        <w:rPr>
          <w:rFonts w:ascii="Times New Roman" w:hAnsi="Times New Roman" w:cs="Times New Roman"/>
          <w:b/>
          <w:sz w:val="24"/>
          <w:szCs w:val="24"/>
        </w:rPr>
        <w:t>T</w:t>
      </w:r>
      <w:r w:rsidR="00540E9D" w:rsidRPr="00D408E8">
        <w:rPr>
          <w:rFonts w:ascii="Times New Roman" w:hAnsi="Times New Roman" w:cs="Times New Roman"/>
          <w:b/>
          <w:sz w:val="24"/>
          <w:szCs w:val="24"/>
        </w:rPr>
        <w:t>raining during Industrialization in Korea</w:t>
      </w:r>
    </w:p>
    <w:tbl>
      <w:tblPr>
        <w:tblStyle w:val="TableGrid"/>
        <w:tblW w:w="0" w:type="auto"/>
        <w:tblLook w:val="04A0" w:firstRow="1" w:lastRow="0" w:firstColumn="1" w:lastColumn="0" w:noHBand="0" w:noVBand="1"/>
      </w:tblPr>
      <w:tblGrid>
        <w:gridCol w:w="2394"/>
        <w:gridCol w:w="2394"/>
        <w:gridCol w:w="2394"/>
        <w:gridCol w:w="2394"/>
      </w:tblGrid>
      <w:tr w:rsidR="00540E9D" w:rsidRPr="00CE44E6" w14:paraId="1F4D943E" w14:textId="77777777" w:rsidTr="004D3D4C">
        <w:tc>
          <w:tcPr>
            <w:tcW w:w="2394" w:type="dxa"/>
          </w:tcPr>
          <w:p w14:paraId="1EFAC7EF" w14:textId="77777777" w:rsidR="00540E9D" w:rsidRPr="00CE44E6" w:rsidRDefault="00540E9D" w:rsidP="00CE44E6">
            <w:pPr>
              <w:keepNext/>
              <w:autoSpaceDE w:val="0"/>
              <w:autoSpaceDN w:val="0"/>
              <w:adjustRightInd w:val="0"/>
              <w:spacing w:line="276" w:lineRule="auto"/>
              <w:jc w:val="center"/>
              <w:rPr>
                <w:rFonts w:ascii="TimesNewRoman" w:hAnsi="TimesNewRoman" w:cs="TimesNewRoman"/>
                <w:sz w:val="20"/>
                <w:szCs w:val="20"/>
              </w:rPr>
            </w:pPr>
            <w:r w:rsidRPr="00CE44E6">
              <w:rPr>
                <w:rFonts w:ascii="TimesNewRoman" w:hAnsi="TimesNewRoman" w:cs="TimesNewRoman"/>
                <w:sz w:val="20"/>
                <w:szCs w:val="20"/>
              </w:rPr>
              <w:t>Rebuilding</w:t>
            </w:r>
          </w:p>
          <w:p w14:paraId="15D4ED20" w14:textId="6F7D9719" w:rsidR="00540E9D" w:rsidRPr="00CE44E6" w:rsidRDefault="00540E9D" w:rsidP="00CE44E6">
            <w:pPr>
              <w:keepNext/>
              <w:autoSpaceDE w:val="0"/>
              <w:autoSpaceDN w:val="0"/>
              <w:adjustRightInd w:val="0"/>
              <w:spacing w:line="276" w:lineRule="auto"/>
              <w:jc w:val="center"/>
              <w:rPr>
                <w:rFonts w:ascii="TimesNewRoman" w:hAnsi="TimesNewRoman" w:cs="TimesNewRoman"/>
                <w:sz w:val="20"/>
                <w:szCs w:val="20"/>
              </w:rPr>
            </w:pPr>
            <w:r w:rsidRPr="00CE44E6">
              <w:rPr>
                <w:rFonts w:ascii="TimesNewRoman" w:hAnsi="TimesNewRoman" w:cs="TimesNewRoman"/>
                <w:sz w:val="20"/>
                <w:szCs w:val="20"/>
              </w:rPr>
              <w:t>1945-1960</w:t>
            </w:r>
          </w:p>
        </w:tc>
        <w:tc>
          <w:tcPr>
            <w:tcW w:w="2394" w:type="dxa"/>
          </w:tcPr>
          <w:p w14:paraId="24999B2D" w14:textId="401A7CC3" w:rsidR="00540E9D" w:rsidRPr="00CE44E6" w:rsidRDefault="00540E9D" w:rsidP="00CE44E6">
            <w:pPr>
              <w:keepNext/>
              <w:autoSpaceDE w:val="0"/>
              <w:autoSpaceDN w:val="0"/>
              <w:adjustRightInd w:val="0"/>
              <w:spacing w:line="276" w:lineRule="auto"/>
              <w:jc w:val="center"/>
              <w:rPr>
                <w:rFonts w:ascii="TimesNewRoman" w:hAnsi="TimesNewRoman" w:cs="TimesNewRoman"/>
                <w:sz w:val="20"/>
                <w:szCs w:val="20"/>
              </w:rPr>
            </w:pPr>
            <w:r w:rsidRPr="00CE44E6">
              <w:rPr>
                <w:rFonts w:ascii="TimesNewRoman" w:hAnsi="TimesNewRoman" w:cs="TimesNewRoman"/>
                <w:sz w:val="20"/>
                <w:szCs w:val="20"/>
              </w:rPr>
              <w:t>Export led growth</w:t>
            </w:r>
          </w:p>
          <w:p w14:paraId="33E2C9D1" w14:textId="77777777" w:rsidR="00540E9D" w:rsidRPr="00CE44E6" w:rsidRDefault="00540E9D" w:rsidP="00CE44E6">
            <w:pPr>
              <w:keepNext/>
              <w:autoSpaceDE w:val="0"/>
              <w:autoSpaceDN w:val="0"/>
              <w:adjustRightInd w:val="0"/>
              <w:spacing w:line="276" w:lineRule="auto"/>
              <w:jc w:val="center"/>
              <w:rPr>
                <w:rFonts w:ascii="TimesNewRoman" w:hAnsi="TimesNewRoman" w:cs="TimesNewRoman"/>
                <w:sz w:val="20"/>
                <w:szCs w:val="20"/>
              </w:rPr>
            </w:pPr>
            <w:r w:rsidRPr="00CE44E6">
              <w:rPr>
                <w:rFonts w:ascii="TimesNewRoman" w:hAnsi="TimesNewRoman" w:cs="TimesNewRoman"/>
                <w:sz w:val="20"/>
                <w:szCs w:val="20"/>
              </w:rPr>
              <w:t>1961-1981</w:t>
            </w:r>
          </w:p>
        </w:tc>
        <w:tc>
          <w:tcPr>
            <w:tcW w:w="2394" w:type="dxa"/>
          </w:tcPr>
          <w:p w14:paraId="1E6520CF" w14:textId="77777777" w:rsidR="00540E9D" w:rsidRPr="00CE44E6" w:rsidRDefault="00540E9D" w:rsidP="00CE44E6">
            <w:pPr>
              <w:keepNext/>
              <w:autoSpaceDE w:val="0"/>
              <w:autoSpaceDN w:val="0"/>
              <w:adjustRightInd w:val="0"/>
              <w:spacing w:line="276" w:lineRule="auto"/>
              <w:jc w:val="center"/>
              <w:rPr>
                <w:rFonts w:ascii="TimesNewRoman" w:hAnsi="TimesNewRoman" w:cs="TimesNewRoman"/>
                <w:sz w:val="20"/>
                <w:szCs w:val="20"/>
              </w:rPr>
            </w:pPr>
            <w:r w:rsidRPr="00CE44E6">
              <w:rPr>
                <w:rFonts w:ascii="TimesNewRoman" w:hAnsi="TimesNewRoman" w:cs="TimesNewRoman"/>
                <w:sz w:val="20"/>
                <w:szCs w:val="20"/>
              </w:rPr>
              <w:t>Economic restructuring</w:t>
            </w:r>
          </w:p>
          <w:p w14:paraId="28A85C6C" w14:textId="77777777" w:rsidR="00540E9D" w:rsidRPr="00CE44E6" w:rsidRDefault="00540E9D" w:rsidP="00CE44E6">
            <w:pPr>
              <w:keepNext/>
              <w:autoSpaceDE w:val="0"/>
              <w:autoSpaceDN w:val="0"/>
              <w:adjustRightInd w:val="0"/>
              <w:spacing w:line="276" w:lineRule="auto"/>
              <w:jc w:val="center"/>
              <w:rPr>
                <w:rFonts w:ascii="TimesNewRoman" w:hAnsi="TimesNewRoman" w:cs="TimesNewRoman"/>
                <w:sz w:val="20"/>
                <w:szCs w:val="20"/>
              </w:rPr>
            </w:pPr>
            <w:r w:rsidRPr="00CE44E6">
              <w:rPr>
                <w:rFonts w:ascii="TimesNewRoman" w:hAnsi="TimesNewRoman" w:cs="TimesNewRoman"/>
                <w:sz w:val="20"/>
                <w:szCs w:val="20"/>
              </w:rPr>
              <w:t>1982-1997</w:t>
            </w:r>
          </w:p>
        </w:tc>
        <w:tc>
          <w:tcPr>
            <w:tcW w:w="2394" w:type="dxa"/>
          </w:tcPr>
          <w:p w14:paraId="5DEE700D" w14:textId="77777777" w:rsidR="00540E9D" w:rsidRPr="00CE44E6" w:rsidRDefault="00540E9D" w:rsidP="00CE44E6">
            <w:pPr>
              <w:keepNext/>
              <w:autoSpaceDE w:val="0"/>
              <w:autoSpaceDN w:val="0"/>
              <w:adjustRightInd w:val="0"/>
              <w:spacing w:line="276" w:lineRule="auto"/>
              <w:jc w:val="center"/>
              <w:rPr>
                <w:rFonts w:ascii="TimesNewRoman" w:hAnsi="TimesNewRoman" w:cs="TimesNewRoman"/>
                <w:sz w:val="20"/>
                <w:szCs w:val="20"/>
              </w:rPr>
            </w:pPr>
            <w:r w:rsidRPr="00CE44E6">
              <w:rPr>
                <w:rFonts w:ascii="TimesNewRoman" w:hAnsi="TimesNewRoman" w:cs="TimesNewRoman"/>
                <w:sz w:val="20"/>
                <w:szCs w:val="20"/>
              </w:rPr>
              <w:t>Knowledge-based economy1998-200</w:t>
            </w:r>
          </w:p>
        </w:tc>
      </w:tr>
      <w:tr w:rsidR="00540E9D" w14:paraId="7FB9111C" w14:textId="77777777" w:rsidTr="004D3D4C">
        <w:tc>
          <w:tcPr>
            <w:tcW w:w="2394" w:type="dxa"/>
          </w:tcPr>
          <w:p w14:paraId="7E3CC91D"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 xml:space="preserve">Both vocational training and technical training were provided by industrial primary schools, vocational high schools, and six month short term industrial technology training centers. </w:t>
            </w:r>
          </w:p>
          <w:p w14:paraId="7CFC5F62" w14:textId="55E8E11A"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 xml:space="preserve">The first law to lay a foundation for vocational training was the </w:t>
            </w:r>
            <w:r w:rsidR="006E2C5E">
              <w:rPr>
                <w:rFonts w:ascii="TimesNewRoman" w:hAnsi="TimesNewRoman" w:cs="TimesNewRoman"/>
                <w:i/>
                <w:sz w:val="18"/>
                <w:szCs w:val="18"/>
              </w:rPr>
              <w:t>Labour</w:t>
            </w:r>
            <w:r w:rsidRPr="00626DE2">
              <w:rPr>
                <w:rFonts w:ascii="TimesNewRoman" w:hAnsi="TimesNewRoman" w:cs="TimesNewRoman"/>
                <w:i/>
                <w:sz w:val="18"/>
                <w:szCs w:val="18"/>
              </w:rPr>
              <w:t xml:space="preserve"> Standards Law announced in May 1953. The </w:t>
            </w:r>
            <w:r w:rsidR="006E2C5E">
              <w:rPr>
                <w:rFonts w:ascii="TimesNewRoman" w:hAnsi="TimesNewRoman" w:cs="TimesNewRoman"/>
                <w:i/>
                <w:sz w:val="18"/>
                <w:szCs w:val="18"/>
              </w:rPr>
              <w:t>Labour</w:t>
            </w:r>
            <w:r w:rsidRPr="00626DE2">
              <w:rPr>
                <w:rFonts w:ascii="TimesNewRoman" w:hAnsi="TimesNewRoman" w:cs="TimesNewRoman"/>
                <w:i/>
                <w:sz w:val="18"/>
                <w:szCs w:val="18"/>
              </w:rPr>
              <w:t xml:space="preserve"> Standards Law’s regulations on “fostering technicians” did</w:t>
            </w:r>
          </w:p>
          <w:p w14:paraId="78E42A8F"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not stimulate vocational training or propose a basis for the government to</w:t>
            </w:r>
          </w:p>
          <w:p w14:paraId="6441A8CF"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directly carry out vocational training; they were merely intended to protect</w:t>
            </w:r>
          </w:p>
          <w:p w14:paraId="45F5E697"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trainees. 15 institutions including the Korea Electric Power Corporation, the</w:t>
            </w:r>
          </w:p>
          <w:p w14:paraId="059BFD16"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Korea Shipbuilding and Engineering Corporation, Goldstar, and the Korea</w:t>
            </w:r>
          </w:p>
          <w:p w14:paraId="4C48DA62"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Coal Corporation introduced apprenticeship training courses in the early 1960s,</w:t>
            </w:r>
          </w:p>
          <w:p w14:paraId="21EEAD95"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and fostered the personnel needed in 11 industries including the electrical,</w:t>
            </w:r>
          </w:p>
          <w:p w14:paraId="5C85E7A6"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heavy chemical, machine, shipbuilding, welding, and plumbing industries.</w:t>
            </w:r>
          </w:p>
          <w:p w14:paraId="18149FD4" w14:textId="77777777" w:rsidR="00540E9D" w:rsidRPr="00626DE2" w:rsidRDefault="00540E9D" w:rsidP="004D3D4C">
            <w:pPr>
              <w:keepNext/>
              <w:autoSpaceDE w:val="0"/>
              <w:autoSpaceDN w:val="0"/>
              <w:adjustRightInd w:val="0"/>
              <w:spacing w:line="276" w:lineRule="auto"/>
              <w:jc w:val="both"/>
              <w:rPr>
                <w:rFonts w:ascii="TimesNewRoman" w:hAnsi="TimesNewRoman" w:cs="TimesNewRoman"/>
                <w:sz w:val="18"/>
                <w:szCs w:val="18"/>
              </w:rPr>
            </w:pPr>
            <w:r w:rsidRPr="00626DE2">
              <w:rPr>
                <w:rFonts w:ascii="TimesNewRoman" w:hAnsi="TimesNewRoman" w:cs="TimesNewRoman"/>
                <w:i/>
                <w:sz w:val="18"/>
                <w:szCs w:val="18"/>
              </w:rPr>
              <w:t>This period can be seen as the birth of the modern vocational training system</w:t>
            </w:r>
            <w:r w:rsidRPr="00626DE2">
              <w:rPr>
                <w:rFonts w:ascii="TimesNewRoman" w:hAnsi="TimesNewRoman" w:cs="TimesNewRoman"/>
                <w:sz w:val="18"/>
                <w:szCs w:val="18"/>
              </w:rPr>
              <w:t>.</w:t>
            </w:r>
          </w:p>
        </w:tc>
        <w:tc>
          <w:tcPr>
            <w:tcW w:w="2394" w:type="dxa"/>
          </w:tcPr>
          <w:p w14:paraId="6A44374B"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In the 1970s, the  government pursued capital-intensive heavy-and-chemical</w:t>
            </w:r>
          </w:p>
          <w:p w14:paraId="560A29B0"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 xml:space="preserve">industrialization. </w:t>
            </w:r>
          </w:p>
          <w:p w14:paraId="5EEE1EED"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The government’s industrial policy had a decisive effect on</w:t>
            </w:r>
          </w:p>
          <w:p w14:paraId="702549B4"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vocational training. During this era, the Korean economy underwent dramatic growth that brought about a shortage of trained workers.</w:t>
            </w:r>
          </w:p>
          <w:p w14:paraId="618975E6" w14:textId="2DD02A71"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 xml:space="preserve">Although immense investments were being made in the heavy and chemical industries, these sectors lacked technicians and companies vigorously competed in scouting workers. To address the </w:t>
            </w:r>
            <w:r w:rsidR="006E2C5E">
              <w:rPr>
                <w:rFonts w:ascii="TimesNewRoman" w:hAnsi="TimesNewRoman" w:cs="TimesNewRoman"/>
                <w:i/>
                <w:sz w:val="18"/>
                <w:szCs w:val="18"/>
              </w:rPr>
              <w:t>labour</w:t>
            </w:r>
            <w:r w:rsidRPr="00626DE2">
              <w:rPr>
                <w:rFonts w:ascii="TimesNewRoman" w:hAnsi="TimesNewRoman" w:cs="TimesNewRoman"/>
                <w:i/>
                <w:sz w:val="18"/>
                <w:szCs w:val="18"/>
              </w:rPr>
              <w:t xml:space="preserve"> shortage, the government drafted a</w:t>
            </w:r>
          </w:p>
          <w:p w14:paraId="60C20EC5" w14:textId="594EAC3A"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Special Measures Law in December 1974 which promoted vocational training within the workplace. Employers of companies larger than a certain size were</w:t>
            </w:r>
            <w:r w:rsidR="00495168">
              <w:rPr>
                <w:rFonts w:ascii="TimesNewRoman" w:hAnsi="TimesNewRoman" w:cs="TimesNewRoman"/>
                <w:i/>
                <w:sz w:val="18"/>
                <w:szCs w:val="18"/>
              </w:rPr>
              <w:t xml:space="preserve"> </w:t>
            </w:r>
            <w:r w:rsidRPr="00626DE2">
              <w:rPr>
                <w:rFonts w:ascii="TimesNewRoman" w:hAnsi="TimesNewRoman" w:cs="TimesNewRoman"/>
                <w:i/>
                <w:sz w:val="18"/>
                <w:szCs w:val="18"/>
              </w:rPr>
              <w:t>required to train a certain percentage of employees every year. In December 1976, the Vocational Training Law and the Special Measures</w:t>
            </w:r>
          </w:p>
          <w:p w14:paraId="0FBD86F1"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Regarding Vocational Training drafted in 1967 were combined into the “Basic Law on Vocational Training.” The law introduced a training levy system, with the employer required to conduct training or pay levy. To ensure job stability, the law also decreed that employees be provided job transfer training as well as pre-employment training</w:t>
            </w:r>
          </w:p>
        </w:tc>
        <w:tc>
          <w:tcPr>
            <w:tcW w:w="2394" w:type="dxa"/>
          </w:tcPr>
          <w:p w14:paraId="74EE8A30"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Due to stable economic growth, restructuring, and industrial rationalization</w:t>
            </w:r>
          </w:p>
          <w:p w14:paraId="7E384DF1"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policies, the industries that led Korea’s industrialization shifted to technology intensive industries in the 1970s and then to knowledge-based industries in the</w:t>
            </w:r>
          </w:p>
          <w:p w14:paraId="51131627"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1980s. As the industrial structure became more advanced, automobiles, semiconductors, computers, and telecom equipment became the leading industries, and social overhead capital and service industries underwent dramatic expansion. The economy continued its rapid growth and Korea joined the OECD.</w:t>
            </w:r>
          </w:p>
          <w:p w14:paraId="6445BCE5"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Vocation training in this period underwent expansion and several major policies were introduced. First, the Human Resources Development Service</w:t>
            </w:r>
          </w:p>
          <w:p w14:paraId="626C7827"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of Korea (HRD Korea) was founded to provide vocational training, employment service, skills testing, human resource registration management,</w:t>
            </w:r>
          </w:p>
          <w:p w14:paraId="764A5DA3"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and job study.</w:t>
            </w:r>
          </w:p>
          <w:p w14:paraId="1DF71E84"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 xml:space="preserve">Second, the Korea University of Technology and Education was founded to foster vocational training instructors. </w:t>
            </w:r>
          </w:p>
          <w:p w14:paraId="2C5A81CD"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 To respond to the expected rise in demand and</w:t>
            </w:r>
          </w:p>
          <w:p w14:paraId="273252C4"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compensate for existing inadequacies, a vocational training development plan</w:t>
            </w:r>
          </w:p>
          <w:p w14:paraId="509DF302"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was created in 1990.</w:t>
            </w:r>
          </w:p>
          <w:p w14:paraId="56806A58"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p>
        </w:tc>
        <w:tc>
          <w:tcPr>
            <w:tcW w:w="2394" w:type="dxa"/>
          </w:tcPr>
          <w:p w14:paraId="177C8AE9"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The vocational training system during this period shifted from the training of</w:t>
            </w:r>
          </w:p>
          <w:p w14:paraId="1FE9D76D"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school leavers to lifelong skills development, and from a government-led and</w:t>
            </w:r>
          </w:p>
          <w:p w14:paraId="68FA2EB6"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supply-oriented delivery system to a private sector-led and demand-oriented</w:t>
            </w:r>
          </w:p>
          <w:p w14:paraId="60DEEC35"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 xml:space="preserve">system. </w:t>
            </w:r>
          </w:p>
          <w:p w14:paraId="6318A344"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p>
          <w:p w14:paraId="433C44C4"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To respond to Korea’s transformation into a knowledge economy and a</w:t>
            </w:r>
          </w:p>
          <w:p w14:paraId="7A26DD9B"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lifelong learning society, systematic skills development over the working life</w:t>
            </w:r>
          </w:p>
          <w:p w14:paraId="40106B4F" w14:textId="5D68C6E8"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 xml:space="preserve">of an individual is needed. The 2004  </w:t>
            </w:r>
            <w:r w:rsidR="006E2C5E">
              <w:rPr>
                <w:rFonts w:ascii="TimesNewRoman" w:hAnsi="TimesNewRoman" w:cs="TimesNewRoman"/>
                <w:i/>
                <w:sz w:val="18"/>
                <w:szCs w:val="18"/>
              </w:rPr>
              <w:t>Labour</w:t>
            </w:r>
            <w:r w:rsidRPr="00626DE2">
              <w:rPr>
                <w:rFonts w:ascii="TimesNewRoman" w:hAnsi="TimesNewRoman" w:cs="TimesNewRoman"/>
                <w:i/>
                <w:sz w:val="18"/>
                <w:szCs w:val="18"/>
              </w:rPr>
              <w:t>er Skills Development</w:t>
            </w:r>
          </w:p>
          <w:p w14:paraId="50F19409" w14:textId="781834DF"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 xml:space="preserve">Law law made the participation of </w:t>
            </w:r>
            <w:r w:rsidR="006E2C5E">
              <w:rPr>
                <w:rFonts w:ascii="TimesNewRoman" w:hAnsi="TimesNewRoman" w:cs="TimesNewRoman"/>
                <w:i/>
                <w:sz w:val="18"/>
                <w:szCs w:val="18"/>
              </w:rPr>
              <w:t>labour</w:t>
            </w:r>
            <w:r w:rsidRPr="00626DE2">
              <w:rPr>
                <w:rFonts w:ascii="TimesNewRoman" w:hAnsi="TimesNewRoman" w:cs="TimesNewRoman"/>
                <w:i/>
                <w:sz w:val="18"/>
                <w:szCs w:val="18"/>
              </w:rPr>
              <w:t xml:space="preserve"> and manage groups mandatory in the Basic Plan for Skills Development created by the</w:t>
            </w:r>
          </w:p>
          <w:p w14:paraId="5EC8EB0B" w14:textId="51EB7D2A"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 xml:space="preserve">Minister of </w:t>
            </w:r>
            <w:r w:rsidR="006E2C5E">
              <w:rPr>
                <w:rFonts w:ascii="TimesNewRoman" w:hAnsi="TimesNewRoman" w:cs="TimesNewRoman"/>
                <w:i/>
                <w:sz w:val="18"/>
                <w:szCs w:val="18"/>
              </w:rPr>
              <w:t>Labour</w:t>
            </w:r>
            <w:r w:rsidRPr="00626DE2">
              <w:rPr>
                <w:rFonts w:ascii="TimesNewRoman" w:hAnsi="TimesNewRoman" w:cs="TimesNewRoman"/>
                <w:i/>
                <w:sz w:val="18"/>
                <w:szCs w:val="18"/>
              </w:rPr>
              <w:t>, and provided preferential support for job training efforts</w:t>
            </w:r>
          </w:p>
          <w:p w14:paraId="5CEDF3AA"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that were implemented after discussion between employers and workers. In</w:t>
            </w:r>
          </w:p>
          <w:p w14:paraId="2FA9A576"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addition, all evaluations of skills development programs supported by the</w:t>
            </w:r>
          </w:p>
          <w:p w14:paraId="1A3D7E81" w14:textId="38BF861C"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 xml:space="preserve">Minister of </w:t>
            </w:r>
            <w:r w:rsidR="006E2C5E">
              <w:rPr>
                <w:rFonts w:ascii="TimesNewRoman" w:hAnsi="TimesNewRoman" w:cs="TimesNewRoman"/>
                <w:i/>
                <w:sz w:val="18"/>
                <w:szCs w:val="18"/>
              </w:rPr>
              <w:t>Labour</w:t>
            </w:r>
            <w:r w:rsidRPr="00626DE2">
              <w:rPr>
                <w:rFonts w:ascii="TimesNewRoman" w:hAnsi="TimesNewRoman" w:cs="TimesNewRoman"/>
                <w:i/>
                <w:sz w:val="18"/>
                <w:szCs w:val="18"/>
              </w:rPr>
              <w:t xml:space="preserve"> were systematized, providing differentiated support based on evaluation results created to shift from an input-based policy to a results-based</w:t>
            </w:r>
          </w:p>
          <w:p w14:paraId="442ADE26" w14:textId="77777777" w:rsidR="00540E9D" w:rsidRPr="00626DE2" w:rsidRDefault="00540E9D" w:rsidP="004D3D4C">
            <w:pPr>
              <w:keepNext/>
              <w:autoSpaceDE w:val="0"/>
              <w:autoSpaceDN w:val="0"/>
              <w:adjustRightInd w:val="0"/>
              <w:spacing w:line="276" w:lineRule="auto"/>
              <w:jc w:val="both"/>
              <w:rPr>
                <w:rFonts w:ascii="TimesNewRoman" w:hAnsi="TimesNewRoman" w:cs="TimesNewRoman"/>
                <w:i/>
                <w:sz w:val="18"/>
                <w:szCs w:val="18"/>
              </w:rPr>
            </w:pPr>
            <w:r w:rsidRPr="00626DE2">
              <w:rPr>
                <w:rFonts w:ascii="TimesNewRoman" w:hAnsi="TimesNewRoman" w:cs="TimesNewRoman"/>
                <w:i/>
                <w:sz w:val="18"/>
                <w:szCs w:val="18"/>
              </w:rPr>
              <w:t>policy.</w:t>
            </w:r>
          </w:p>
          <w:p w14:paraId="3B9935FD" w14:textId="77777777" w:rsidR="00540E9D" w:rsidRPr="00626DE2" w:rsidRDefault="00540E9D" w:rsidP="004D3D4C">
            <w:pPr>
              <w:keepNext/>
              <w:autoSpaceDE w:val="0"/>
              <w:autoSpaceDN w:val="0"/>
              <w:adjustRightInd w:val="0"/>
              <w:spacing w:line="276" w:lineRule="auto"/>
              <w:jc w:val="both"/>
              <w:rPr>
                <w:rFonts w:ascii="TimesNewRoman" w:hAnsi="TimesNewRoman" w:cs="TimesNewRoman"/>
                <w:sz w:val="18"/>
                <w:szCs w:val="18"/>
              </w:rPr>
            </w:pPr>
          </w:p>
        </w:tc>
      </w:tr>
    </w:tbl>
    <w:p w14:paraId="0AE571F0" w14:textId="5C10DA41" w:rsidR="00A3526D" w:rsidRPr="002C72B2" w:rsidRDefault="00540E9D" w:rsidP="00D408E8">
      <w:pPr>
        <w:keepNext/>
        <w:autoSpaceDE w:val="0"/>
        <w:autoSpaceDN w:val="0"/>
        <w:adjustRightInd w:val="0"/>
        <w:spacing w:after="0" w:line="240" w:lineRule="auto"/>
        <w:rPr>
          <w:rFonts w:ascii="Times New Roman" w:hAnsi="Times New Roman" w:cs="Times New Roman"/>
          <w:sz w:val="24"/>
          <w:szCs w:val="24"/>
        </w:rPr>
      </w:pPr>
      <w:r w:rsidRPr="00A70633">
        <w:rPr>
          <w:rFonts w:ascii="Times New Roman" w:hAnsi="Times New Roman" w:cs="Times New Roman"/>
          <w:sz w:val="20"/>
          <w:szCs w:val="20"/>
        </w:rPr>
        <w:t xml:space="preserve">Source: Adapted from Understanding Korean Educational Policy </w:t>
      </w:r>
      <w:r w:rsidRPr="00A70633">
        <w:rPr>
          <w:rFonts w:ascii="Times New Roman" w:hAnsi="Times New Roman" w:cs="Times New Roman"/>
          <w:b/>
          <w:bCs/>
          <w:sz w:val="20"/>
          <w:szCs w:val="20"/>
        </w:rPr>
        <w:t xml:space="preserve">Vol. 5 </w:t>
      </w:r>
      <w:r w:rsidRPr="00A70633">
        <w:rPr>
          <w:rFonts w:ascii="Times New Roman" w:hAnsi="Times New Roman" w:cs="Times New Roman"/>
          <w:sz w:val="20"/>
          <w:szCs w:val="20"/>
        </w:rPr>
        <w:t>Vocational Education and Training in the Process of In</w:t>
      </w:r>
      <w:bookmarkStart w:id="0" w:name="_GoBack"/>
      <w:bookmarkEnd w:id="0"/>
      <w:r w:rsidRPr="00A70633">
        <w:rPr>
          <w:rFonts w:ascii="Times New Roman" w:hAnsi="Times New Roman" w:cs="Times New Roman"/>
          <w:sz w:val="20"/>
          <w:szCs w:val="20"/>
        </w:rPr>
        <w:t>dustrialization, 2009</w:t>
      </w:r>
    </w:p>
    <w:sectPr w:rsidR="00A3526D" w:rsidRPr="002C72B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BCD15" w14:textId="77777777" w:rsidR="004054C8" w:rsidRDefault="004054C8" w:rsidP="00B353EA">
      <w:pPr>
        <w:spacing w:after="0" w:line="240" w:lineRule="auto"/>
      </w:pPr>
      <w:r>
        <w:separator/>
      </w:r>
    </w:p>
  </w:endnote>
  <w:endnote w:type="continuationSeparator" w:id="0">
    <w:p w14:paraId="08213785" w14:textId="77777777" w:rsidR="004054C8" w:rsidRDefault="004054C8" w:rsidP="00B3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ｹﾙﾅﾁ">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auto"/>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roid Serif">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610269"/>
      <w:docPartObj>
        <w:docPartGallery w:val="Page Numbers (Bottom of Page)"/>
        <w:docPartUnique/>
      </w:docPartObj>
    </w:sdtPr>
    <w:sdtEndPr>
      <w:rPr>
        <w:noProof/>
      </w:rPr>
    </w:sdtEndPr>
    <w:sdtContent>
      <w:p w14:paraId="57434F2A" w14:textId="77777777" w:rsidR="00B06AB2" w:rsidRDefault="00B06AB2">
        <w:pPr>
          <w:pStyle w:val="Footer"/>
          <w:jc w:val="right"/>
        </w:pPr>
        <w:r>
          <w:fldChar w:fldCharType="begin"/>
        </w:r>
        <w:r>
          <w:instrText xml:space="preserve"> PAGE   \* MERGEFORMAT </w:instrText>
        </w:r>
        <w:r>
          <w:fldChar w:fldCharType="separate"/>
        </w:r>
        <w:r w:rsidR="005166FF">
          <w:rPr>
            <w:noProof/>
          </w:rPr>
          <w:t>39</w:t>
        </w:r>
        <w:r>
          <w:rPr>
            <w:noProof/>
          </w:rPr>
          <w:fldChar w:fldCharType="end"/>
        </w:r>
      </w:p>
    </w:sdtContent>
  </w:sdt>
  <w:p w14:paraId="4C40F252" w14:textId="77777777" w:rsidR="00B06AB2" w:rsidRDefault="00B06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D4515" w14:textId="77777777" w:rsidR="004054C8" w:rsidRDefault="004054C8" w:rsidP="00B353EA">
      <w:pPr>
        <w:spacing w:after="0" w:line="240" w:lineRule="auto"/>
      </w:pPr>
      <w:r>
        <w:separator/>
      </w:r>
    </w:p>
  </w:footnote>
  <w:footnote w:type="continuationSeparator" w:id="0">
    <w:p w14:paraId="071FDC70" w14:textId="77777777" w:rsidR="004054C8" w:rsidRDefault="004054C8" w:rsidP="00B353EA">
      <w:pPr>
        <w:spacing w:after="0" w:line="240" w:lineRule="auto"/>
      </w:pPr>
      <w:r>
        <w:continuationSeparator/>
      </w:r>
    </w:p>
  </w:footnote>
  <w:footnote w:id="1">
    <w:p w14:paraId="42190A46" w14:textId="77777777" w:rsidR="00B06AB2" w:rsidRPr="009A3E34" w:rsidRDefault="00B06AB2" w:rsidP="00CE44E6">
      <w:pPr>
        <w:pStyle w:val="FootnoteText"/>
        <w:spacing w:after="240" w:line="240" w:lineRule="auto"/>
        <w:rPr>
          <w:sz w:val="20"/>
          <w:szCs w:val="20"/>
        </w:rPr>
      </w:pPr>
      <w:r w:rsidRPr="009A3E34">
        <w:rPr>
          <w:rStyle w:val="FootnoteReference"/>
          <w:sz w:val="20"/>
          <w:szCs w:val="20"/>
        </w:rPr>
        <w:footnoteRef/>
      </w:r>
      <w:r w:rsidRPr="009A3E34">
        <w:rPr>
          <w:sz w:val="20"/>
          <w:szCs w:val="20"/>
        </w:rPr>
        <w:t xml:space="preserve"> </w:t>
      </w:r>
      <w:r w:rsidRPr="009A3E34">
        <w:rPr>
          <w:rFonts w:ascii="Times New Roman" w:hAnsi="Times New Roman" w:cs="Times New Roman"/>
          <w:sz w:val="20"/>
          <w:szCs w:val="20"/>
        </w:rPr>
        <w:t>These authors evaluated the ability of school students to answer simple arithmetic problems, finding significant discrepancies between years of schooling and cognitive outcomes.</w:t>
      </w:r>
    </w:p>
  </w:footnote>
  <w:footnote w:id="2">
    <w:p w14:paraId="374CC563" w14:textId="16313875" w:rsidR="00B06AB2" w:rsidRPr="00D67863" w:rsidRDefault="00B06AB2" w:rsidP="00C25381">
      <w:pPr>
        <w:pStyle w:val="FootnoteText"/>
        <w:spacing w:after="240" w:line="240" w:lineRule="auto"/>
        <w:rPr>
          <w:rFonts w:ascii="Times New Roman" w:hAnsi="Times New Roman" w:cs="Times New Roman"/>
          <w:sz w:val="20"/>
          <w:szCs w:val="20"/>
        </w:rPr>
      </w:pPr>
      <w:r w:rsidRPr="00D67863">
        <w:rPr>
          <w:rStyle w:val="FootnoteReference"/>
          <w:rFonts w:ascii="Times New Roman" w:hAnsi="Times New Roman" w:cs="Times New Roman"/>
          <w:sz w:val="20"/>
          <w:szCs w:val="20"/>
        </w:rPr>
        <w:footnoteRef/>
      </w:r>
      <w:r w:rsidRPr="00D67863">
        <w:rPr>
          <w:rFonts w:ascii="Times New Roman" w:hAnsi="Times New Roman" w:cs="Times New Roman"/>
          <w:sz w:val="20"/>
          <w:szCs w:val="20"/>
        </w:rPr>
        <w:t xml:space="preserve"> This discussion is based on particular</w:t>
      </w:r>
      <w:r w:rsidR="00A515CC">
        <w:rPr>
          <w:rFonts w:ascii="Times New Roman" w:hAnsi="Times New Roman" w:cs="Times New Roman"/>
          <w:sz w:val="20"/>
          <w:szCs w:val="20"/>
        </w:rPr>
        <w:t>ly</w:t>
      </w:r>
      <w:r w:rsidRPr="00D67863">
        <w:rPr>
          <w:rFonts w:ascii="Times New Roman" w:hAnsi="Times New Roman" w:cs="Times New Roman"/>
          <w:sz w:val="20"/>
          <w:szCs w:val="20"/>
        </w:rPr>
        <w:t xml:space="preserve"> summarizing the </w:t>
      </w:r>
      <w:r w:rsidR="000C329C">
        <w:rPr>
          <w:rFonts w:ascii="Times New Roman" w:hAnsi="Times New Roman" w:cs="Times New Roman"/>
          <w:sz w:val="20"/>
          <w:szCs w:val="20"/>
        </w:rPr>
        <w:t xml:space="preserve">Chapter 11 </w:t>
      </w:r>
      <w:r w:rsidR="00CE44E6">
        <w:rPr>
          <w:rFonts w:ascii="Times New Roman" w:hAnsi="Times New Roman" w:cs="Times New Roman"/>
          <w:sz w:val="20"/>
          <w:szCs w:val="20"/>
        </w:rPr>
        <w:t>of the</w:t>
      </w:r>
      <w:r w:rsidR="000C329C">
        <w:rPr>
          <w:rFonts w:ascii="Times New Roman" w:hAnsi="Times New Roman" w:cs="Times New Roman"/>
          <w:sz w:val="20"/>
          <w:szCs w:val="20"/>
        </w:rPr>
        <w:t xml:space="preserve"> </w:t>
      </w:r>
      <w:r w:rsidRPr="00D67863">
        <w:rPr>
          <w:rFonts w:ascii="Times New Roman" w:hAnsi="Times New Roman" w:cs="Times New Roman"/>
          <w:sz w:val="20"/>
          <w:szCs w:val="20"/>
        </w:rPr>
        <w:t>7</w:t>
      </w:r>
      <w:r w:rsidRPr="00D67863">
        <w:rPr>
          <w:rFonts w:ascii="Times New Roman" w:hAnsi="Times New Roman" w:cs="Times New Roman"/>
          <w:sz w:val="20"/>
          <w:szCs w:val="20"/>
          <w:vertAlign w:val="superscript"/>
        </w:rPr>
        <w:t>th</w:t>
      </w:r>
      <w:r w:rsidRPr="00D67863">
        <w:rPr>
          <w:rFonts w:ascii="Times New Roman" w:hAnsi="Times New Roman" w:cs="Times New Roman"/>
          <w:sz w:val="20"/>
          <w:szCs w:val="20"/>
        </w:rPr>
        <w:t xml:space="preserve"> Five Year Plan </w:t>
      </w:r>
      <w:r w:rsidR="000C329C">
        <w:rPr>
          <w:rFonts w:ascii="Times New Roman" w:hAnsi="Times New Roman" w:cs="Times New Roman"/>
          <w:sz w:val="20"/>
          <w:szCs w:val="20"/>
        </w:rPr>
        <w:t>(</w:t>
      </w:r>
      <w:r w:rsidR="00A515CC">
        <w:rPr>
          <w:rFonts w:ascii="Times New Roman" w:hAnsi="Times New Roman" w:cs="Times New Roman"/>
          <w:sz w:val="20"/>
          <w:szCs w:val="20"/>
        </w:rPr>
        <w:t>SYFP 2015).</w:t>
      </w:r>
    </w:p>
  </w:footnote>
  <w:footnote w:id="3">
    <w:p w14:paraId="41875509" w14:textId="3551DC92" w:rsidR="005E0FCC" w:rsidRPr="005E0FCC" w:rsidRDefault="005E0FCC" w:rsidP="00C25381">
      <w:pPr>
        <w:pStyle w:val="FootnoteText"/>
        <w:spacing w:after="240" w:line="240" w:lineRule="auto"/>
        <w:jc w:val="both"/>
        <w:rPr>
          <w:rFonts w:ascii="Times New Roman" w:hAnsi="Times New Roman" w:cs="Times New Roman"/>
          <w:sz w:val="20"/>
          <w:szCs w:val="20"/>
        </w:rPr>
      </w:pPr>
      <w:r w:rsidRPr="005E0FCC">
        <w:rPr>
          <w:rStyle w:val="FootnoteReference"/>
          <w:rFonts w:ascii="Times New Roman" w:hAnsi="Times New Roman" w:cs="Times New Roman"/>
          <w:sz w:val="20"/>
          <w:szCs w:val="20"/>
        </w:rPr>
        <w:footnoteRef/>
      </w:r>
      <w:r w:rsidRPr="005E0FCC">
        <w:rPr>
          <w:rFonts w:ascii="Times New Roman" w:hAnsi="Times New Roman" w:cs="Times New Roman"/>
          <w:sz w:val="20"/>
          <w:szCs w:val="20"/>
        </w:rPr>
        <w:t xml:space="preserve"> Advanced education comprises short-cycle tertiary education such as a bachelor’s degree or   equivalent education level, a master’s degree or equivalent education level, or doctoral degree or equivalent education level; Intermediate education comprises upper secondary or post-secondary non tertiary education; Basic education comprises primary education or lower secondary education(according to International Standard Classification of Education 2011).</w:t>
      </w:r>
    </w:p>
  </w:footnote>
  <w:footnote w:id="4">
    <w:p w14:paraId="58A64D88" w14:textId="0F889151" w:rsidR="00B06AB2" w:rsidRPr="006C2299" w:rsidRDefault="00B06AB2" w:rsidP="00C25381">
      <w:pPr>
        <w:autoSpaceDE w:val="0"/>
        <w:autoSpaceDN w:val="0"/>
        <w:adjustRightInd w:val="0"/>
        <w:spacing w:after="240" w:line="240" w:lineRule="auto"/>
        <w:rPr>
          <w:rFonts w:ascii="Times New Roman" w:hAnsi="Times New Roman" w:cs="Times New Roman"/>
          <w:sz w:val="20"/>
          <w:szCs w:val="20"/>
        </w:rPr>
      </w:pPr>
      <w:r w:rsidRPr="006C2299">
        <w:rPr>
          <w:rStyle w:val="FootnoteReference"/>
          <w:rFonts w:ascii="Times New Roman" w:hAnsi="Times New Roman" w:cs="Times New Roman"/>
          <w:sz w:val="20"/>
          <w:szCs w:val="20"/>
        </w:rPr>
        <w:footnoteRef/>
      </w:r>
      <w:r w:rsidRPr="006C2299">
        <w:rPr>
          <w:rFonts w:ascii="Times New Roman" w:hAnsi="Times New Roman" w:cs="Times New Roman"/>
          <w:sz w:val="20"/>
          <w:szCs w:val="20"/>
        </w:rPr>
        <w:t xml:space="preserve"> The following discussion draws </w:t>
      </w:r>
      <w:r w:rsidR="000C329C" w:rsidRPr="006C2299">
        <w:rPr>
          <w:rFonts w:ascii="Times New Roman" w:hAnsi="Times New Roman" w:cs="Times New Roman"/>
          <w:sz w:val="20"/>
          <w:szCs w:val="20"/>
        </w:rPr>
        <w:t xml:space="preserve">on </w:t>
      </w:r>
      <w:r w:rsidR="000C329C" w:rsidRPr="006C2299">
        <w:rPr>
          <w:rFonts w:ascii="Times New Roman" w:hAnsi="Times New Roman" w:cs="Times New Roman"/>
          <w:sz w:val="20"/>
          <w:szCs w:val="20"/>
        </w:rPr>
        <w:t>U</w:t>
      </w:r>
      <w:r w:rsidR="000C329C" w:rsidRPr="006C2299">
        <w:rPr>
          <w:rFonts w:ascii="Times New Roman" w:hAnsi="Times New Roman" w:cs="Times New Roman"/>
          <w:sz w:val="20"/>
          <w:szCs w:val="20"/>
        </w:rPr>
        <w:t>nderstanding Korean Education</w:t>
      </w:r>
      <w:r w:rsidR="000C329C" w:rsidRPr="006C2299">
        <w:rPr>
          <w:rFonts w:ascii="Times New Roman" w:hAnsi="Times New Roman" w:cs="Times New Roman"/>
          <w:sz w:val="20"/>
          <w:szCs w:val="20"/>
        </w:rPr>
        <w:t xml:space="preserve"> </w:t>
      </w:r>
      <w:r w:rsidR="000C329C" w:rsidRPr="006C2299">
        <w:rPr>
          <w:rFonts w:ascii="Times New Roman" w:hAnsi="Times New Roman" w:cs="Times New Roman"/>
          <w:b/>
          <w:bCs/>
          <w:sz w:val="20"/>
          <w:szCs w:val="20"/>
        </w:rPr>
        <w:t xml:space="preserve">Vol. 5 </w:t>
      </w:r>
      <w:r w:rsidR="000C329C" w:rsidRPr="006C2299">
        <w:rPr>
          <w:rFonts w:ascii="Times New Roman" w:hAnsi="Times New Roman" w:cs="Times New Roman"/>
          <w:sz w:val="20"/>
          <w:szCs w:val="20"/>
        </w:rPr>
        <w:t xml:space="preserve"> Education and Korea's Development</w:t>
      </w:r>
      <w:r w:rsidR="006C2299">
        <w:rPr>
          <w:rFonts w:ascii="Times New Roman" w:hAnsi="Times New Roman" w:cs="Times New Roman"/>
          <w:sz w:val="20"/>
          <w:szCs w:val="20"/>
        </w:rPr>
        <w:t>, 2007, Korean Educational Development Institute</w:t>
      </w:r>
    </w:p>
  </w:footnote>
  <w:footnote w:id="5">
    <w:p w14:paraId="4F336D35" w14:textId="2B30FDB8" w:rsidR="000A6636" w:rsidRPr="000A6636" w:rsidRDefault="000A6636" w:rsidP="000A6636">
      <w:pPr>
        <w:pStyle w:val="FootnoteText"/>
        <w:rPr>
          <w:rFonts w:ascii="Times New Roman" w:hAnsi="Times New Roman" w:cs="Times New Roman"/>
          <w:sz w:val="20"/>
          <w:szCs w:val="20"/>
        </w:rPr>
      </w:pPr>
      <w:r w:rsidRPr="000A6636">
        <w:rPr>
          <w:rStyle w:val="FootnoteReference"/>
          <w:rFonts w:ascii="Times New Roman" w:hAnsi="Times New Roman" w:cs="Times New Roman"/>
          <w:sz w:val="20"/>
          <w:szCs w:val="20"/>
        </w:rPr>
        <w:footnoteRef/>
      </w:r>
      <w:r w:rsidRPr="000A6636">
        <w:rPr>
          <w:rFonts w:ascii="Times New Roman" w:hAnsi="Times New Roman" w:cs="Times New Roman"/>
          <w:sz w:val="20"/>
          <w:szCs w:val="20"/>
        </w:rPr>
        <w:t xml:space="preserve"> This paragraph is based on Ying</w:t>
      </w:r>
      <w:r w:rsidR="004464BE">
        <w:rPr>
          <w:rFonts w:ascii="Times New Roman" w:hAnsi="Times New Roman" w:cs="Times New Roman"/>
          <w:sz w:val="20"/>
          <w:szCs w:val="20"/>
        </w:rPr>
        <w:t xml:space="preserve"> </w:t>
      </w:r>
      <w:r w:rsidRPr="000A6636">
        <w:rPr>
          <w:rFonts w:ascii="Times New Roman" w:hAnsi="Times New Roman" w:cs="Times New Roman"/>
          <w:sz w:val="20"/>
          <w:szCs w:val="20"/>
        </w:rPr>
        <w:t>(2015)</w:t>
      </w:r>
      <w:r>
        <w:rPr>
          <w:rFonts w:ascii="Times New Roman" w:hAnsi="Times New Roman" w:cs="Times New Roman"/>
          <w:sz w:val="20"/>
          <w:szCs w:val="20"/>
        </w:rPr>
        <w:t>.</w:t>
      </w:r>
    </w:p>
  </w:footnote>
  <w:footnote w:id="6">
    <w:p w14:paraId="56710FE6" w14:textId="043423CA" w:rsidR="006C2299" w:rsidRPr="00C25381" w:rsidRDefault="006C2299" w:rsidP="00C25381">
      <w:pPr>
        <w:autoSpaceDE w:val="0"/>
        <w:autoSpaceDN w:val="0"/>
        <w:adjustRightInd w:val="0"/>
        <w:spacing w:after="240" w:line="240" w:lineRule="auto"/>
        <w:rPr>
          <w:rFonts w:ascii="Times New Roman" w:hAnsi="Times New Roman" w:cs="Times New Roman"/>
          <w:sz w:val="20"/>
          <w:szCs w:val="20"/>
        </w:rPr>
      </w:pPr>
      <w:r w:rsidRPr="00C25381">
        <w:rPr>
          <w:rStyle w:val="FootnoteReference"/>
          <w:rFonts w:ascii="Times New Roman" w:hAnsi="Times New Roman" w:cs="Times New Roman"/>
          <w:sz w:val="20"/>
          <w:szCs w:val="20"/>
        </w:rPr>
        <w:footnoteRef/>
      </w:r>
      <w:r w:rsidRPr="00C25381">
        <w:rPr>
          <w:rFonts w:ascii="Times New Roman" w:hAnsi="Times New Roman" w:cs="Times New Roman"/>
          <w:sz w:val="20"/>
          <w:szCs w:val="20"/>
        </w:rPr>
        <w:t xml:space="preserve"> See </w:t>
      </w:r>
      <w:r w:rsidRPr="00C25381">
        <w:rPr>
          <w:rFonts w:ascii="Times New Roman" w:hAnsi="Times New Roman" w:cs="Times New Roman"/>
          <w:sz w:val="20"/>
          <w:szCs w:val="20"/>
        </w:rPr>
        <w:t xml:space="preserve">Understanding Korean Educational Policy </w:t>
      </w:r>
      <w:r w:rsidRPr="00C25381">
        <w:rPr>
          <w:rFonts w:ascii="Times New Roman" w:hAnsi="Times New Roman" w:cs="Times New Roman"/>
          <w:bCs/>
          <w:sz w:val="20"/>
          <w:szCs w:val="20"/>
        </w:rPr>
        <w:t>Vol. 2</w:t>
      </w:r>
      <w:r w:rsidRPr="00C25381">
        <w:rPr>
          <w:rFonts w:ascii="Times New Roman" w:hAnsi="Times New Roman" w:cs="Times New Roman"/>
          <w:bCs/>
          <w:sz w:val="20"/>
          <w:szCs w:val="20"/>
        </w:rPr>
        <w:t xml:space="preserve"> </w:t>
      </w:r>
      <w:r w:rsidRPr="00C25381">
        <w:rPr>
          <w:rFonts w:ascii="Times New Roman" w:hAnsi="Times New Roman" w:cs="Times New Roman"/>
          <w:bCs/>
          <w:sz w:val="20"/>
          <w:szCs w:val="20"/>
        </w:rPr>
        <w:t>Universalization of Tertiary Education</w:t>
      </w:r>
      <w:r w:rsidRPr="00C25381">
        <w:rPr>
          <w:rFonts w:ascii="Times New Roman" w:hAnsi="Times New Roman" w:cs="Times New Roman"/>
          <w:bCs/>
          <w:sz w:val="20"/>
          <w:szCs w:val="20"/>
        </w:rPr>
        <w:t>, Korean Educational Development Institute</w:t>
      </w:r>
    </w:p>
  </w:footnote>
  <w:footnote w:id="7">
    <w:p w14:paraId="718DF0F4" w14:textId="09B86D52" w:rsidR="009F0CBB" w:rsidRDefault="009F0CBB" w:rsidP="00C25381">
      <w:pPr>
        <w:pStyle w:val="FootnoteText"/>
        <w:spacing w:after="240" w:line="240" w:lineRule="auto"/>
      </w:pPr>
      <w:r>
        <w:rPr>
          <w:rStyle w:val="FootnoteReference"/>
        </w:rPr>
        <w:footnoteRef/>
      </w:r>
      <w:r>
        <w:t xml:space="preserve"> </w:t>
      </w:r>
      <w:r w:rsidR="00C25381" w:rsidRPr="00C25381">
        <w:rPr>
          <w:rFonts w:ascii="Times New Roman" w:hAnsi="Times New Roman" w:cs="Times New Roman"/>
          <w:sz w:val="20"/>
          <w:szCs w:val="20"/>
        </w:rPr>
        <w:t xml:space="preserve">Source: Adapted from </w:t>
      </w:r>
      <w:r w:rsidR="00C25381" w:rsidRPr="00C25381">
        <w:rPr>
          <w:rFonts w:ascii="Times New Roman" w:hAnsi="Times New Roman" w:cs="Times New Roman"/>
          <w:sz w:val="20"/>
          <w:szCs w:val="20"/>
        </w:rPr>
        <w:t>Understanding Korean Education</w:t>
      </w:r>
      <w:r w:rsidR="00C25381" w:rsidRPr="00C25381">
        <w:rPr>
          <w:rFonts w:ascii="Times New Roman" w:hAnsi="Times New Roman" w:cs="Times New Roman"/>
          <w:sz w:val="20"/>
          <w:szCs w:val="20"/>
        </w:rPr>
        <w:t xml:space="preserve">al Policy </w:t>
      </w:r>
      <w:r w:rsidR="00C25381" w:rsidRPr="00C25381">
        <w:rPr>
          <w:rFonts w:ascii="Times New Roman" w:hAnsi="Times New Roman" w:cs="Times New Roman"/>
          <w:sz w:val="20"/>
          <w:szCs w:val="20"/>
        </w:rPr>
        <w:t xml:space="preserve"> </w:t>
      </w:r>
      <w:r w:rsidR="00C25381" w:rsidRPr="00C25381">
        <w:rPr>
          <w:rFonts w:ascii="Times New Roman" w:hAnsi="Times New Roman" w:cs="Times New Roman"/>
          <w:b/>
          <w:bCs/>
          <w:sz w:val="20"/>
          <w:szCs w:val="20"/>
        </w:rPr>
        <w:t xml:space="preserve">Vol. 5 </w:t>
      </w:r>
      <w:r w:rsidR="00C25381" w:rsidRPr="00C25381">
        <w:rPr>
          <w:rFonts w:ascii="Times New Roman" w:hAnsi="Times New Roman" w:cs="Times New Roman"/>
          <w:sz w:val="20"/>
          <w:szCs w:val="20"/>
        </w:rPr>
        <w:t xml:space="preserve"> </w:t>
      </w:r>
      <w:r w:rsidR="00C25381" w:rsidRPr="00C25381">
        <w:rPr>
          <w:rFonts w:ascii="Times New Roman" w:hAnsi="Times New Roman" w:cs="Times New Roman"/>
          <w:sz w:val="20"/>
          <w:szCs w:val="20"/>
        </w:rPr>
        <w:t xml:space="preserve">2009, </w:t>
      </w:r>
      <w:r w:rsidR="00C25381" w:rsidRPr="00C25381">
        <w:rPr>
          <w:rFonts w:ascii="Times New Roman" w:hAnsi="Times New Roman" w:cs="Times New Roman"/>
          <w:sz w:val="20"/>
          <w:szCs w:val="20"/>
        </w:rPr>
        <w:t>Korean Educational Development Institute</w:t>
      </w:r>
    </w:p>
  </w:footnote>
  <w:footnote w:id="8">
    <w:p w14:paraId="3A930E29" w14:textId="119B1FF8" w:rsidR="00B06AB2" w:rsidRPr="00C25381" w:rsidRDefault="00B06AB2" w:rsidP="00C25381">
      <w:pPr>
        <w:pStyle w:val="FootnoteText"/>
        <w:spacing w:after="240" w:line="240" w:lineRule="auto"/>
        <w:rPr>
          <w:rFonts w:ascii="Times New Roman" w:hAnsi="Times New Roman" w:cs="Times New Roman"/>
          <w:sz w:val="20"/>
          <w:szCs w:val="20"/>
        </w:rPr>
      </w:pPr>
      <w:r w:rsidRPr="00C25381">
        <w:rPr>
          <w:rStyle w:val="FootnoteReference"/>
          <w:rFonts w:ascii="Times New Roman" w:hAnsi="Times New Roman" w:cs="Times New Roman"/>
          <w:sz w:val="20"/>
          <w:szCs w:val="20"/>
        </w:rPr>
        <w:footnoteRef/>
      </w:r>
      <w:r w:rsidRPr="00C25381">
        <w:rPr>
          <w:rFonts w:ascii="Times New Roman" w:hAnsi="Times New Roman" w:cs="Times New Roman"/>
          <w:sz w:val="20"/>
          <w:szCs w:val="20"/>
        </w:rPr>
        <w:t xml:space="preserve"> The following paragraph draws on </w:t>
      </w:r>
      <w:r w:rsidR="000C329C" w:rsidRPr="00C25381">
        <w:rPr>
          <w:rFonts w:ascii="Times New Roman" w:hAnsi="Times New Roman" w:cs="Times New Roman"/>
          <w:sz w:val="20"/>
          <w:szCs w:val="20"/>
        </w:rPr>
        <w:t xml:space="preserve">Understanding Korean Educational Policy </w:t>
      </w:r>
      <w:r w:rsidR="000C329C" w:rsidRPr="00C25381">
        <w:rPr>
          <w:rFonts w:ascii="Times New Roman" w:hAnsi="Times New Roman" w:cs="Times New Roman"/>
          <w:b/>
          <w:bCs/>
          <w:sz w:val="20"/>
          <w:szCs w:val="20"/>
        </w:rPr>
        <w:t xml:space="preserve">Vol. 5 </w:t>
      </w:r>
      <w:r w:rsidR="000C329C" w:rsidRPr="00C25381">
        <w:rPr>
          <w:rFonts w:ascii="Times New Roman" w:hAnsi="Times New Roman" w:cs="Times New Roman"/>
          <w:sz w:val="20"/>
          <w:szCs w:val="20"/>
        </w:rPr>
        <w:t>Vocational Education and Training in the Process of Industrialization, 2009</w:t>
      </w:r>
      <w:r w:rsidR="00C25381">
        <w:rPr>
          <w:rFonts w:ascii="Times New Roman" w:hAnsi="Times New Roman" w:cs="Times New Roman"/>
          <w:sz w:val="20"/>
          <w:szCs w:val="20"/>
        </w:rPr>
        <w:t xml:space="preserve">, </w:t>
      </w:r>
      <w:r w:rsidR="00C25381">
        <w:rPr>
          <w:rFonts w:ascii="Times New Roman" w:hAnsi="Times New Roman" w:cs="Times New Roman"/>
          <w:sz w:val="20"/>
          <w:szCs w:val="20"/>
        </w:rPr>
        <w:t xml:space="preserve"> Korean Educational Development Institute</w:t>
      </w:r>
    </w:p>
  </w:footnote>
  <w:footnote w:id="9">
    <w:p w14:paraId="34E6DAA6" w14:textId="495DA53E" w:rsidR="00B06AB2" w:rsidRPr="004464BE" w:rsidRDefault="00B06AB2" w:rsidP="00C25381">
      <w:pPr>
        <w:pStyle w:val="FootnoteText"/>
        <w:spacing w:after="240" w:line="240" w:lineRule="auto"/>
        <w:rPr>
          <w:rFonts w:ascii="Times New Roman" w:hAnsi="Times New Roman" w:cs="Times New Roman"/>
          <w:sz w:val="20"/>
          <w:szCs w:val="20"/>
        </w:rPr>
      </w:pPr>
      <w:r w:rsidRPr="004464BE">
        <w:rPr>
          <w:rStyle w:val="FootnoteReference"/>
          <w:rFonts w:ascii="Times New Roman" w:hAnsi="Times New Roman" w:cs="Times New Roman"/>
          <w:sz w:val="20"/>
          <w:szCs w:val="20"/>
        </w:rPr>
        <w:footnoteRef/>
      </w:r>
      <w:r w:rsidRPr="004464BE">
        <w:rPr>
          <w:rFonts w:ascii="Times New Roman" w:hAnsi="Times New Roman" w:cs="Times New Roman"/>
          <w:sz w:val="20"/>
          <w:szCs w:val="20"/>
        </w:rPr>
        <w:t xml:space="preserve"> For summary of these policy changes on vocational education and training see Appendix. For detail review see </w:t>
      </w:r>
      <w:r w:rsidR="000C329C" w:rsidRPr="00A70633">
        <w:rPr>
          <w:rFonts w:ascii="Times New Roman" w:hAnsi="Times New Roman" w:cs="Times New Roman"/>
          <w:sz w:val="20"/>
          <w:szCs w:val="20"/>
        </w:rPr>
        <w:t xml:space="preserve">Understanding Korean Educational Policy </w:t>
      </w:r>
      <w:r w:rsidR="000C329C" w:rsidRPr="00A70633">
        <w:rPr>
          <w:rFonts w:ascii="Times New Roman" w:hAnsi="Times New Roman" w:cs="Times New Roman"/>
          <w:b/>
          <w:bCs/>
          <w:sz w:val="20"/>
          <w:szCs w:val="20"/>
        </w:rPr>
        <w:t xml:space="preserve">Vol. 5 </w:t>
      </w:r>
      <w:r w:rsidR="000C329C" w:rsidRPr="00A70633">
        <w:rPr>
          <w:rFonts w:ascii="Times New Roman" w:hAnsi="Times New Roman" w:cs="Times New Roman"/>
          <w:sz w:val="20"/>
          <w:szCs w:val="20"/>
        </w:rPr>
        <w:t>Vocational Education and Training in the Process of Industrialization, 2009</w:t>
      </w:r>
    </w:p>
  </w:footnote>
  <w:footnote w:id="10">
    <w:p w14:paraId="70583C91" w14:textId="15CB87A7" w:rsidR="00B06AB2" w:rsidRDefault="00B06AB2" w:rsidP="00C25381">
      <w:pPr>
        <w:pStyle w:val="FootnoteText"/>
        <w:spacing w:after="240" w:line="240" w:lineRule="auto"/>
      </w:pPr>
      <w:r w:rsidRPr="004464BE">
        <w:rPr>
          <w:rStyle w:val="FootnoteReference"/>
          <w:rFonts w:ascii="Times New Roman" w:hAnsi="Times New Roman" w:cs="Times New Roman"/>
          <w:sz w:val="20"/>
          <w:szCs w:val="20"/>
        </w:rPr>
        <w:footnoteRef/>
      </w:r>
      <w:r w:rsidRPr="004464BE">
        <w:rPr>
          <w:rFonts w:ascii="Times New Roman" w:hAnsi="Times New Roman" w:cs="Times New Roman"/>
          <w:sz w:val="20"/>
          <w:szCs w:val="20"/>
        </w:rPr>
        <w:t xml:space="preserve"> The following discussion draws on Understanding Korean Educational Policy </w:t>
      </w:r>
      <w:r w:rsidRPr="004464BE">
        <w:rPr>
          <w:rFonts w:ascii="Times New Roman" w:hAnsi="Times New Roman" w:cs="Times New Roman"/>
          <w:bCs/>
          <w:sz w:val="20"/>
          <w:szCs w:val="20"/>
        </w:rPr>
        <w:t>Vol. 6, Informatization</w:t>
      </w:r>
      <w:r w:rsidRPr="004464BE">
        <w:rPr>
          <w:rFonts w:ascii="Times New Roman" w:hAnsi="Times New Roman" w:cs="Times New Roman"/>
          <w:sz w:val="20"/>
          <w:szCs w:val="20"/>
        </w:rPr>
        <w:t xml:space="preserve"> of Education: ICT Use in Education, Korean Development Institute.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0031A" w14:textId="14A0582E" w:rsidR="00B06AB2" w:rsidRDefault="00B06AB2" w:rsidP="00784837">
    <w:pPr>
      <w:spacing w:after="0" w:line="240" w:lineRule="auto"/>
      <w:jc w:val="center"/>
      <w:rPr>
        <w:b/>
        <w:sz w:val="24"/>
        <w:szCs w:val="24"/>
      </w:rPr>
    </w:pPr>
    <w:r>
      <w:rPr>
        <w:b/>
        <w:sz w:val="24"/>
        <w:szCs w:val="24"/>
      </w:rPr>
      <w:t>[</w:t>
    </w:r>
    <w:r w:rsidR="00591BC4">
      <w:rPr>
        <w:b/>
        <w:sz w:val="24"/>
        <w:szCs w:val="24"/>
      </w:rPr>
      <w:t xml:space="preserve">Final Draft: </w:t>
    </w:r>
    <w:r w:rsidR="000C329C">
      <w:rPr>
        <w:b/>
        <w:sz w:val="24"/>
        <w:szCs w:val="24"/>
      </w:rPr>
      <w:t>Please d</w:t>
    </w:r>
    <w:r>
      <w:rPr>
        <w:b/>
        <w:sz w:val="24"/>
        <w:szCs w:val="24"/>
      </w:rPr>
      <w:t>o not cite</w:t>
    </w:r>
    <w:r w:rsidR="00591BC4">
      <w:rPr>
        <w:b/>
        <w:sz w:val="24"/>
        <w:szCs w:val="24"/>
      </w:rPr>
      <w:t xml:space="preserve"> without permission</w:t>
    </w:r>
    <w:r>
      <w:rPr>
        <w:b/>
        <w:sz w:val="24"/>
        <w:szCs w:val="24"/>
      </w:rPr>
      <w:t>]</w:t>
    </w:r>
  </w:p>
  <w:p w14:paraId="5A2E5D8A" w14:textId="684E0F4F" w:rsidR="00B06AB2" w:rsidRDefault="00B06A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A0B"/>
    <w:multiLevelType w:val="hybridMultilevel"/>
    <w:tmpl w:val="5260C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7697D"/>
    <w:multiLevelType w:val="hybridMultilevel"/>
    <w:tmpl w:val="5A980FE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456"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
    <w:nsid w:val="13D17DBC"/>
    <w:multiLevelType w:val="hybridMultilevel"/>
    <w:tmpl w:val="F3E2C432"/>
    <w:lvl w:ilvl="0" w:tplc="D402EDA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19F27EE6"/>
    <w:multiLevelType w:val="hybridMultilevel"/>
    <w:tmpl w:val="86EC895A"/>
    <w:lvl w:ilvl="0" w:tplc="CB0291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9FC128F"/>
    <w:multiLevelType w:val="hybridMultilevel"/>
    <w:tmpl w:val="40CA13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DC0B93"/>
    <w:multiLevelType w:val="hybridMultilevel"/>
    <w:tmpl w:val="BAD28550"/>
    <w:lvl w:ilvl="0" w:tplc="04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A47197"/>
    <w:multiLevelType w:val="hybridMultilevel"/>
    <w:tmpl w:val="FDBE03AA"/>
    <w:lvl w:ilvl="0" w:tplc="8DA69F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DE43A5"/>
    <w:multiLevelType w:val="hybridMultilevel"/>
    <w:tmpl w:val="C8DE60A4"/>
    <w:lvl w:ilvl="0" w:tplc="E8242FBA">
      <w:start w:val="1"/>
      <w:numFmt w:val="bullet"/>
      <w:lvlText w:val="•"/>
      <w:lvlJc w:val="left"/>
      <w:pPr>
        <w:tabs>
          <w:tab w:val="num" w:pos="720"/>
        </w:tabs>
        <w:ind w:left="720" w:hanging="360"/>
      </w:pPr>
      <w:rPr>
        <w:rFonts w:ascii="Arial" w:hAnsi="Arial" w:hint="default"/>
      </w:rPr>
    </w:lvl>
    <w:lvl w:ilvl="1" w:tplc="66AE93FA">
      <w:start w:val="1271"/>
      <w:numFmt w:val="bullet"/>
      <w:lvlText w:val="•"/>
      <w:lvlJc w:val="left"/>
      <w:pPr>
        <w:tabs>
          <w:tab w:val="num" w:pos="1440"/>
        </w:tabs>
        <w:ind w:left="1440" w:hanging="360"/>
      </w:pPr>
      <w:rPr>
        <w:rFonts w:ascii="Arial" w:hAnsi="Arial" w:hint="default"/>
      </w:rPr>
    </w:lvl>
    <w:lvl w:ilvl="2" w:tplc="626C5520" w:tentative="1">
      <w:start w:val="1"/>
      <w:numFmt w:val="bullet"/>
      <w:lvlText w:val="•"/>
      <w:lvlJc w:val="left"/>
      <w:pPr>
        <w:tabs>
          <w:tab w:val="num" w:pos="2160"/>
        </w:tabs>
        <w:ind w:left="2160" w:hanging="360"/>
      </w:pPr>
      <w:rPr>
        <w:rFonts w:ascii="Arial" w:hAnsi="Arial" w:hint="default"/>
      </w:rPr>
    </w:lvl>
    <w:lvl w:ilvl="3" w:tplc="13366DAE" w:tentative="1">
      <w:start w:val="1"/>
      <w:numFmt w:val="bullet"/>
      <w:lvlText w:val="•"/>
      <w:lvlJc w:val="left"/>
      <w:pPr>
        <w:tabs>
          <w:tab w:val="num" w:pos="2880"/>
        </w:tabs>
        <w:ind w:left="2880" w:hanging="360"/>
      </w:pPr>
      <w:rPr>
        <w:rFonts w:ascii="Arial" w:hAnsi="Arial" w:hint="default"/>
      </w:rPr>
    </w:lvl>
    <w:lvl w:ilvl="4" w:tplc="4662B3F6" w:tentative="1">
      <w:start w:val="1"/>
      <w:numFmt w:val="bullet"/>
      <w:lvlText w:val="•"/>
      <w:lvlJc w:val="left"/>
      <w:pPr>
        <w:tabs>
          <w:tab w:val="num" w:pos="3600"/>
        </w:tabs>
        <w:ind w:left="3600" w:hanging="360"/>
      </w:pPr>
      <w:rPr>
        <w:rFonts w:ascii="Arial" w:hAnsi="Arial" w:hint="default"/>
      </w:rPr>
    </w:lvl>
    <w:lvl w:ilvl="5" w:tplc="87AA0AE2" w:tentative="1">
      <w:start w:val="1"/>
      <w:numFmt w:val="bullet"/>
      <w:lvlText w:val="•"/>
      <w:lvlJc w:val="left"/>
      <w:pPr>
        <w:tabs>
          <w:tab w:val="num" w:pos="4320"/>
        </w:tabs>
        <w:ind w:left="4320" w:hanging="360"/>
      </w:pPr>
      <w:rPr>
        <w:rFonts w:ascii="Arial" w:hAnsi="Arial" w:hint="default"/>
      </w:rPr>
    </w:lvl>
    <w:lvl w:ilvl="6" w:tplc="E264DC2C" w:tentative="1">
      <w:start w:val="1"/>
      <w:numFmt w:val="bullet"/>
      <w:lvlText w:val="•"/>
      <w:lvlJc w:val="left"/>
      <w:pPr>
        <w:tabs>
          <w:tab w:val="num" w:pos="5040"/>
        </w:tabs>
        <w:ind w:left="5040" w:hanging="360"/>
      </w:pPr>
      <w:rPr>
        <w:rFonts w:ascii="Arial" w:hAnsi="Arial" w:hint="default"/>
      </w:rPr>
    </w:lvl>
    <w:lvl w:ilvl="7" w:tplc="FF1A4C46" w:tentative="1">
      <w:start w:val="1"/>
      <w:numFmt w:val="bullet"/>
      <w:lvlText w:val="•"/>
      <w:lvlJc w:val="left"/>
      <w:pPr>
        <w:tabs>
          <w:tab w:val="num" w:pos="5760"/>
        </w:tabs>
        <w:ind w:left="5760" w:hanging="360"/>
      </w:pPr>
      <w:rPr>
        <w:rFonts w:ascii="Arial" w:hAnsi="Arial" w:hint="default"/>
      </w:rPr>
    </w:lvl>
    <w:lvl w:ilvl="8" w:tplc="7488E1D8" w:tentative="1">
      <w:start w:val="1"/>
      <w:numFmt w:val="bullet"/>
      <w:lvlText w:val="•"/>
      <w:lvlJc w:val="left"/>
      <w:pPr>
        <w:tabs>
          <w:tab w:val="num" w:pos="6480"/>
        </w:tabs>
        <w:ind w:left="6480" w:hanging="360"/>
      </w:pPr>
      <w:rPr>
        <w:rFonts w:ascii="Arial" w:hAnsi="Arial" w:hint="default"/>
      </w:rPr>
    </w:lvl>
  </w:abstractNum>
  <w:abstractNum w:abstractNumId="8">
    <w:nsid w:val="29B24A08"/>
    <w:multiLevelType w:val="hybridMultilevel"/>
    <w:tmpl w:val="624A21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BE5606"/>
    <w:multiLevelType w:val="hybridMultilevel"/>
    <w:tmpl w:val="D26C352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BF66ED"/>
    <w:multiLevelType w:val="multilevel"/>
    <w:tmpl w:val="0E82E650"/>
    <w:lvl w:ilvl="0">
      <w:start w:val="1"/>
      <w:numFmt w:val="decimal"/>
      <w:lvlText w:val="%1."/>
      <w:lvlJc w:val="left"/>
      <w:pPr>
        <w:ind w:left="360" w:hanging="360"/>
      </w:pPr>
      <w:rPr>
        <w:rFonts w:hint="default"/>
      </w:rPr>
    </w:lvl>
    <w:lvl w:ilvl="1">
      <w:start w:val="5"/>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F8A6CF3"/>
    <w:multiLevelType w:val="hybridMultilevel"/>
    <w:tmpl w:val="C7E2A8B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0D5DEE"/>
    <w:multiLevelType w:val="multilevel"/>
    <w:tmpl w:val="7246645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6F796B"/>
    <w:multiLevelType w:val="hybridMultilevel"/>
    <w:tmpl w:val="8F622FD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48A3CEF"/>
    <w:multiLevelType w:val="hybridMultilevel"/>
    <w:tmpl w:val="89143E9A"/>
    <w:lvl w:ilvl="0" w:tplc="04090001">
      <w:start w:val="1"/>
      <w:numFmt w:val="bullet"/>
      <w:lvlText w:val=""/>
      <w:lvlJc w:val="left"/>
      <w:pPr>
        <w:ind w:left="450" w:hanging="360"/>
      </w:pPr>
      <w:rPr>
        <w:rFonts w:ascii="Symbol" w:hAnsi="Symbol" w:hint="default"/>
      </w:rPr>
    </w:lvl>
    <w:lvl w:ilvl="1" w:tplc="287C723C">
      <w:start w:val="8"/>
      <w:numFmt w:val="bullet"/>
      <w:lvlText w:val="•"/>
      <w:lvlJc w:val="left"/>
      <w:pPr>
        <w:ind w:left="450" w:hanging="360"/>
      </w:pPr>
      <w:rPr>
        <w:rFonts w:ascii="Times New Roman" w:eastAsia="ｹﾙﾅﾁ" w:hAnsi="Times New Roman" w:cs="Times New Roman"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5">
    <w:nsid w:val="3BF27A08"/>
    <w:multiLevelType w:val="hybridMultilevel"/>
    <w:tmpl w:val="998E7D9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5225A22"/>
    <w:multiLevelType w:val="hybridMultilevel"/>
    <w:tmpl w:val="7A5A458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5F10E6"/>
    <w:multiLevelType w:val="hybridMultilevel"/>
    <w:tmpl w:val="56E4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AD7C32"/>
    <w:multiLevelType w:val="hybridMultilevel"/>
    <w:tmpl w:val="D6DC6836"/>
    <w:lvl w:ilvl="0" w:tplc="04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BD3001"/>
    <w:multiLevelType w:val="hybridMultilevel"/>
    <w:tmpl w:val="8ACAE498"/>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0">
    <w:nsid w:val="5ED73A1B"/>
    <w:multiLevelType w:val="hybridMultilevel"/>
    <w:tmpl w:val="DBB8D300"/>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1">
    <w:nsid w:val="60E87696"/>
    <w:multiLevelType w:val="multilevel"/>
    <w:tmpl w:val="6E8E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2B03EB3"/>
    <w:multiLevelType w:val="hybridMultilevel"/>
    <w:tmpl w:val="7DF219B0"/>
    <w:lvl w:ilvl="0" w:tplc="0809000F">
      <w:start w:val="8"/>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3">
    <w:nsid w:val="66674FEE"/>
    <w:multiLevelType w:val="multilevel"/>
    <w:tmpl w:val="23EEBD24"/>
    <w:lvl w:ilvl="0">
      <w:start w:val="6"/>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4">
    <w:nsid w:val="672E0BF9"/>
    <w:multiLevelType w:val="hybridMultilevel"/>
    <w:tmpl w:val="21B0DDE6"/>
    <w:lvl w:ilvl="0" w:tplc="8DA69F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195784"/>
    <w:multiLevelType w:val="hybridMultilevel"/>
    <w:tmpl w:val="1AA6CB76"/>
    <w:lvl w:ilvl="0" w:tplc="08090011">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6">
    <w:nsid w:val="6B124E83"/>
    <w:multiLevelType w:val="hybridMultilevel"/>
    <w:tmpl w:val="790C22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C2C2312"/>
    <w:multiLevelType w:val="hybridMultilevel"/>
    <w:tmpl w:val="5A18D214"/>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C764636"/>
    <w:multiLevelType w:val="hybridMultilevel"/>
    <w:tmpl w:val="993277A2"/>
    <w:lvl w:ilvl="0" w:tplc="19E0030E">
      <w:start w:val="1"/>
      <w:numFmt w:val="bullet"/>
      <w:lvlText w:val="•"/>
      <w:lvlJc w:val="left"/>
      <w:pPr>
        <w:tabs>
          <w:tab w:val="num" w:pos="720"/>
        </w:tabs>
        <w:ind w:left="720" w:hanging="360"/>
      </w:pPr>
      <w:rPr>
        <w:rFonts w:ascii="Arial" w:hAnsi="Arial" w:hint="default"/>
      </w:rPr>
    </w:lvl>
    <w:lvl w:ilvl="1" w:tplc="6F5EF10E">
      <w:start w:val="1271"/>
      <w:numFmt w:val="bullet"/>
      <w:lvlText w:val="•"/>
      <w:lvlJc w:val="left"/>
      <w:pPr>
        <w:tabs>
          <w:tab w:val="num" w:pos="1440"/>
        </w:tabs>
        <w:ind w:left="1440" w:hanging="360"/>
      </w:pPr>
      <w:rPr>
        <w:rFonts w:ascii="Arial" w:hAnsi="Arial" w:hint="default"/>
      </w:rPr>
    </w:lvl>
    <w:lvl w:ilvl="2" w:tplc="4D9489BC" w:tentative="1">
      <w:start w:val="1"/>
      <w:numFmt w:val="bullet"/>
      <w:lvlText w:val="•"/>
      <w:lvlJc w:val="left"/>
      <w:pPr>
        <w:tabs>
          <w:tab w:val="num" w:pos="2160"/>
        </w:tabs>
        <w:ind w:left="2160" w:hanging="360"/>
      </w:pPr>
      <w:rPr>
        <w:rFonts w:ascii="Arial" w:hAnsi="Arial" w:hint="default"/>
      </w:rPr>
    </w:lvl>
    <w:lvl w:ilvl="3" w:tplc="6B1809CA" w:tentative="1">
      <w:start w:val="1"/>
      <w:numFmt w:val="bullet"/>
      <w:lvlText w:val="•"/>
      <w:lvlJc w:val="left"/>
      <w:pPr>
        <w:tabs>
          <w:tab w:val="num" w:pos="2880"/>
        </w:tabs>
        <w:ind w:left="2880" w:hanging="360"/>
      </w:pPr>
      <w:rPr>
        <w:rFonts w:ascii="Arial" w:hAnsi="Arial" w:hint="default"/>
      </w:rPr>
    </w:lvl>
    <w:lvl w:ilvl="4" w:tplc="0706E930" w:tentative="1">
      <w:start w:val="1"/>
      <w:numFmt w:val="bullet"/>
      <w:lvlText w:val="•"/>
      <w:lvlJc w:val="left"/>
      <w:pPr>
        <w:tabs>
          <w:tab w:val="num" w:pos="3600"/>
        </w:tabs>
        <w:ind w:left="3600" w:hanging="360"/>
      </w:pPr>
      <w:rPr>
        <w:rFonts w:ascii="Arial" w:hAnsi="Arial" w:hint="default"/>
      </w:rPr>
    </w:lvl>
    <w:lvl w:ilvl="5" w:tplc="58C25F66" w:tentative="1">
      <w:start w:val="1"/>
      <w:numFmt w:val="bullet"/>
      <w:lvlText w:val="•"/>
      <w:lvlJc w:val="left"/>
      <w:pPr>
        <w:tabs>
          <w:tab w:val="num" w:pos="4320"/>
        </w:tabs>
        <w:ind w:left="4320" w:hanging="360"/>
      </w:pPr>
      <w:rPr>
        <w:rFonts w:ascii="Arial" w:hAnsi="Arial" w:hint="default"/>
      </w:rPr>
    </w:lvl>
    <w:lvl w:ilvl="6" w:tplc="3A7AE088" w:tentative="1">
      <w:start w:val="1"/>
      <w:numFmt w:val="bullet"/>
      <w:lvlText w:val="•"/>
      <w:lvlJc w:val="left"/>
      <w:pPr>
        <w:tabs>
          <w:tab w:val="num" w:pos="5040"/>
        </w:tabs>
        <w:ind w:left="5040" w:hanging="360"/>
      </w:pPr>
      <w:rPr>
        <w:rFonts w:ascii="Arial" w:hAnsi="Arial" w:hint="default"/>
      </w:rPr>
    </w:lvl>
    <w:lvl w:ilvl="7" w:tplc="69766584" w:tentative="1">
      <w:start w:val="1"/>
      <w:numFmt w:val="bullet"/>
      <w:lvlText w:val="•"/>
      <w:lvlJc w:val="left"/>
      <w:pPr>
        <w:tabs>
          <w:tab w:val="num" w:pos="5760"/>
        </w:tabs>
        <w:ind w:left="5760" w:hanging="360"/>
      </w:pPr>
      <w:rPr>
        <w:rFonts w:ascii="Arial" w:hAnsi="Arial" w:hint="default"/>
      </w:rPr>
    </w:lvl>
    <w:lvl w:ilvl="8" w:tplc="139C9B82" w:tentative="1">
      <w:start w:val="1"/>
      <w:numFmt w:val="bullet"/>
      <w:lvlText w:val="•"/>
      <w:lvlJc w:val="left"/>
      <w:pPr>
        <w:tabs>
          <w:tab w:val="num" w:pos="6480"/>
        </w:tabs>
        <w:ind w:left="6480" w:hanging="360"/>
      </w:pPr>
      <w:rPr>
        <w:rFonts w:ascii="Arial" w:hAnsi="Arial" w:hint="default"/>
      </w:rPr>
    </w:lvl>
  </w:abstractNum>
  <w:abstractNum w:abstractNumId="29">
    <w:nsid w:val="7025064B"/>
    <w:multiLevelType w:val="hybridMultilevel"/>
    <w:tmpl w:val="0A22FC72"/>
    <w:lvl w:ilvl="0" w:tplc="DEFE4F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652EE0"/>
    <w:multiLevelType w:val="hybridMultilevel"/>
    <w:tmpl w:val="4962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8C53E7"/>
    <w:multiLevelType w:val="hybridMultilevel"/>
    <w:tmpl w:val="2B8AD9A4"/>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2">
    <w:nsid w:val="75CF4D88"/>
    <w:multiLevelType w:val="hybridMultilevel"/>
    <w:tmpl w:val="31C47FF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7A125FC"/>
    <w:multiLevelType w:val="hybridMultilevel"/>
    <w:tmpl w:val="C0202FAC"/>
    <w:lvl w:ilvl="0" w:tplc="04090017">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4">
    <w:nsid w:val="7841237E"/>
    <w:multiLevelType w:val="hybridMultilevel"/>
    <w:tmpl w:val="C3540EFE"/>
    <w:lvl w:ilvl="0" w:tplc="8DA69FF0">
      <w:start w:val="1"/>
      <w:numFmt w:val="bullet"/>
      <w:lvlText w:val="•"/>
      <w:lvlJc w:val="left"/>
      <w:pPr>
        <w:tabs>
          <w:tab w:val="num" w:pos="720"/>
        </w:tabs>
        <w:ind w:left="720" w:hanging="360"/>
      </w:pPr>
      <w:rPr>
        <w:rFonts w:ascii="Arial" w:hAnsi="Arial" w:hint="default"/>
      </w:rPr>
    </w:lvl>
    <w:lvl w:ilvl="1" w:tplc="25E62FB2">
      <w:start w:val="76"/>
      <w:numFmt w:val="bullet"/>
      <w:lvlText w:val="•"/>
      <w:lvlJc w:val="left"/>
      <w:pPr>
        <w:tabs>
          <w:tab w:val="num" w:pos="1440"/>
        </w:tabs>
        <w:ind w:left="1440" w:hanging="360"/>
      </w:pPr>
      <w:rPr>
        <w:rFonts w:ascii="Arial" w:hAnsi="Arial" w:hint="default"/>
      </w:rPr>
    </w:lvl>
    <w:lvl w:ilvl="2" w:tplc="3E9E9F72" w:tentative="1">
      <w:start w:val="1"/>
      <w:numFmt w:val="bullet"/>
      <w:lvlText w:val="•"/>
      <w:lvlJc w:val="left"/>
      <w:pPr>
        <w:tabs>
          <w:tab w:val="num" w:pos="2160"/>
        </w:tabs>
        <w:ind w:left="2160" w:hanging="360"/>
      </w:pPr>
      <w:rPr>
        <w:rFonts w:ascii="Arial" w:hAnsi="Arial" w:hint="default"/>
      </w:rPr>
    </w:lvl>
    <w:lvl w:ilvl="3" w:tplc="4782D900" w:tentative="1">
      <w:start w:val="1"/>
      <w:numFmt w:val="bullet"/>
      <w:lvlText w:val="•"/>
      <w:lvlJc w:val="left"/>
      <w:pPr>
        <w:tabs>
          <w:tab w:val="num" w:pos="2880"/>
        </w:tabs>
        <w:ind w:left="2880" w:hanging="360"/>
      </w:pPr>
      <w:rPr>
        <w:rFonts w:ascii="Arial" w:hAnsi="Arial" w:hint="default"/>
      </w:rPr>
    </w:lvl>
    <w:lvl w:ilvl="4" w:tplc="75E8CE22" w:tentative="1">
      <w:start w:val="1"/>
      <w:numFmt w:val="bullet"/>
      <w:lvlText w:val="•"/>
      <w:lvlJc w:val="left"/>
      <w:pPr>
        <w:tabs>
          <w:tab w:val="num" w:pos="3600"/>
        </w:tabs>
        <w:ind w:left="3600" w:hanging="360"/>
      </w:pPr>
      <w:rPr>
        <w:rFonts w:ascii="Arial" w:hAnsi="Arial" w:hint="default"/>
      </w:rPr>
    </w:lvl>
    <w:lvl w:ilvl="5" w:tplc="915CDFF6" w:tentative="1">
      <w:start w:val="1"/>
      <w:numFmt w:val="bullet"/>
      <w:lvlText w:val="•"/>
      <w:lvlJc w:val="left"/>
      <w:pPr>
        <w:tabs>
          <w:tab w:val="num" w:pos="4320"/>
        </w:tabs>
        <w:ind w:left="4320" w:hanging="360"/>
      </w:pPr>
      <w:rPr>
        <w:rFonts w:ascii="Arial" w:hAnsi="Arial" w:hint="default"/>
      </w:rPr>
    </w:lvl>
    <w:lvl w:ilvl="6" w:tplc="5FCEE568" w:tentative="1">
      <w:start w:val="1"/>
      <w:numFmt w:val="bullet"/>
      <w:lvlText w:val="•"/>
      <w:lvlJc w:val="left"/>
      <w:pPr>
        <w:tabs>
          <w:tab w:val="num" w:pos="5040"/>
        </w:tabs>
        <w:ind w:left="5040" w:hanging="360"/>
      </w:pPr>
      <w:rPr>
        <w:rFonts w:ascii="Arial" w:hAnsi="Arial" w:hint="default"/>
      </w:rPr>
    </w:lvl>
    <w:lvl w:ilvl="7" w:tplc="75E8E85E" w:tentative="1">
      <w:start w:val="1"/>
      <w:numFmt w:val="bullet"/>
      <w:lvlText w:val="•"/>
      <w:lvlJc w:val="left"/>
      <w:pPr>
        <w:tabs>
          <w:tab w:val="num" w:pos="5760"/>
        </w:tabs>
        <w:ind w:left="5760" w:hanging="360"/>
      </w:pPr>
      <w:rPr>
        <w:rFonts w:ascii="Arial" w:hAnsi="Arial" w:hint="default"/>
      </w:rPr>
    </w:lvl>
    <w:lvl w:ilvl="8" w:tplc="257EBF68" w:tentative="1">
      <w:start w:val="1"/>
      <w:numFmt w:val="bullet"/>
      <w:lvlText w:val="•"/>
      <w:lvlJc w:val="left"/>
      <w:pPr>
        <w:tabs>
          <w:tab w:val="num" w:pos="6480"/>
        </w:tabs>
        <w:ind w:left="6480" w:hanging="360"/>
      </w:pPr>
      <w:rPr>
        <w:rFonts w:ascii="Arial" w:hAnsi="Arial" w:hint="default"/>
      </w:rPr>
    </w:lvl>
  </w:abstractNum>
  <w:abstractNum w:abstractNumId="35">
    <w:nsid w:val="7AB241BD"/>
    <w:multiLevelType w:val="hybridMultilevel"/>
    <w:tmpl w:val="E37A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D02171"/>
    <w:multiLevelType w:val="hybridMultilevel"/>
    <w:tmpl w:val="26FAC80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35"/>
  </w:num>
  <w:num w:numId="3">
    <w:abstractNumId w:val="30"/>
  </w:num>
  <w:num w:numId="4">
    <w:abstractNumId w:val="0"/>
  </w:num>
  <w:num w:numId="5">
    <w:abstractNumId w:val="17"/>
  </w:num>
  <w:num w:numId="6">
    <w:abstractNumId w:val="7"/>
  </w:num>
  <w:num w:numId="7">
    <w:abstractNumId w:val="28"/>
  </w:num>
  <w:num w:numId="8">
    <w:abstractNumId w:val="10"/>
  </w:num>
  <w:num w:numId="9">
    <w:abstractNumId w:val="8"/>
  </w:num>
  <w:num w:numId="10">
    <w:abstractNumId w:val="11"/>
  </w:num>
  <w:num w:numId="11">
    <w:abstractNumId w:val="5"/>
  </w:num>
  <w:num w:numId="12">
    <w:abstractNumId w:val="23"/>
  </w:num>
  <w:num w:numId="13">
    <w:abstractNumId w:val="12"/>
  </w:num>
  <w:num w:numId="14">
    <w:abstractNumId w:val="22"/>
  </w:num>
  <w:num w:numId="15">
    <w:abstractNumId w:val="25"/>
  </w:num>
  <w:num w:numId="16">
    <w:abstractNumId w:val="3"/>
  </w:num>
  <w:num w:numId="17">
    <w:abstractNumId w:val="26"/>
  </w:num>
  <w:num w:numId="18">
    <w:abstractNumId w:val="2"/>
  </w:num>
  <w:num w:numId="19">
    <w:abstractNumId w:val="16"/>
  </w:num>
  <w:num w:numId="20">
    <w:abstractNumId w:val="6"/>
  </w:num>
  <w:num w:numId="21">
    <w:abstractNumId w:val="15"/>
  </w:num>
  <w:num w:numId="22">
    <w:abstractNumId w:val="14"/>
  </w:num>
  <w:num w:numId="23">
    <w:abstractNumId w:val="1"/>
  </w:num>
  <w:num w:numId="24">
    <w:abstractNumId w:val="9"/>
  </w:num>
  <w:num w:numId="25">
    <w:abstractNumId w:val="33"/>
  </w:num>
  <w:num w:numId="26">
    <w:abstractNumId w:val="18"/>
  </w:num>
  <w:num w:numId="27">
    <w:abstractNumId w:val="29"/>
  </w:num>
  <w:num w:numId="28">
    <w:abstractNumId w:val="24"/>
  </w:num>
  <w:num w:numId="29">
    <w:abstractNumId w:val="13"/>
  </w:num>
  <w:num w:numId="30">
    <w:abstractNumId w:val="31"/>
  </w:num>
  <w:num w:numId="31">
    <w:abstractNumId w:val="32"/>
  </w:num>
  <w:num w:numId="32">
    <w:abstractNumId w:val="20"/>
  </w:num>
  <w:num w:numId="33">
    <w:abstractNumId w:val="19"/>
  </w:num>
  <w:num w:numId="34">
    <w:abstractNumId w:val="36"/>
  </w:num>
  <w:num w:numId="35">
    <w:abstractNumId w:val="4"/>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E3"/>
    <w:rsid w:val="000016E5"/>
    <w:rsid w:val="00007279"/>
    <w:rsid w:val="000113AA"/>
    <w:rsid w:val="000135AD"/>
    <w:rsid w:val="0002046F"/>
    <w:rsid w:val="000216BD"/>
    <w:rsid w:val="0002215A"/>
    <w:rsid w:val="000225F8"/>
    <w:rsid w:val="0002610D"/>
    <w:rsid w:val="00033E8F"/>
    <w:rsid w:val="00034BF4"/>
    <w:rsid w:val="00034C39"/>
    <w:rsid w:val="000370F8"/>
    <w:rsid w:val="000372B7"/>
    <w:rsid w:val="0003765D"/>
    <w:rsid w:val="000407F3"/>
    <w:rsid w:val="0004214A"/>
    <w:rsid w:val="00045CCA"/>
    <w:rsid w:val="00046D04"/>
    <w:rsid w:val="00046F01"/>
    <w:rsid w:val="000543BC"/>
    <w:rsid w:val="00055CA0"/>
    <w:rsid w:val="00055E7F"/>
    <w:rsid w:val="00056EA6"/>
    <w:rsid w:val="00057807"/>
    <w:rsid w:val="000609AB"/>
    <w:rsid w:val="00063DFB"/>
    <w:rsid w:val="00063FF6"/>
    <w:rsid w:val="000644AA"/>
    <w:rsid w:val="0006529A"/>
    <w:rsid w:val="0006763A"/>
    <w:rsid w:val="0007041D"/>
    <w:rsid w:val="00071293"/>
    <w:rsid w:val="000716FC"/>
    <w:rsid w:val="00072087"/>
    <w:rsid w:val="00082283"/>
    <w:rsid w:val="00085370"/>
    <w:rsid w:val="00086A8A"/>
    <w:rsid w:val="00094A88"/>
    <w:rsid w:val="00095FEA"/>
    <w:rsid w:val="00097609"/>
    <w:rsid w:val="000A007D"/>
    <w:rsid w:val="000A03CE"/>
    <w:rsid w:val="000A56BA"/>
    <w:rsid w:val="000A6636"/>
    <w:rsid w:val="000B4F6B"/>
    <w:rsid w:val="000C1B80"/>
    <w:rsid w:val="000C329C"/>
    <w:rsid w:val="000C3EA3"/>
    <w:rsid w:val="000C528C"/>
    <w:rsid w:val="000C72D0"/>
    <w:rsid w:val="000C755F"/>
    <w:rsid w:val="000D495E"/>
    <w:rsid w:val="000E069F"/>
    <w:rsid w:val="000E7B65"/>
    <w:rsid w:val="000E7C0F"/>
    <w:rsid w:val="000F04FA"/>
    <w:rsid w:val="000F0B65"/>
    <w:rsid w:val="000F224B"/>
    <w:rsid w:val="000F27FB"/>
    <w:rsid w:val="000F3F6F"/>
    <w:rsid w:val="00103846"/>
    <w:rsid w:val="00103A3C"/>
    <w:rsid w:val="001053B6"/>
    <w:rsid w:val="001060F5"/>
    <w:rsid w:val="00111234"/>
    <w:rsid w:val="001116B4"/>
    <w:rsid w:val="00111EC6"/>
    <w:rsid w:val="00114F72"/>
    <w:rsid w:val="00115A51"/>
    <w:rsid w:val="00117A74"/>
    <w:rsid w:val="00124489"/>
    <w:rsid w:val="001252C9"/>
    <w:rsid w:val="001252FA"/>
    <w:rsid w:val="00125CA8"/>
    <w:rsid w:val="001263DD"/>
    <w:rsid w:val="00126607"/>
    <w:rsid w:val="00134552"/>
    <w:rsid w:val="0013582E"/>
    <w:rsid w:val="00136D57"/>
    <w:rsid w:val="001370FA"/>
    <w:rsid w:val="00142903"/>
    <w:rsid w:val="001456E5"/>
    <w:rsid w:val="00146816"/>
    <w:rsid w:val="00152A65"/>
    <w:rsid w:val="00160719"/>
    <w:rsid w:val="00162148"/>
    <w:rsid w:val="00162B46"/>
    <w:rsid w:val="001654E8"/>
    <w:rsid w:val="00173256"/>
    <w:rsid w:val="00174477"/>
    <w:rsid w:val="00176D81"/>
    <w:rsid w:val="0017704E"/>
    <w:rsid w:val="00177984"/>
    <w:rsid w:val="00177D17"/>
    <w:rsid w:val="0018100D"/>
    <w:rsid w:val="00182297"/>
    <w:rsid w:val="001844C8"/>
    <w:rsid w:val="0018708E"/>
    <w:rsid w:val="0019011E"/>
    <w:rsid w:val="00192354"/>
    <w:rsid w:val="00193774"/>
    <w:rsid w:val="00197313"/>
    <w:rsid w:val="001976C7"/>
    <w:rsid w:val="00197C03"/>
    <w:rsid w:val="00197EE3"/>
    <w:rsid w:val="001A141E"/>
    <w:rsid w:val="001A4125"/>
    <w:rsid w:val="001A4D54"/>
    <w:rsid w:val="001A525A"/>
    <w:rsid w:val="001A5732"/>
    <w:rsid w:val="001A72BC"/>
    <w:rsid w:val="001A7413"/>
    <w:rsid w:val="001B14D5"/>
    <w:rsid w:val="001B2EA2"/>
    <w:rsid w:val="001B30A7"/>
    <w:rsid w:val="001B5D2A"/>
    <w:rsid w:val="001B778E"/>
    <w:rsid w:val="001C2C4F"/>
    <w:rsid w:val="001C3FDF"/>
    <w:rsid w:val="001C561C"/>
    <w:rsid w:val="001D05E4"/>
    <w:rsid w:val="001D44B5"/>
    <w:rsid w:val="001D4AC5"/>
    <w:rsid w:val="001D55E9"/>
    <w:rsid w:val="001D6B56"/>
    <w:rsid w:val="001E045F"/>
    <w:rsid w:val="001E0F72"/>
    <w:rsid w:val="001E3379"/>
    <w:rsid w:val="001E37A4"/>
    <w:rsid w:val="001E4483"/>
    <w:rsid w:val="001E599B"/>
    <w:rsid w:val="00200BAC"/>
    <w:rsid w:val="00202A12"/>
    <w:rsid w:val="00203353"/>
    <w:rsid w:val="002046DB"/>
    <w:rsid w:val="002070B6"/>
    <w:rsid w:val="00210582"/>
    <w:rsid w:val="00210C97"/>
    <w:rsid w:val="00215AFB"/>
    <w:rsid w:val="002166DC"/>
    <w:rsid w:val="00216F9F"/>
    <w:rsid w:val="0022084D"/>
    <w:rsid w:val="00225621"/>
    <w:rsid w:val="002256E0"/>
    <w:rsid w:val="002262B6"/>
    <w:rsid w:val="00226A61"/>
    <w:rsid w:val="00230990"/>
    <w:rsid w:val="00231D7A"/>
    <w:rsid w:val="00233DCC"/>
    <w:rsid w:val="00234A11"/>
    <w:rsid w:val="002400FC"/>
    <w:rsid w:val="00240D17"/>
    <w:rsid w:val="00242555"/>
    <w:rsid w:val="00247AE8"/>
    <w:rsid w:val="002503CD"/>
    <w:rsid w:val="00251354"/>
    <w:rsid w:val="00251B4A"/>
    <w:rsid w:val="002533E2"/>
    <w:rsid w:val="002539F3"/>
    <w:rsid w:val="00254B95"/>
    <w:rsid w:val="002564E4"/>
    <w:rsid w:val="002572C2"/>
    <w:rsid w:val="002625F4"/>
    <w:rsid w:val="002635A7"/>
    <w:rsid w:val="002645F8"/>
    <w:rsid w:val="00265CD7"/>
    <w:rsid w:val="0027066A"/>
    <w:rsid w:val="002713B4"/>
    <w:rsid w:val="0027286A"/>
    <w:rsid w:val="00283447"/>
    <w:rsid w:val="00283F06"/>
    <w:rsid w:val="00284580"/>
    <w:rsid w:val="00284CF7"/>
    <w:rsid w:val="00286841"/>
    <w:rsid w:val="0029295F"/>
    <w:rsid w:val="0029439E"/>
    <w:rsid w:val="002949FE"/>
    <w:rsid w:val="002A0ADC"/>
    <w:rsid w:val="002A3CE7"/>
    <w:rsid w:val="002A3DD9"/>
    <w:rsid w:val="002A4247"/>
    <w:rsid w:val="002A56A3"/>
    <w:rsid w:val="002A67F8"/>
    <w:rsid w:val="002A6CA1"/>
    <w:rsid w:val="002A7942"/>
    <w:rsid w:val="002B1813"/>
    <w:rsid w:val="002B3C99"/>
    <w:rsid w:val="002B60DD"/>
    <w:rsid w:val="002B64D6"/>
    <w:rsid w:val="002C3686"/>
    <w:rsid w:val="002C72B2"/>
    <w:rsid w:val="002D2524"/>
    <w:rsid w:val="002D2CCD"/>
    <w:rsid w:val="002D309A"/>
    <w:rsid w:val="002D363C"/>
    <w:rsid w:val="002D742C"/>
    <w:rsid w:val="002D78AB"/>
    <w:rsid w:val="002E0C59"/>
    <w:rsid w:val="002E1CBE"/>
    <w:rsid w:val="002E3F6B"/>
    <w:rsid w:val="002E4CE1"/>
    <w:rsid w:val="002E73CA"/>
    <w:rsid w:val="002E7710"/>
    <w:rsid w:val="002F1830"/>
    <w:rsid w:val="002F1E1C"/>
    <w:rsid w:val="002F4958"/>
    <w:rsid w:val="003016F3"/>
    <w:rsid w:val="00302D34"/>
    <w:rsid w:val="00303525"/>
    <w:rsid w:val="00305FC4"/>
    <w:rsid w:val="00306623"/>
    <w:rsid w:val="00311B1C"/>
    <w:rsid w:val="00315236"/>
    <w:rsid w:val="00315D53"/>
    <w:rsid w:val="00320716"/>
    <w:rsid w:val="00322EFF"/>
    <w:rsid w:val="00325157"/>
    <w:rsid w:val="00326059"/>
    <w:rsid w:val="003334BC"/>
    <w:rsid w:val="00334C0A"/>
    <w:rsid w:val="0033770A"/>
    <w:rsid w:val="00341031"/>
    <w:rsid w:val="00343694"/>
    <w:rsid w:val="0034481E"/>
    <w:rsid w:val="0034735E"/>
    <w:rsid w:val="00350CD7"/>
    <w:rsid w:val="0035331B"/>
    <w:rsid w:val="00353991"/>
    <w:rsid w:val="003559F9"/>
    <w:rsid w:val="00356852"/>
    <w:rsid w:val="00356999"/>
    <w:rsid w:val="00356D83"/>
    <w:rsid w:val="00362680"/>
    <w:rsid w:val="00364243"/>
    <w:rsid w:val="00364ABB"/>
    <w:rsid w:val="00365A41"/>
    <w:rsid w:val="0037027B"/>
    <w:rsid w:val="00374979"/>
    <w:rsid w:val="00375477"/>
    <w:rsid w:val="00381A4C"/>
    <w:rsid w:val="00383858"/>
    <w:rsid w:val="00385539"/>
    <w:rsid w:val="00387D64"/>
    <w:rsid w:val="0039034E"/>
    <w:rsid w:val="003912B0"/>
    <w:rsid w:val="003A0C99"/>
    <w:rsid w:val="003A26C0"/>
    <w:rsid w:val="003A41D2"/>
    <w:rsid w:val="003A46D2"/>
    <w:rsid w:val="003A5B4D"/>
    <w:rsid w:val="003A7585"/>
    <w:rsid w:val="003B0C78"/>
    <w:rsid w:val="003B10B1"/>
    <w:rsid w:val="003B2723"/>
    <w:rsid w:val="003B41DE"/>
    <w:rsid w:val="003B7A56"/>
    <w:rsid w:val="003B7C55"/>
    <w:rsid w:val="003C020F"/>
    <w:rsid w:val="003C12DA"/>
    <w:rsid w:val="003C47B5"/>
    <w:rsid w:val="003D1B3E"/>
    <w:rsid w:val="003D5773"/>
    <w:rsid w:val="003D65CC"/>
    <w:rsid w:val="003E1A5A"/>
    <w:rsid w:val="003F0209"/>
    <w:rsid w:val="003F0330"/>
    <w:rsid w:val="003F0DD8"/>
    <w:rsid w:val="003F131C"/>
    <w:rsid w:val="003F1514"/>
    <w:rsid w:val="003F39CF"/>
    <w:rsid w:val="003F3F9E"/>
    <w:rsid w:val="003F4DB3"/>
    <w:rsid w:val="003F5146"/>
    <w:rsid w:val="00400A25"/>
    <w:rsid w:val="004029DC"/>
    <w:rsid w:val="004046DA"/>
    <w:rsid w:val="004054C8"/>
    <w:rsid w:val="00406106"/>
    <w:rsid w:val="004077E6"/>
    <w:rsid w:val="004112D6"/>
    <w:rsid w:val="00416258"/>
    <w:rsid w:val="00416426"/>
    <w:rsid w:val="00416759"/>
    <w:rsid w:val="00417574"/>
    <w:rsid w:val="00421CDB"/>
    <w:rsid w:val="0042277F"/>
    <w:rsid w:val="00423C42"/>
    <w:rsid w:val="004279C8"/>
    <w:rsid w:val="00432FF9"/>
    <w:rsid w:val="00435702"/>
    <w:rsid w:val="00436C4D"/>
    <w:rsid w:val="004375F7"/>
    <w:rsid w:val="00437EA2"/>
    <w:rsid w:val="00441A18"/>
    <w:rsid w:val="004464BE"/>
    <w:rsid w:val="00453939"/>
    <w:rsid w:val="00453F5D"/>
    <w:rsid w:val="00454B7A"/>
    <w:rsid w:val="00455BCA"/>
    <w:rsid w:val="00456508"/>
    <w:rsid w:val="004574D8"/>
    <w:rsid w:val="00461425"/>
    <w:rsid w:val="004626AC"/>
    <w:rsid w:val="00463790"/>
    <w:rsid w:val="00464F72"/>
    <w:rsid w:val="00466EC6"/>
    <w:rsid w:val="00472AB3"/>
    <w:rsid w:val="00473D20"/>
    <w:rsid w:val="00475EEB"/>
    <w:rsid w:val="00476F9D"/>
    <w:rsid w:val="00483D17"/>
    <w:rsid w:val="004867E9"/>
    <w:rsid w:val="004870E9"/>
    <w:rsid w:val="00490EE2"/>
    <w:rsid w:val="00493B61"/>
    <w:rsid w:val="00495168"/>
    <w:rsid w:val="004A09DC"/>
    <w:rsid w:val="004A257E"/>
    <w:rsid w:val="004A3427"/>
    <w:rsid w:val="004A4DE9"/>
    <w:rsid w:val="004A4EC9"/>
    <w:rsid w:val="004A50A5"/>
    <w:rsid w:val="004A5831"/>
    <w:rsid w:val="004A598E"/>
    <w:rsid w:val="004A69C2"/>
    <w:rsid w:val="004A6CF6"/>
    <w:rsid w:val="004B1146"/>
    <w:rsid w:val="004B434B"/>
    <w:rsid w:val="004B4DAA"/>
    <w:rsid w:val="004B5002"/>
    <w:rsid w:val="004B5AAF"/>
    <w:rsid w:val="004B6B77"/>
    <w:rsid w:val="004C00E2"/>
    <w:rsid w:val="004C17BD"/>
    <w:rsid w:val="004C3468"/>
    <w:rsid w:val="004C45C2"/>
    <w:rsid w:val="004C4604"/>
    <w:rsid w:val="004C5010"/>
    <w:rsid w:val="004C5469"/>
    <w:rsid w:val="004D1773"/>
    <w:rsid w:val="004D29B8"/>
    <w:rsid w:val="004D3D4C"/>
    <w:rsid w:val="004D3EC1"/>
    <w:rsid w:val="004D46C4"/>
    <w:rsid w:val="004D4C17"/>
    <w:rsid w:val="004D4D5C"/>
    <w:rsid w:val="004D5883"/>
    <w:rsid w:val="004D6991"/>
    <w:rsid w:val="004D7474"/>
    <w:rsid w:val="004D7D5F"/>
    <w:rsid w:val="004F54F6"/>
    <w:rsid w:val="004F58F5"/>
    <w:rsid w:val="004F5D1B"/>
    <w:rsid w:val="004F70C0"/>
    <w:rsid w:val="004F7270"/>
    <w:rsid w:val="00500D39"/>
    <w:rsid w:val="005105CF"/>
    <w:rsid w:val="005123C5"/>
    <w:rsid w:val="005166FF"/>
    <w:rsid w:val="0052385D"/>
    <w:rsid w:val="00524631"/>
    <w:rsid w:val="00524C77"/>
    <w:rsid w:val="005262E3"/>
    <w:rsid w:val="00534717"/>
    <w:rsid w:val="00536F23"/>
    <w:rsid w:val="00540E9D"/>
    <w:rsid w:val="00541F34"/>
    <w:rsid w:val="00550A22"/>
    <w:rsid w:val="00550B8E"/>
    <w:rsid w:val="0055151A"/>
    <w:rsid w:val="00557A53"/>
    <w:rsid w:val="00562E62"/>
    <w:rsid w:val="00564780"/>
    <w:rsid w:val="00565AF7"/>
    <w:rsid w:val="00566204"/>
    <w:rsid w:val="00566C9B"/>
    <w:rsid w:val="005719EF"/>
    <w:rsid w:val="005726F3"/>
    <w:rsid w:val="0057387C"/>
    <w:rsid w:val="00574A24"/>
    <w:rsid w:val="00575F7C"/>
    <w:rsid w:val="00577A09"/>
    <w:rsid w:val="00581A05"/>
    <w:rsid w:val="005833E6"/>
    <w:rsid w:val="00584090"/>
    <w:rsid w:val="00584986"/>
    <w:rsid w:val="00590727"/>
    <w:rsid w:val="00591BC4"/>
    <w:rsid w:val="005958FF"/>
    <w:rsid w:val="00596FE5"/>
    <w:rsid w:val="005A2A49"/>
    <w:rsid w:val="005A6D3E"/>
    <w:rsid w:val="005B5B77"/>
    <w:rsid w:val="005B72F6"/>
    <w:rsid w:val="005C058E"/>
    <w:rsid w:val="005C462D"/>
    <w:rsid w:val="005D6A30"/>
    <w:rsid w:val="005D6AF4"/>
    <w:rsid w:val="005E0FCC"/>
    <w:rsid w:val="005E1739"/>
    <w:rsid w:val="005E5E73"/>
    <w:rsid w:val="005E7105"/>
    <w:rsid w:val="005F2768"/>
    <w:rsid w:val="005F4349"/>
    <w:rsid w:val="005F725A"/>
    <w:rsid w:val="00601C02"/>
    <w:rsid w:val="0060363E"/>
    <w:rsid w:val="006040F1"/>
    <w:rsid w:val="0060772A"/>
    <w:rsid w:val="006117C1"/>
    <w:rsid w:val="006141B9"/>
    <w:rsid w:val="006214EA"/>
    <w:rsid w:val="00622A63"/>
    <w:rsid w:val="00624E91"/>
    <w:rsid w:val="006255B6"/>
    <w:rsid w:val="006262D6"/>
    <w:rsid w:val="006266B1"/>
    <w:rsid w:val="00626DE2"/>
    <w:rsid w:val="00627A9B"/>
    <w:rsid w:val="00633F78"/>
    <w:rsid w:val="006371CB"/>
    <w:rsid w:val="00643998"/>
    <w:rsid w:val="0064511F"/>
    <w:rsid w:val="0064565E"/>
    <w:rsid w:val="00650DD9"/>
    <w:rsid w:val="006511FF"/>
    <w:rsid w:val="0065181E"/>
    <w:rsid w:val="006523D0"/>
    <w:rsid w:val="0065451C"/>
    <w:rsid w:val="00655F80"/>
    <w:rsid w:val="00661E8F"/>
    <w:rsid w:val="00664C7C"/>
    <w:rsid w:val="00673A34"/>
    <w:rsid w:val="0067405C"/>
    <w:rsid w:val="006740D4"/>
    <w:rsid w:val="00675107"/>
    <w:rsid w:val="006760C4"/>
    <w:rsid w:val="00680585"/>
    <w:rsid w:val="00681650"/>
    <w:rsid w:val="00682548"/>
    <w:rsid w:val="00682C0D"/>
    <w:rsid w:val="00684271"/>
    <w:rsid w:val="00685BC5"/>
    <w:rsid w:val="00697C2A"/>
    <w:rsid w:val="00697CBF"/>
    <w:rsid w:val="006A036A"/>
    <w:rsid w:val="006A14AB"/>
    <w:rsid w:val="006A7321"/>
    <w:rsid w:val="006A7C2A"/>
    <w:rsid w:val="006B17C4"/>
    <w:rsid w:val="006B1D12"/>
    <w:rsid w:val="006B22DC"/>
    <w:rsid w:val="006B4DA3"/>
    <w:rsid w:val="006B4EDF"/>
    <w:rsid w:val="006B5391"/>
    <w:rsid w:val="006B5E1A"/>
    <w:rsid w:val="006C2299"/>
    <w:rsid w:val="006C2BCA"/>
    <w:rsid w:val="006C34C4"/>
    <w:rsid w:val="006D26FD"/>
    <w:rsid w:val="006D5281"/>
    <w:rsid w:val="006E0C6A"/>
    <w:rsid w:val="006E101A"/>
    <w:rsid w:val="006E2C5E"/>
    <w:rsid w:val="006E6DCC"/>
    <w:rsid w:val="006E7CED"/>
    <w:rsid w:val="006F1173"/>
    <w:rsid w:val="006F5793"/>
    <w:rsid w:val="00701B45"/>
    <w:rsid w:val="00701CA3"/>
    <w:rsid w:val="0070236B"/>
    <w:rsid w:val="00702379"/>
    <w:rsid w:val="0070261C"/>
    <w:rsid w:val="0070744E"/>
    <w:rsid w:val="00710578"/>
    <w:rsid w:val="0071063F"/>
    <w:rsid w:val="00712645"/>
    <w:rsid w:val="00715C14"/>
    <w:rsid w:val="00715E1A"/>
    <w:rsid w:val="007175EF"/>
    <w:rsid w:val="00720427"/>
    <w:rsid w:val="00721CF7"/>
    <w:rsid w:val="00722067"/>
    <w:rsid w:val="0072245D"/>
    <w:rsid w:val="007224B5"/>
    <w:rsid w:val="00726331"/>
    <w:rsid w:val="00727980"/>
    <w:rsid w:val="00730F8E"/>
    <w:rsid w:val="00731663"/>
    <w:rsid w:val="00732441"/>
    <w:rsid w:val="00735788"/>
    <w:rsid w:val="00735B6F"/>
    <w:rsid w:val="00736047"/>
    <w:rsid w:val="00736D7F"/>
    <w:rsid w:val="00736E06"/>
    <w:rsid w:val="00740334"/>
    <w:rsid w:val="00742237"/>
    <w:rsid w:val="00742B3B"/>
    <w:rsid w:val="0074383A"/>
    <w:rsid w:val="00746C65"/>
    <w:rsid w:val="00750622"/>
    <w:rsid w:val="007509D3"/>
    <w:rsid w:val="00752A65"/>
    <w:rsid w:val="00753555"/>
    <w:rsid w:val="00756F48"/>
    <w:rsid w:val="007578A3"/>
    <w:rsid w:val="00761D84"/>
    <w:rsid w:val="007655CD"/>
    <w:rsid w:val="007708FC"/>
    <w:rsid w:val="0077237F"/>
    <w:rsid w:val="00773027"/>
    <w:rsid w:val="007758A4"/>
    <w:rsid w:val="007821F5"/>
    <w:rsid w:val="00784837"/>
    <w:rsid w:val="00784D89"/>
    <w:rsid w:val="007860F0"/>
    <w:rsid w:val="00786363"/>
    <w:rsid w:val="00786459"/>
    <w:rsid w:val="00786A1D"/>
    <w:rsid w:val="007940BA"/>
    <w:rsid w:val="0079474B"/>
    <w:rsid w:val="00794A2E"/>
    <w:rsid w:val="007A106A"/>
    <w:rsid w:val="007A1348"/>
    <w:rsid w:val="007A2D70"/>
    <w:rsid w:val="007A5AC5"/>
    <w:rsid w:val="007A7E03"/>
    <w:rsid w:val="007B7C8A"/>
    <w:rsid w:val="007C1DD4"/>
    <w:rsid w:val="007C311B"/>
    <w:rsid w:val="007C3146"/>
    <w:rsid w:val="007C3BA3"/>
    <w:rsid w:val="007C68DD"/>
    <w:rsid w:val="007D083C"/>
    <w:rsid w:val="007D3068"/>
    <w:rsid w:val="007D4B3A"/>
    <w:rsid w:val="007D7E30"/>
    <w:rsid w:val="007E25E9"/>
    <w:rsid w:val="007F5E82"/>
    <w:rsid w:val="00800738"/>
    <w:rsid w:val="00811D2D"/>
    <w:rsid w:val="0081495D"/>
    <w:rsid w:val="008150B0"/>
    <w:rsid w:val="00821E89"/>
    <w:rsid w:val="00822A5B"/>
    <w:rsid w:val="00823BF3"/>
    <w:rsid w:val="008240E7"/>
    <w:rsid w:val="00826C6D"/>
    <w:rsid w:val="00830C9E"/>
    <w:rsid w:val="0084136F"/>
    <w:rsid w:val="00842C12"/>
    <w:rsid w:val="00853529"/>
    <w:rsid w:val="0085479B"/>
    <w:rsid w:val="008564FE"/>
    <w:rsid w:val="00857617"/>
    <w:rsid w:val="00873E6F"/>
    <w:rsid w:val="00874880"/>
    <w:rsid w:val="00874D5E"/>
    <w:rsid w:val="00874F37"/>
    <w:rsid w:val="00881E35"/>
    <w:rsid w:val="00884FBE"/>
    <w:rsid w:val="00885FDB"/>
    <w:rsid w:val="00886613"/>
    <w:rsid w:val="008870A8"/>
    <w:rsid w:val="00890BB7"/>
    <w:rsid w:val="00890F11"/>
    <w:rsid w:val="00892CC5"/>
    <w:rsid w:val="0089482F"/>
    <w:rsid w:val="00896BF9"/>
    <w:rsid w:val="008A562B"/>
    <w:rsid w:val="008A5DCF"/>
    <w:rsid w:val="008B1E88"/>
    <w:rsid w:val="008B3899"/>
    <w:rsid w:val="008B44F4"/>
    <w:rsid w:val="008B498E"/>
    <w:rsid w:val="008C28F1"/>
    <w:rsid w:val="008C656D"/>
    <w:rsid w:val="008D0B0D"/>
    <w:rsid w:val="008D0F72"/>
    <w:rsid w:val="008D23F4"/>
    <w:rsid w:val="008E3160"/>
    <w:rsid w:val="008E3414"/>
    <w:rsid w:val="008E4254"/>
    <w:rsid w:val="008E6152"/>
    <w:rsid w:val="008E6651"/>
    <w:rsid w:val="008F190E"/>
    <w:rsid w:val="008F2251"/>
    <w:rsid w:val="008F327E"/>
    <w:rsid w:val="008F442C"/>
    <w:rsid w:val="008F4DFD"/>
    <w:rsid w:val="00900AE9"/>
    <w:rsid w:val="00902BD4"/>
    <w:rsid w:val="0090772A"/>
    <w:rsid w:val="00910DBA"/>
    <w:rsid w:val="00911BB7"/>
    <w:rsid w:val="00912A30"/>
    <w:rsid w:val="00912DCA"/>
    <w:rsid w:val="00917EB9"/>
    <w:rsid w:val="009213B9"/>
    <w:rsid w:val="00921766"/>
    <w:rsid w:val="00921F0E"/>
    <w:rsid w:val="0092363D"/>
    <w:rsid w:val="0092647C"/>
    <w:rsid w:val="0092731C"/>
    <w:rsid w:val="00930BAF"/>
    <w:rsid w:val="00933805"/>
    <w:rsid w:val="00933A11"/>
    <w:rsid w:val="00933B53"/>
    <w:rsid w:val="00935CEF"/>
    <w:rsid w:val="0094137E"/>
    <w:rsid w:val="009414AB"/>
    <w:rsid w:val="00942382"/>
    <w:rsid w:val="0094472F"/>
    <w:rsid w:val="00944CE5"/>
    <w:rsid w:val="00944E8B"/>
    <w:rsid w:val="00946445"/>
    <w:rsid w:val="00946C5E"/>
    <w:rsid w:val="00946D2F"/>
    <w:rsid w:val="0095172C"/>
    <w:rsid w:val="00952088"/>
    <w:rsid w:val="009543D9"/>
    <w:rsid w:val="00955719"/>
    <w:rsid w:val="0095594B"/>
    <w:rsid w:val="0095635C"/>
    <w:rsid w:val="009644EA"/>
    <w:rsid w:val="00965226"/>
    <w:rsid w:val="00966CA7"/>
    <w:rsid w:val="0096796F"/>
    <w:rsid w:val="00972539"/>
    <w:rsid w:val="00977578"/>
    <w:rsid w:val="00977FFC"/>
    <w:rsid w:val="009803C6"/>
    <w:rsid w:val="00980D15"/>
    <w:rsid w:val="00984FB8"/>
    <w:rsid w:val="00986E66"/>
    <w:rsid w:val="00994EFD"/>
    <w:rsid w:val="00995BAE"/>
    <w:rsid w:val="009A2593"/>
    <w:rsid w:val="009A2CA8"/>
    <w:rsid w:val="009A3E34"/>
    <w:rsid w:val="009A7789"/>
    <w:rsid w:val="009A7AD1"/>
    <w:rsid w:val="009A7E56"/>
    <w:rsid w:val="009B18B0"/>
    <w:rsid w:val="009B42B0"/>
    <w:rsid w:val="009B7D91"/>
    <w:rsid w:val="009C1ADA"/>
    <w:rsid w:val="009C1E95"/>
    <w:rsid w:val="009C2234"/>
    <w:rsid w:val="009C2F98"/>
    <w:rsid w:val="009D0A21"/>
    <w:rsid w:val="009D0C6F"/>
    <w:rsid w:val="009D2512"/>
    <w:rsid w:val="009D4A9B"/>
    <w:rsid w:val="009D74AF"/>
    <w:rsid w:val="009E0EB9"/>
    <w:rsid w:val="009E5032"/>
    <w:rsid w:val="009E5F9C"/>
    <w:rsid w:val="009E7138"/>
    <w:rsid w:val="009F0CBB"/>
    <w:rsid w:val="009F7E80"/>
    <w:rsid w:val="00A027B0"/>
    <w:rsid w:val="00A065AE"/>
    <w:rsid w:val="00A0712C"/>
    <w:rsid w:val="00A1791C"/>
    <w:rsid w:val="00A17E57"/>
    <w:rsid w:val="00A245A9"/>
    <w:rsid w:val="00A265CF"/>
    <w:rsid w:val="00A26AB1"/>
    <w:rsid w:val="00A34179"/>
    <w:rsid w:val="00A34526"/>
    <w:rsid w:val="00A3526D"/>
    <w:rsid w:val="00A40AD0"/>
    <w:rsid w:val="00A41EB0"/>
    <w:rsid w:val="00A43B2F"/>
    <w:rsid w:val="00A476E2"/>
    <w:rsid w:val="00A47FF4"/>
    <w:rsid w:val="00A50162"/>
    <w:rsid w:val="00A515CC"/>
    <w:rsid w:val="00A656B9"/>
    <w:rsid w:val="00A67DFE"/>
    <w:rsid w:val="00A67E32"/>
    <w:rsid w:val="00A70633"/>
    <w:rsid w:val="00A73793"/>
    <w:rsid w:val="00A76B1A"/>
    <w:rsid w:val="00A817D5"/>
    <w:rsid w:val="00A81F7B"/>
    <w:rsid w:val="00A8502C"/>
    <w:rsid w:val="00A8625F"/>
    <w:rsid w:val="00A868B6"/>
    <w:rsid w:val="00A86FE6"/>
    <w:rsid w:val="00A90166"/>
    <w:rsid w:val="00A92B9D"/>
    <w:rsid w:val="00AA16E1"/>
    <w:rsid w:val="00AA237E"/>
    <w:rsid w:val="00AA7F1E"/>
    <w:rsid w:val="00AB1F6B"/>
    <w:rsid w:val="00AB4719"/>
    <w:rsid w:val="00AB6685"/>
    <w:rsid w:val="00AC16DF"/>
    <w:rsid w:val="00AC1E40"/>
    <w:rsid w:val="00AC2758"/>
    <w:rsid w:val="00AC4C43"/>
    <w:rsid w:val="00AC7DC6"/>
    <w:rsid w:val="00AD603A"/>
    <w:rsid w:val="00AE008E"/>
    <w:rsid w:val="00AE1B92"/>
    <w:rsid w:val="00AE3D8A"/>
    <w:rsid w:val="00AE5817"/>
    <w:rsid w:val="00AE62B2"/>
    <w:rsid w:val="00AF0D0D"/>
    <w:rsid w:val="00AF43EF"/>
    <w:rsid w:val="00AF57EA"/>
    <w:rsid w:val="00AF67C3"/>
    <w:rsid w:val="00AF7402"/>
    <w:rsid w:val="00B01E65"/>
    <w:rsid w:val="00B02E57"/>
    <w:rsid w:val="00B04C90"/>
    <w:rsid w:val="00B057BA"/>
    <w:rsid w:val="00B06AB2"/>
    <w:rsid w:val="00B06AF3"/>
    <w:rsid w:val="00B1129C"/>
    <w:rsid w:val="00B1362A"/>
    <w:rsid w:val="00B162A5"/>
    <w:rsid w:val="00B1678A"/>
    <w:rsid w:val="00B17058"/>
    <w:rsid w:val="00B21CAD"/>
    <w:rsid w:val="00B22039"/>
    <w:rsid w:val="00B22E5E"/>
    <w:rsid w:val="00B246EF"/>
    <w:rsid w:val="00B24C86"/>
    <w:rsid w:val="00B266E0"/>
    <w:rsid w:val="00B353EA"/>
    <w:rsid w:val="00B424CA"/>
    <w:rsid w:val="00B43086"/>
    <w:rsid w:val="00B443FD"/>
    <w:rsid w:val="00B46011"/>
    <w:rsid w:val="00B47314"/>
    <w:rsid w:val="00B50784"/>
    <w:rsid w:val="00B51788"/>
    <w:rsid w:val="00B541C7"/>
    <w:rsid w:val="00B6144C"/>
    <w:rsid w:val="00B61CC3"/>
    <w:rsid w:val="00B61FA3"/>
    <w:rsid w:val="00B62AF8"/>
    <w:rsid w:val="00B707F0"/>
    <w:rsid w:val="00B70FDA"/>
    <w:rsid w:val="00B744ED"/>
    <w:rsid w:val="00B81A91"/>
    <w:rsid w:val="00B82F64"/>
    <w:rsid w:val="00B87235"/>
    <w:rsid w:val="00B8794E"/>
    <w:rsid w:val="00B941FD"/>
    <w:rsid w:val="00B9547A"/>
    <w:rsid w:val="00B956A5"/>
    <w:rsid w:val="00BA792E"/>
    <w:rsid w:val="00BA79E3"/>
    <w:rsid w:val="00BA7E5E"/>
    <w:rsid w:val="00BB0F0B"/>
    <w:rsid w:val="00BB5186"/>
    <w:rsid w:val="00BC05E1"/>
    <w:rsid w:val="00BC254D"/>
    <w:rsid w:val="00BC3474"/>
    <w:rsid w:val="00BC5057"/>
    <w:rsid w:val="00BD3B14"/>
    <w:rsid w:val="00BD54E6"/>
    <w:rsid w:val="00BD73E9"/>
    <w:rsid w:val="00BE0B9E"/>
    <w:rsid w:val="00BE50B4"/>
    <w:rsid w:val="00BE5A66"/>
    <w:rsid w:val="00BE61FA"/>
    <w:rsid w:val="00BF16BF"/>
    <w:rsid w:val="00BF20EF"/>
    <w:rsid w:val="00BF2AAE"/>
    <w:rsid w:val="00BF6D3F"/>
    <w:rsid w:val="00BF77B3"/>
    <w:rsid w:val="00C016AC"/>
    <w:rsid w:val="00C0252E"/>
    <w:rsid w:val="00C0264A"/>
    <w:rsid w:val="00C02DC7"/>
    <w:rsid w:val="00C033C5"/>
    <w:rsid w:val="00C06F46"/>
    <w:rsid w:val="00C07832"/>
    <w:rsid w:val="00C104D3"/>
    <w:rsid w:val="00C11058"/>
    <w:rsid w:val="00C16785"/>
    <w:rsid w:val="00C17421"/>
    <w:rsid w:val="00C21D93"/>
    <w:rsid w:val="00C25381"/>
    <w:rsid w:val="00C27127"/>
    <w:rsid w:val="00C30FFC"/>
    <w:rsid w:val="00C34757"/>
    <w:rsid w:val="00C40B8E"/>
    <w:rsid w:val="00C40D7A"/>
    <w:rsid w:val="00C43A27"/>
    <w:rsid w:val="00C44CBC"/>
    <w:rsid w:val="00C45904"/>
    <w:rsid w:val="00C45F3F"/>
    <w:rsid w:val="00C47E47"/>
    <w:rsid w:val="00C5128E"/>
    <w:rsid w:val="00C5405E"/>
    <w:rsid w:val="00C54CF9"/>
    <w:rsid w:val="00C55B92"/>
    <w:rsid w:val="00C61076"/>
    <w:rsid w:val="00C624A0"/>
    <w:rsid w:val="00C62AC9"/>
    <w:rsid w:val="00C64BA1"/>
    <w:rsid w:val="00C7394C"/>
    <w:rsid w:val="00C762DE"/>
    <w:rsid w:val="00C774D6"/>
    <w:rsid w:val="00C827AF"/>
    <w:rsid w:val="00C83C3A"/>
    <w:rsid w:val="00C843DE"/>
    <w:rsid w:val="00C84B05"/>
    <w:rsid w:val="00C879AD"/>
    <w:rsid w:val="00C90ED8"/>
    <w:rsid w:val="00C9176C"/>
    <w:rsid w:val="00C91939"/>
    <w:rsid w:val="00C9307A"/>
    <w:rsid w:val="00C97D4D"/>
    <w:rsid w:val="00CA0F63"/>
    <w:rsid w:val="00CA150D"/>
    <w:rsid w:val="00CA2E7F"/>
    <w:rsid w:val="00CA6EBC"/>
    <w:rsid w:val="00CB1227"/>
    <w:rsid w:val="00CB44C2"/>
    <w:rsid w:val="00CB4E24"/>
    <w:rsid w:val="00CB75D5"/>
    <w:rsid w:val="00CC1A40"/>
    <w:rsid w:val="00CC2B10"/>
    <w:rsid w:val="00CC4B56"/>
    <w:rsid w:val="00CC52CA"/>
    <w:rsid w:val="00CC586B"/>
    <w:rsid w:val="00CC79CC"/>
    <w:rsid w:val="00CD002A"/>
    <w:rsid w:val="00CD0F2E"/>
    <w:rsid w:val="00CD2A3B"/>
    <w:rsid w:val="00CD2B13"/>
    <w:rsid w:val="00CD6910"/>
    <w:rsid w:val="00CD7FFB"/>
    <w:rsid w:val="00CE02F4"/>
    <w:rsid w:val="00CE44E6"/>
    <w:rsid w:val="00CF0440"/>
    <w:rsid w:val="00CF0601"/>
    <w:rsid w:val="00CF1A00"/>
    <w:rsid w:val="00D018C9"/>
    <w:rsid w:val="00D01BEB"/>
    <w:rsid w:val="00D01C45"/>
    <w:rsid w:val="00D02F87"/>
    <w:rsid w:val="00D0724C"/>
    <w:rsid w:val="00D07989"/>
    <w:rsid w:val="00D07D41"/>
    <w:rsid w:val="00D10B25"/>
    <w:rsid w:val="00D1337B"/>
    <w:rsid w:val="00D1383A"/>
    <w:rsid w:val="00D15659"/>
    <w:rsid w:val="00D159AA"/>
    <w:rsid w:val="00D174EF"/>
    <w:rsid w:val="00D17EEC"/>
    <w:rsid w:val="00D20644"/>
    <w:rsid w:val="00D210A8"/>
    <w:rsid w:val="00D2146A"/>
    <w:rsid w:val="00D21F1E"/>
    <w:rsid w:val="00D22E37"/>
    <w:rsid w:val="00D2346E"/>
    <w:rsid w:val="00D24BB4"/>
    <w:rsid w:val="00D24C1B"/>
    <w:rsid w:val="00D257BA"/>
    <w:rsid w:val="00D274A1"/>
    <w:rsid w:val="00D31313"/>
    <w:rsid w:val="00D3173C"/>
    <w:rsid w:val="00D408E8"/>
    <w:rsid w:val="00D40B22"/>
    <w:rsid w:val="00D40F5E"/>
    <w:rsid w:val="00D43B83"/>
    <w:rsid w:val="00D43BD3"/>
    <w:rsid w:val="00D456DA"/>
    <w:rsid w:val="00D46078"/>
    <w:rsid w:val="00D5241C"/>
    <w:rsid w:val="00D54B16"/>
    <w:rsid w:val="00D55EC2"/>
    <w:rsid w:val="00D626CB"/>
    <w:rsid w:val="00D63AE0"/>
    <w:rsid w:val="00D65F05"/>
    <w:rsid w:val="00D67863"/>
    <w:rsid w:val="00D70E77"/>
    <w:rsid w:val="00D72746"/>
    <w:rsid w:val="00D74A0A"/>
    <w:rsid w:val="00D77726"/>
    <w:rsid w:val="00D82250"/>
    <w:rsid w:val="00D84CB3"/>
    <w:rsid w:val="00D84FDF"/>
    <w:rsid w:val="00D87528"/>
    <w:rsid w:val="00D91185"/>
    <w:rsid w:val="00D915A1"/>
    <w:rsid w:val="00D91D1B"/>
    <w:rsid w:val="00D924CF"/>
    <w:rsid w:val="00D93243"/>
    <w:rsid w:val="00D93AE3"/>
    <w:rsid w:val="00D9480B"/>
    <w:rsid w:val="00D95332"/>
    <w:rsid w:val="00DA094F"/>
    <w:rsid w:val="00DA4FEC"/>
    <w:rsid w:val="00DA5CE0"/>
    <w:rsid w:val="00DB181C"/>
    <w:rsid w:val="00DB362A"/>
    <w:rsid w:val="00DB6027"/>
    <w:rsid w:val="00DC01CA"/>
    <w:rsid w:val="00DC65B4"/>
    <w:rsid w:val="00DD4222"/>
    <w:rsid w:val="00DE0F98"/>
    <w:rsid w:val="00DE2C8A"/>
    <w:rsid w:val="00DE385A"/>
    <w:rsid w:val="00DE3E3A"/>
    <w:rsid w:val="00DE476E"/>
    <w:rsid w:val="00DE4E73"/>
    <w:rsid w:val="00DE751D"/>
    <w:rsid w:val="00DE7857"/>
    <w:rsid w:val="00DF534B"/>
    <w:rsid w:val="00DF585C"/>
    <w:rsid w:val="00DF66EF"/>
    <w:rsid w:val="00DF736E"/>
    <w:rsid w:val="00E01173"/>
    <w:rsid w:val="00E047C7"/>
    <w:rsid w:val="00E1099A"/>
    <w:rsid w:val="00E10CD7"/>
    <w:rsid w:val="00E1181A"/>
    <w:rsid w:val="00E11CC9"/>
    <w:rsid w:val="00E11E15"/>
    <w:rsid w:val="00E121C9"/>
    <w:rsid w:val="00E1307C"/>
    <w:rsid w:val="00E133F1"/>
    <w:rsid w:val="00E1644B"/>
    <w:rsid w:val="00E16C6F"/>
    <w:rsid w:val="00E210B1"/>
    <w:rsid w:val="00E238ED"/>
    <w:rsid w:val="00E239CE"/>
    <w:rsid w:val="00E239F0"/>
    <w:rsid w:val="00E2635A"/>
    <w:rsid w:val="00E31832"/>
    <w:rsid w:val="00E33FEB"/>
    <w:rsid w:val="00E342A5"/>
    <w:rsid w:val="00E37DC8"/>
    <w:rsid w:val="00E43124"/>
    <w:rsid w:val="00E438F1"/>
    <w:rsid w:val="00E4421D"/>
    <w:rsid w:val="00E46673"/>
    <w:rsid w:val="00E50ACA"/>
    <w:rsid w:val="00E50E0F"/>
    <w:rsid w:val="00E51EC7"/>
    <w:rsid w:val="00E52619"/>
    <w:rsid w:val="00E55D4D"/>
    <w:rsid w:val="00E56139"/>
    <w:rsid w:val="00E57AF2"/>
    <w:rsid w:val="00E6712D"/>
    <w:rsid w:val="00E7089F"/>
    <w:rsid w:val="00E70ECC"/>
    <w:rsid w:val="00E7222B"/>
    <w:rsid w:val="00E72A0D"/>
    <w:rsid w:val="00E75F37"/>
    <w:rsid w:val="00E770B5"/>
    <w:rsid w:val="00E8091A"/>
    <w:rsid w:val="00E83652"/>
    <w:rsid w:val="00E90778"/>
    <w:rsid w:val="00E90975"/>
    <w:rsid w:val="00E9110D"/>
    <w:rsid w:val="00E93EC1"/>
    <w:rsid w:val="00E959CF"/>
    <w:rsid w:val="00EA0E6B"/>
    <w:rsid w:val="00EA4B50"/>
    <w:rsid w:val="00EA760F"/>
    <w:rsid w:val="00EB0F9D"/>
    <w:rsid w:val="00EB1E86"/>
    <w:rsid w:val="00EB5D42"/>
    <w:rsid w:val="00EC4B77"/>
    <w:rsid w:val="00EC5264"/>
    <w:rsid w:val="00EC5E25"/>
    <w:rsid w:val="00ED2B95"/>
    <w:rsid w:val="00ED477E"/>
    <w:rsid w:val="00ED700F"/>
    <w:rsid w:val="00EE4ECB"/>
    <w:rsid w:val="00EE60BD"/>
    <w:rsid w:val="00EE6647"/>
    <w:rsid w:val="00EF0F1C"/>
    <w:rsid w:val="00EF1DDB"/>
    <w:rsid w:val="00F01A14"/>
    <w:rsid w:val="00F03B25"/>
    <w:rsid w:val="00F06C67"/>
    <w:rsid w:val="00F070AA"/>
    <w:rsid w:val="00F07DC9"/>
    <w:rsid w:val="00F135C4"/>
    <w:rsid w:val="00F1504E"/>
    <w:rsid w:val="00F22ECF"/>
    <w:rsid w:val="00F26320"/>
    <w:rsid w:val="00F2752B"/>
    <w:rsid w:val="00F321E0"/>
    <w:rsid w:val="00F33610"/>
    <w:rsid w:val="00F36D9B"/>
    <w:rsid w:val="00F40AA9"/>
    <w:rsid w:val="00F45200"/>
    <w:rsid w:val="00F452CC"/>
    <w:rsid w:val="00F50DD8"/>
    <w:rsid w:val="00F5554A"/>
    <w:rsid w:val="00F65993"/>
    <w:rsid w:val="00F67730"/>
    <w:rsid w:val="00F70EBD"/>
    <w:rsid w:val="00F71C44"/>
    <w:rsid w:val="00F7546B"/>
    <w:rsid w:val="00F7548F"/>
    <w:rsid w:val="00F8108D"/>
    <w:rsid w:val="00F810D1"/>
    <w:rsid w:val="00F82CC7"/>
    <w:rsid w:val="00F85E29"/>
    <w:rsid w:val="00F94C4C"/>
    <w:rsid w:val="00FA0555"/>
    <w:rsid w:val="00FA2F3E"/>
    <w:rsid w:val="00FA4444"/>
    <w:rsid w:val="00FA7749"/>
    <w:rsid w:val="00FB0A04"/>
    <w:rsid w:val="00FB15ED"/>
    <w:rsid w:val="00FB3F5B"/>
    <w:rsid w:val="00FB4FCF"/>
    <w:rsid w:val="00FB61A5"/>
    <w:rsid w:val="00FC2906"/>
    <w:rsid w:val="00FC364B"/>
    <w:rsid w:val="00FC3C4C"/>
    <w:rsid w:val="00FC7E72"/>
    <w:rsid w:val="00FD07D6"/>
    <w:rsid w:val="00FD1AB6"/>
    <w:rsid w:val="00FD402A"/>
    <w:rsid w:val="00FD4EA9"/>
    <w:rsid w:val="00FE39BC"/>
    <w:rsid w:val="00FF2806"/>
    <w:rsid w:val="00FF7EF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0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EA"/>
    <w:rPr>
      <w:lang w:val="en-GB"/>
    </w:rPr>
  </w:style>
  <w:style w:type="paragraph" w:styleId="Footer">
    <w:name w:val="footer"/>
    <w:basedOn w:val="Normal"/>
    <w:link w:val="FooterChar"/>
    <w:uiPriority w:val="99"/>
    <w:unhideWhenUsed/>
    <w:rsid w:val="00B35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EA"/>
    <w:rPr>
      <w:lang w:val="en-GB"/>
    </w:rPr>
  </w:style>
  <w:style w:type="paragraph" w:styleId="FootnoteText">
    <w:name w:val="footnote text"/>
    <w:basedOn w:val="Normal"/>
    <w:link w:val="FootnoteTextChar"/>
    <w:uiPriority w:val="99"/>
    <w:unhideWhenUsed/>
    <w:rsid w:val="00B51788"/>
    <w:pPr>
      <w:snapToGrid w:val="0"/>
    </w:pPr>
    <w:rPr>
      <w:rFonts w:eastAsiaTheme="minorEastAsia"/>
      <w:szCs w:val="28"/>
      <w:lang w:val="en-US" w:bidi="bn-IN"/>
    </w:rPr>
  </w:style>
  <w:style w:type="character" w:customStyle="1" w:styleId="FootnoteTextChar">
    <w:name w:val="Footnote Text Char"/>
    <w:basedOn w:val="DefaultParagraphFont"/>
    <w:link w:val="FootnoteText"/>
    <w:uiPriority w:val="99"/>
    <w:rsid w:val="00B51788"/>
    <w:rPr>
      <w:rFonts w:eastAsiaTheme="minorEastAsia"/>
      <w:szCs w:val="28"/>
      <w:lang w:bidi="bn-IN"/>
    </w:rPr>
  </w:style>
  <w:style w:type="character" w:styleId="CommentReference">
    <w:name w:val="annotation reference"/>
    <w:basedOn w:val="DefaultParagraphFont"/>
    <w:uiPriority w:val="99"/>
    <w:semiHidden/>
    <w:unhideWhenUsed/>
    <w:rsid w:val="00721CF7"/>
    <w:rPr>
      <w:sz w:val="16"/>
      <w:szCs w:val="16"/>
    </w:rPr>
  </w:style>
  <w:style w:type="paragraph" w:styleId="CommentText">
    <w:name w:val="annotation text"/>
    <w:basedOn w:val="Normal"/>
    <w:link w:val="CommentTextChar"/>
    <w:uiPriority w:val="99"/>
    <w:semiHidden/>
    <w:unhideWhenUsed/>
    <w:rsid w:val="00721CF7"/>
    <w:pPr>
      <w:spacing w:line="240" w:lineRule="auto"/>
    </w:pPr>
    <w:rPr>
      <w:sz w:val="20"/>
      <w:szCs w:val="20"/>
    </w:rPr>
  </w:style>
  <w:style w:type="character" w:customStyle="1" w:styleId="CommentTextChar">
    <w:name w:val="Comment Text Char"/>
    <w:basedOn w:val="DefaultParagraphFont"/>
    <w:link w:val="CommentText"/>
    <w:uiPriority w:val="99"/>
    <w:semiHidden/>
    <w:rsid w:val="00721CF7"/>
    <w:rPr>
      <w:sz w:val="20"/>
      <w:szCs w:val="20"/>
      <w:lang w:val="en-GB"/>
    </w:rPr>
  </w:style>
  <w:style w:type="paragraph" w:styleId="CommentSubject">
    <w:name w:val="annotation subject"/>
    <w:basedOn w:val="CommentText"/>
    <w:next w:val="CommentText"/>
    <w:link w:val="CommentSubjectChar"/>
    <w:uiPriority w:val="99"/>
    <w:semiHidden/>
    <w:unhideWhenUsed/>
    <w:rsid w:val="00721CF7"/>
    <w:rPr>
      <w:b/>
      <w:bCs/>
    </w:rPr>
  </w:style>
  <w:style w:type="character" w:customStyle="1" w:styleId="CommentSubjectChar">
    <w:name w:val="Comment Subject Char"/>
    <w:basedOn w:val="CommentTextChar"/>
    <w:link w:val="CommentSubject"/>
    <w:uiPriority w:val="99"/>
    <w:semiHidden/>
    <w:rsid w:val="00721CF7"/>
    <w:rPr>
      <w:b/>
      <w:bCs/>
      <w:sz w:val="20"/>
      <w:szCs w:val="20"/>
      <w:lang w:val="en-GB"/>
    </w:rPr>
  </w:style>
  <w:style w:type="paragraph" w:styleId="BalloonText">
    <w:name w:val="Balloon Text"/>
    <w:basedOn w:val="Normal"/>
    <w:link w:val="BalloonTextChar"/>
    <w:uiPriority w:val="99"/>
    <w:semiHidden/>
    <w:unhideWhenUsed/>
    <w:rsid w:val="00721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CF7"/>
    <w:rPr>
      <w:rFonts w:ascii="Segoe UI" w:hAnsi="Segoe UI" w:cs="Segoe UI"/>
      <w:sz w:val="18"/>
      <w:szCs w:val="18"/>
      <w:lang w:val="en-GB"/>
    </w:rPr>
  </w:style>
  <w:style w:type="paragraph" w:styleId="ListParagraph">
    <w:name w:val="List Paragraph"/>
    <w:basedOn w:val="Normal"/>
    <w:uiPriority w:val="34"/>
    <w:qFormat/>
    <w:rsid w:val="00EC5E25"/>
    <w:pPr>
      <w:ind w:left="720"/>
      <w:contextualSpacing/>
    </w:pPr>
    <w:rPr>
      <w:lang w:val="en-US"/>
    </w:rPr>
  </w:style>
  <w:style w:type="paragraph" w:styleId="Caption">
    <w:name w:val="caption"/>
    <w:basedOn w:val="Normal"/>
    <w:next w:val="Normal"/>
    <w:uiPriority w:val="35"/>
    <w:unhideWhenUsed/>
    <w:qFormat/>
    <w:rsid w:val="00965226"/>
    <w:pPr>
      <w:spacing w:after="200" w:line="240" w:lineRule="auto"/>
    </w:pPr>
    <w:rPr>
      <w:i/>
      <w:iCs/>
      <w:color w:val="44546A" w:themeColor="text2"/>
      <w:sz w:val="18"/>
      <w:szCs w:val="18"/>
    </w:rPr>
  </w:style>
  <w:style w:type="paragraph" w:customStyle="1" w:styleId="Default">
    <w:name w:val="Default"/>
    <w:rsid w:val="00A47FF4"/>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otnoteReference">
    <w:name w:val="footnote reference"/>
    <w:basedOn w:val="DefaultParagraphFont"/>
    <w:uiPriority w:val="99"/>
    <w:semiHidden/>
    <w:unhideWhenUsed/>
    <w:rsid w:val="0096796F"/>
    <w:rPr>
      <w:vertAlign w:val="superscript"/>
    </w:rPr>
  </w:style>
  <w:style w:type="table" w:styleId="TableGrid">
    <w:name w:val="Table Grid"/>
    <w:basedOn w:val="TableNormal"/>
    <w:uiPriority w:val="39"/>
    <w:rsid w:val="00A5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0644"/>
    <w:pPr>
      <w:spacing w:after="0" w:line="240" w:lineRule="auto"/>
    </w:pPr>
    <w:rPr>
      <w:lang w:val="en-GB"/>
    </w:rPr>
  </w:style>
  <w:style w:type="character" w:styleId="Emphasis">
    <w:name w:val="Emphasis"/>
    <w:basedOn w:val="DefaultParagraphFont"/>
    <w:uiPriority w:val="20"/>
    <w:qFormat/>
    <w:rsid w:val="00182297"/>
    <w:rPr>
      <w:i/>
      <w:iCs/>
    </w:rPr>
  </w:style>
  <w:style w:type="paragraph" w:styleId="NormalWeb">
    <w:name w:val="Normal (Web)"/>
    <w:basedOn w:val="Normal"/>
    <w:uiPriority w:val="99"/>
    <w:semiHidden/>
    <w:unhideWhenUsed/>
    <w:rsid w:val="00182297"/>
    <w:pPr>
      <w:spacing w:after="315" w:line="240" w:lineRule="auto"/>
    </w:pPr>
    <w:rPr>
      <w:rFonts w:ascii="Droid Serif" w:eastAsia="Times New Roman" w:hAnsi="Droid Serif" w:cs="Times New Roman"/>
      <w:sz w:val="24"/>
      <w:szCs w:val="24"/>
      <w:lang w:eastAsia="en-GB" w:bidi="bn-BD"/>
    </w:rPr>
  </w:style>
  <w:style w:type="character" w:styleId="Hyperlink">
    <w:name w:val="Hyperlink"/>
    <w:basedOn w:val="DefaultParagraphFont"/>
    <w:uiPriority w:val="99"/>
    <w:unhideWhenUsed/>
    <w:rsid w:val="00F7548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EA"/>
    <w:rPr>
      <w:lang w:val="en-GB"/>
    </w:rPr>
  </w:style>
  <w:style w:type="paragraph" w:styleId="Footer">
    <w:name w:val="footer"/>
    <w:basedOn w:val="Normal"/>
    <w:link w:val="FooterChar"/>
    <w:uiPriority w:val="99"/>
    <w:unhideWhenUsed/>
    <w:rsid w:val="00B35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EA"/>
    <w:rPr>
      <w:lang w:val="en-GB"/>
    </w:rPr>
  </w:style>
  <w:style w:type="paragraph" w:styleId="FootnoteText">
    <w:name w:val="footnote text"/>
    <w:basedOn w:val="Normal"/>
    <w:link w:val="FootnoteTextChar"/>
    <w:uiPriority w:val="99"/>
    <w:unhideWhenUsed/>
    <w:rsid w:val="00B51788"/>
    <w:pPr>
      <w:snapToGrid w:val="0"/>
    </w:pPr>
    <w:rPr>
      <w:rFonts w:eastAsiaTheme="minorEastAsia"/>
      <w:szCs w:val="28"/>
      <w:lang w:val="en-US" w:bidi="bn-IN"/>
    </w:rPr>
  </w:style>
  <w:style w:type="character" w:customStyle="1" w:styleId="FootnoteTextChar">
    <w:name w:val="Footnote Text Char"/>
    <w:basedOn w:val="DefaultParagraphFont"/>
    <w:link w:val="FootnoteText"/>
    <w:uiPriority w:val="99"/>
    <w:rsid w:val="00B51788"/>
    <w:rPr>
      <w:rFonts w:eastAsiaTheme="minorEastAsia"/>
      <w:szCs w:val="28"/>
      <w:lang w:bidi="bn-IN"/>
    </w:rPr>
  </w:style>
  <w:style w:type="character" w:styleId="CommentReference">
    <w:name w:val="annotation reference"/>
    <w:basedOn w:val="DefaultParagraphFont"/>
    <w:uiPriority w:val="99"/>
    <w:semiHidden/>
    <w:unhideWhenUsed/>
    <w:rsid w:val="00721CF7"/>
    <w:rPr>
      <w:sz w:val="16"/>
      <w:szCs w:val="16"/>
    </w:rPr>
  </w:style>
  <w:style w:type="paragraph" w:styleId="CommentText">
    <w:name w:val="annotation text"/>
    <w:basedOn w:val="Normal"/>
    <w:link w:val="CommentTextChar"/>
    <w:uiPriority w:val="99"/>
    <w:semiHidden/>
    <w:unhideWhenUsed/>
    <w:rsid w:val="00721CF7"/>
    <w:pPr>
      <w:spacing w:line="240" w:lineRule="auto"/>
    </w:pPr>
    <w:rPr>
      <w:sz w:val="20"/>
      <w:szCs w:val="20"/>
    </w:rPr>
  </w:style>
  <w:style w:type="character" w:customStyle="1" w:styleId="CommentTextChar">
    <w:name w:val="Comment Text Char"/>
    <w:basedOn w:val="DefaultParagraphFont"/>
    <w:link w:val="CommentText"/>
    <w:uiPriority w:val="99"/>
    <w:semiHidden/>
    <w:rsid w:val="00721CF7"/>
    <w:rPr>
      <w:sz w:val="20"/>
      <w:szCs w:val="20"/>
      <w:lang w:val="en-GB"/>
    </w:rPr>
  </w:style>
  <w:style w:type="paragraph" w:styleId="CommentSubject">
    <w:name w:val="annotation subject"/>
    <w:basedOn w:val="CommentText"/>
    <w:next w:val="CommentText"/>
    <w:link w:val="CommentSubjectChar"/>
    <w:uiPriority w:val="99"/>
    <w:semiHidden/>
    <w:unhideWhenUsed/>
    <w:rsid w:val="00721CF7"/>
    <w:rPr>
      <w:b/>
      <w:bCs/>
    </w:rPr>
  </w:style>
  <w:style w:type="character" w:customStyle="1" w:styleId="CommentSubjectChar">
    <w:name w:val="Comment Subject Char"/>
    <w:basedOn w:val="CommentTextChar"/>
    <w:link w:val="CommentSubject"/>
    <w:uiPriority w:val="99"/>
    <w:semiHidden/>
    <w:rsid w:val="00721CF7"/>
    <w:rPr>
      <w:b/>
      <w:bCs/>
      <w:sz w:val="20"/>
      <w:szCs w:val="20"/>
      <w:lang w:val="en-GB"/>
    </w:rPr>
  </w:style>
  <w:style w:type="paragraph" w:styleId="BalloonText">
    <w:name w:val="Balloon Text"/>
    <w:basedOn w:val="Normal"/>
    <w:link w:val="BalloonTextChar"/>
    <w:uiPriority w:val="99"/>
    <w:semiHidden/>
    <w:unhideWhenUsed/>
    <w:rsid w:val="00721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CF7"/>
    <w:rPr>
      <w:rFonts w:ascii="Segoe UI" w:hAnsi="Segoe UI" w:cs="Segoe UI"/>
      <w:sz w:val="18"/>
      <w:szCs w:val="18"/>
      <w:lang w:val="en-GB"/>
    </w:rPr>
  </w:style>
  <w:style w:type="paragraph" w:styleId="ListParagraph">
    <w:name w:val="List Paragraph"/>
    <w:basedOn w:val="Normal"/>
    <w:uiPriority w:val="34"/>
    <w:qFormat/>
    <w:rsid w:val="00EC5E25"/>
    <w:pPr>
      <w:ind w:left="720"/>
      <w:contextualSpacing/>
    </w:pPr>
    <w:rPr>
      <w:lang w:val="en-US"/>
    </w:rPr>
  </w:style>
  <w:style w:type="paragraph" w:styleId="Caption">
    <w:name w:val="caption"/>
    <w:basedOn w:val="Normal"/>
    <w:next w:val="Normal"/>
    <w:uiPriority w:val="35"/>
    <w:unhideWhenUsed/>
    <w:qFormat/>
    <w:rsid w:val="00965226"/>
    <w:pPr>
      <w:spacing w:after="200" w:line="240" w:lineRule="auto"/>
    </w:pPr>
    <w:rPr>
      <w:i/>
      <w:iCs/>
      <w:color w:val="44546A" w:themeColor="text2"/>
      <w:sz w:val="18"/>
      <w:szCs w:val="18"/>
    </w:rPr>
  </w:style>
  <w:style w:type="paragraph" w:customStyle="1" w:styleId="Default">
    <w:name w:val="Default"/>
    <w:rsid w:val="00A47FF4"/>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otnoteReference">
    <w:name w:val="footnote reference"/>
    <w:basedOn w:val="DefaultParagraphFont"/>
    <w:uiPriority w:val="99"/>
    <w:semiHidden/>
    <w:unhideWhenUsed/>
    <w:rsid w:val="0096796F"/>
    <w:rPr>
      <w:vertAlign w:val="superscript"/>
    </w:rPr>
  </w:style>
  <w:style w:type="table" w:styleId="TableGrid">
    <w:name w:val="Table Grid"/>
    <w:basedOn w:val="TableNormal"/>
    <w:uiPriority w:val="39"/>
    <w:rsid w:val="00A5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0644"/>
    <w:pPr>
      <w:spacing w:after="0" w:line="240" w:lineRule="auto"/>
    </w:pPr>
    <w:rPr>
      <w:lang w:val="en-GB"/>
    </w:rPr>
  </w:style>
  <w:style w:type="character" w:styleId="Emphasis">
    <w:name w:val="Emphasis"/>
    <w:basedOn w:val="DefaultParagraphFont"/>
    <w:uiPriority w:val="20"/>
    <w:qFormat/>
    <w:rsid w:val="00182297"/>
    <w:rPr>
      <w:i/>
      <w:iCs/>
    </w:rPr>
  </w:style>
  <w:style w:type="paragraph" w:styleId="NormalWeb">
    <w:name w:val="Normal (Web)"/>
    <w:basedOn w:val="Normal"/>
    <w:uiPriority w:val="99"/>
    <w:semiHidden/>
    <w:unhideWhenUsed/>
    <w:rsid w:val="00182297"/>
    <w:pPr>
      <w:spacing w:after="315" w:line="240" w:lineRule="auto"/>
    </w:pPr>
    <w:rPr>
      <w:rFonts w:ascii="Droid Serif" w:eastAsia="Times New Roman" w:hAnsi="Droid Serif" w:cs="Times New Roman"/>
      <w:sz w:val="24"/>
      <w:szCs w:val="24"/>
      <w:lang w:eastAsia="en-GB" w:bidi="bn-BD"/>
    </w:rPr>
  </w:style>
  <w:style w:type="character" w:styleId="Hyperlink">
    <w:name w:val="Hyperlink"/>
    <w:basedOn w:val="DefaultParagraphFont"/>
    <w:uiPriority w:val="99"/>
    <w:unhideWhenUsed/>
    <w:rsid w:val="00F754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4373">
      <w:bodyDiv w:val="1"/>
      <w:marLeft w:val="0"/>
      <w:marRight w:val="0"/>
      <w:marTop w:val="0"/>
      <w:marBottom w:val="0"/>
      <w:divBdr>
        <w:top w:val="none" w:sz="0" w:space="0" w:color="auto"/>
        <w:left w:val="none" w:sz="0" w:space="0" w:color="auto"/>
        <w:bottom w:val="none" w:sz="0" w:space="0" w:color="auto"/>
        <w:right w:val="none" w:sz="0" w:space="0" w:color="auto"/>
      </w:divBdr>
      <w:divsChild>
        <w:div w:id="714934059">
          <w:marLeft w:val="0"/>
          <w:marRight w:val="0"/>
          <w:marTop w:val="0"/>
          <w:marBottom w:val="0"/>
          <w:divBdr>
            <w:top w:val="none" w:sz="0" w:space="0" w:color="auto"/>
            <w:left w:val="none" w:sz="0" w:space="0" w:color="auto"/>
            <w:bottom w:val="none" w:sz="0" w:space="0" w:color="auto"/>
            <w:right w:val="none" w:sz="0" w:space="0" w:color="auto"/>
          </w:divBdr>
          <w:divsChild>
            <w:div w:id="1142037040">
              <w:marLeft w:val="0"/>
              <w:marRight w:val="0"/>
              <w:marTop w:val="0"/>
              <w:marBottom w:val="0"/>
              <w:divBdr>
                <w:top w:val="none" w:sz="0" w:space="0" w:color="auto"/>
                <w:left w:val="none" w:sz="0" w:space="0" w:color="auto"/>
                <w:bottom w:val="none" w:sz="0" w:space="0" w:color="auto"/>
                <w:right w:val="none" w:sz="0" w:space="0" w:color="auto"/>
              </w:divBdr>
              <w:divsChild>
                <w:div w:id="2002808114">
                  <w:marLeft w:val="0"/>
                  <w:marRight w:val="0"/>
                  <w:marTop w:val="0"/>
                  <w:marBottom w:val="0"/>
                  <w:divBdr>
                    <w:top w:val="none" w:sz="0" w:space="0" w:color="auto"/>
                    <w:left w:val="none" w:sz="0" w:space="0" w:color="auto"/>
                    <w:bottom w:val="none" w:sz="0" w:space="0" w:color="auto"/>
                    <w:right w:val="none" w:sz="0" w:space="0" w:color="auto"/>
                  </w:divBdr>
                  <w:divsChild>
                    <w:div w:id="1943418436">
                      <w:marLeft w:val="0"/>
                      <w:marRight w:val="0"/>
                      <w:marTop w:val="0"/>
                      <w:marBottom w:val="0"/>
                      <w:divBdr>
                        <w:top w:val="none" w:sz="0" w:space="0" w:color="auto"/>
                        <w:left w:val="none" w:sz="0" w:space="0" w:color="auto"/>
                        <w:bottom w:val="none" w:sz="0" w:space="0" w:color="auto"/>
                        <w:right w:val="none" w:sz="0" w:space="0" w:color="auto"/>
                      </w:divBdr>
                      <w:divsChild>
                        <w:div w:id="2057777762">
                          <w:marLeft w:val="0"/>
                          <w:marRight w:val="0"/>
                          <w:marTop w:val="0"/>
                          <w:marBottom w:val="0"/>
                          <w:divBdr>
                            <w:top w:val="none" w:sz="0" w:space="0" w:color="auto"/>
                            <w:left w:val="none" w:sz="0" w:space="0" w:color="auto"/>
                            <w:bottom w:val="none" w:sz="0" w:space="0" w:color="auto"/>
                            <w:right w:val="none" w:sz="0" w:space="0" w:color="auto"/>
                          </w:divBdr>
                          <w:divsChild>
                            <w:div w:id="676540673">
                              <w:marLeft w:val="0"/>
                              <w:marRight w:val="0"/>
                              <w:marTop w:val="0"/>
                              <w:marBottom w:val="0"/>
                              <w:divBdr>
                                <w:top w:val="none" w:sz="0" w:space="0" w:color="auto"/>
                                <w:left w:val="none" w:sz="0" w:space="0" w:color="auto"/>
                                <w:bottom w:val="none" w:sz="0" w:space="0" w:color="auto"/>
                                <w:right w:val="none" w:sz="0" w:space="0" w:color="auto"/>
                              </w:divBdr>
                              <w:divsChild>
                                <w:div w:id="1689285367">
                                  <w:marLeft w:val="0"/>
                                  <w:marRight w:val="0"/>
                                  <w:marTop w:val="0"/>
                                  <w:marBottom w:val="0"/>
                                  <w:divBdr>
                                    <w:top w:val="none" w:sz="0" w:space="0" w:color="auto"/>
                                    <w:left w:val="none" w:sz="0" w:space="0" w:color="auto"/>
                                    <w:bottom w:val="none" w:sz="0" w:space="0" w:color="auto"/>
                                    <w:right w:val="none" w:sz="0" w:space="0" w:color="auto"/>
                                  </w:divBdr>
                                  <w:divsChild>
                                    <w:div w:id="175777047">
                                      <w:marLeft w:val="0"/>
                                      <w:marRight w:val="0"/>
                                      <w:marTop w:val="0"/>
                                      <w:marBottom w:val="0"/>
                                      <w:divBdr>
                                        <w:top w:val="none" w:sz="0" w:space="0" w:color="auto"/>
                                        <w:left w:val="none" w:sz="0" w:space="0" w:color="auto"/>
                                        <w:bottom w:val="none" w:sz="0" w:space="0" w:color="auto"/>
                                        <w:right w:val="none" w:sz="0" w:space="0" w:color="auto"/>
                                      </w:divBdr>
                                      <w:divsChild>
                                        <w:div w:id="1478254552">
                                          <w:marLeft w:val="0"/>
                                          <w:marRight w:val="0"/>
                                          <w:marTop w:val="0"/>
                                          <w:marBottom w:val="0"/>
                                          <w:divBdr>
                                            <w:top w:val="none" w:sz="0" w:space="0" w:color="auto"/>
                                            <w:left w:val="none" w:sz="0" w:space="0" w:color="auto"/>
                                            <w:bottom w:val="none" w:sz="0" w:space="0" w:color="auto"/>
                                            <w:right w:val="none" w:sz="0" w:space="0" w:color="auto"/>
                                          </w:divBdr>
                                          <w:divsChild>
                                            <w:div w:id="1181510956">
                                              <w:marLeft w:val="0"/>
                                              <w:marRight w:val="0"/>
                                              <w:marTop w:val="0"/>
                                              <w:marBottom w:val="0"/>
                                              <w:divBdr>
                                                <w:top w:val="none" w:sz="0" w:space="0" w:color="auto"/>
                                                <w:left w:val="none" w:sz="0" w:space="0" w:color="auto"/>
                                                <w:bottom w:val="none" w:sz="0" w:space="0" w:color="auto"/>
                                                <w:right w:val="none" w:sz="0" w:space="0" w:color="auto"/>
                                              </w:divBdr>
                                              <w:divsChild>
                                                <w:div w:id="1025794300">
                                                  <w:marLeft w:val="0"/>
                                                  <w:marRight w:val="0"/>
                                                  <w:marTop w:val="0"/>
                                                  <w:marBottom w:val="0"/>
                                                  <w:divBdr>
                                                    <w:top w:val="none" w:sz="0" w:space="0" w:color="auto"/>
                                                    <w:left w:val="none" w:sz="0" w:space="0" w:color="auto"/>
                                                    <w:bottom w:val="none" w:sz="0" w:space="0" w:color="auto"/>
                                                    <w:right w:val="none" w:sz="0" w:space="0" w:color="auto"/>
                                                  </w:divBdr>
                                                  <w:divsChild>
                                                    <w:div w:id="471483779">
                                                      <w:marLeft w:val="0"/>
                                                      <w:marRight w:val="0"/>
                                                      <w:marTop w:val="0"/>
                                                      <w:marBottom w:val="0"/>
                                                      <w:divBdr>
                                                        <w:top w:val="none" w:sz="0" w:space="0" w:color="auto"/>
                                                        <w:left w:val="none" w:sz="0" w:space="0" w:color="auto"/>
                                                        <w:bottom w:val="none" w:sz="0" w:space="0" w:color="auto"/>
                                                        <w:right w:val="none" w:sz="0" w:space="0" w:color="auto"/>
                                                      </w:divBdr>
                                                      <w:divsChild>
                                                        <w:div w:id="1288510874">
                                                          <w:marLeft w:val="0"/>
                                                          <w:marRight w:val="0"/>
                                                          <w:marTop w:val="0"/>
                                                          <w:marBottom w:val="0"/>
                                                          <w:divBdr>
                                                            <w:top w:val="none" w:sz="0" w:space="0" w:color="auto"/>
                                                            <w:left w:val="none" w:sz="0" w:space="0" w:color="auto"/>
                                                            <w:bottom w:val="none" w:sz="0" w:space="0" w:color="auto"/>
                                                            <w:right w:val="none" w:sz="0" w:space="0" w:color="auto"/>
                                                          </w:divBdr>
                                                          <w:divsChild>
                                                            <w:div w:id="205333111">
                                                              <w:marLeft w:val="0"/>
                                                              <w:marRight w:val="0"/>
                                                              <w:marTop w:val="0"/>
                                                              <w:marBottom w:val="0"/>
                                                              <w:divBdr>
                                                                <w:top w:val="none" w:sz="0" w:space="0" w:color="auto"/>
                                                                <w:left w:val="none" w:sz="0" w:space="0" w:color="auto"/>
                                                                <w:bottom w:val="none" w:sz="0" w:space="0" w:color="auto"/>
                                                                <w:right w:val="none" w:sz="0" w:space="0" w:color="auto"/>
                                                              </w:divBdr>
                                                              <w:divsChild>
                                                                <w:div w:id="1573543406">
                                                                  <w:marLeft w:val="0"/>
                                                                  <w:marRight w:val="0"/>
                                                                  <w:marTop w:val="0"/>
                                                                  <w:marBottom w:val="0"/>
                                                                  <w:divBdr>
                                                                    <w:top w:val="none" w:sz="0" w:space="0" w:color="auto"/>
                                                                    <w:left w:val="none" w:sz="0" w:space="0" w:color="auto"/>
                                                                    <w:bottom w:val="none" w:sz="0" w:space="0" w:color="auto"/>
                                                                    <w:right w:val="none" w:sz="0" w:space="0" w:color="auto"/>
                                                                  </w:divBdr>
                                                                  <w:divsChild>
                                                                    <w:div w:id="1822186885">
                                                                      <w:marLeft w:val="0"/>
                                                                      <w:marRight w:val="0"/>
                                                                      <w:marTop w:val="0"/>
                                                                      <w:marBottom w:val="0"/>
                                                                      <w:divBdr>
                                                                        <w:top w:val="none" w:sz="0" w:space="0" w:color="auto"/>
                                                                        <w:left w:val="none" w:sz="0" w:space="0" w:color="auto"/>
                                                                        <w:bottom w:val="none" w:sz="0" w:space="0" w:color="auto"/>
                                                                        <w:right w:val="none" w:sz="0" w:space="0" w:color="auto"/>
                                                                      </w:divBdr>
                                                                      <w:divsChild>
                                                                        <w:div w:id="718557516">
                                                                          <w:marLeft w:val="0"/>
                                                                          <w:marRight w:val="0"/>
                                                                          <w:marTop w:val="0"/>
                                                                          <w:marBottom w:val="0"/>
                                                                          <w:divBdr>
                                                                            <w:top w:val="none" w:sz="0" w:space="0" w:color="auto"/>
                                                                            <w:left w:val="none" w:sz="0" w:space="0" w:color="auto"/>
                                                                            <w:bottom w:val="none" w:sz="0" w:space="0" w:color="auto"/>
                                                                            <w:right w:val="none" w:sz="0" w:space="0" w:color="auto"/>
                                                                          </w:divBdr>
                                                                          <w:divsChild>
                                                                            <w:div w:id="605579819">
                                                                              <w:marLeft w:val="0"/>
                                                                              <w:marRight w:val="0"/>
                                                                              <w:marTop w:val="0"/>
                                                                              <w:marBottom w:val="0"/>
                                                                              <w:divBdr>
                                                                                <w:top w:val="none" w:sz="0" w:space="0" w:color="auto"/>
                                                                                <w:left w:val="none" w:sz="0" w:space="0" w:color="auto"/>
                                                                                <w:bottom w:val="none" w:sz="0" w:space="0" w:color="auto"/>
                                                                                <w:right w:val="none" w:sz="0" w:space="0" w:color="auto"/>
                                                                              </w:divBdr>
                                                                              <w:divsChild>
                                                                                <w:div w:id="730468100">
                                                                                  <w:marLeft w:val="0"/>
                                                                                  <w:marRight w:val="0"/>
                                                                                  <w:marTop w:val="0"/>
                                                                                  <w:marBottom w:val="0"/>
                                                                                  <w:divBdr>
                                                                                    <w:top w:val="none" w:sz="0" w:space="0" w:color="auto"/>
                                                                                    <w:left w:val="none" w:sz="0" w:space="0" w:color="auto"/>
                                                                                    <w:bottom w:val="none" w:sz="0" w:space="0" w:color="auto"/>
                                                                                    <w:right w:val="none" w:sz="0" w:space="0" w:color="auto"/>
                                                                                  </w:divBdr>
                                                                                  <w:divsChild>
                                                                                    <w:div w:id="932397919">
                                                                                      <w:marLeft w:val="0"/>
                                                                                      <w:marRight w:val="0"/>
                                                                                      <w:marTop w:val="0"/>
                                                                                      <w:marBottom w:val="0"/>
                                                                                      <w:divBdr>
                                                                                        <w:top w:val="none" w:sz="0" w:space="0" w:color="auto"/>
                                                                                        <w:left w:val="none" w:sz="0" w:space="0" w:color="auto"/>
                                                                                        <w:bottom w:val="none" w:sz="0" w:space="0" w:color="auto"/>
                                                                                        <w:right w:val="none" w:sz="0" w:space="0" w:color="auto"/>
                                                                                      </w:divBdr>
                                                                                      <w:divsChild>
                                                                                        <w:div w:id="1132362712">
                                                                                          <w:marLeft w:val="0"/>
                                                                                          <w:marRight w:val="0"/>
                                                                                          <w:marTop w:val="0"/>
                                                                                          <w:marBottom w:val="0"/>
                                                                                          <w:divBdr>
                                                                                            <w:top w:val="none" w:sz="0" w:space="0" w:color="auto"/>
                                                                                            <w:left w:val="none" w:sz="0" w:space="0" w:color="auto"/>
                                                                                            <w:bottom w:val="none" w:sz="0" w:space="0" w:color="auto"/>
                                                                                            <w:right w:val="none" w:sz="0" w:space="0" w:color="auto"/>
                                                                                          </w:divBdr>
                                                                                          <w:divsChild>
                                                                                            <w:div w:id="57826936">
                                                                                              <w:marLeft w:val="0"/>
                                                                                              <w:marRight w:val="120"/>
                                                                                              <w:marTop w:val="0"/>
                                                                                              <w:marBottom w:val="150"/>
                                                                                              <w:divBdr>
                                                                                                <w:top w:val="single" w:sz="2" w:space="0" w:color="EFEFEF"/>
                                                                                                <w:left w:val="single" w:sz="6" w:space="0" w:color="EFEFEF"/>
                                                                                                <w:bottom w:val="single" w:sz="6" w:space="0" w:color="E2E2E2"/>
                                                                                                <w:right w:val="single" w:sz="6" w:space="0" w:color="EFEFEF"/>
                                                                                              </w:divBdr>
                                                                                              <w:divsChild>
                                                                                                <w:div w:id="1161504751">
                                                                                                  <w:marLeft w:val="0"/>
                                                                                                  <w:marRight w:val="0"/>
                                                                                                  <w:marTop w:val="0"/>
                                                                                                  <w:marBottom w:val="0"/>
                                                                                                  <w:divBdr>
                                                                                                    <w:top w:val="none" w:sz="0" w:space="0" w:color="auto"/>
                                                                                                    <w:left w:val="none" w:sz="0" w:space="0" w:color="auto"/>
                                                                                                    <w:bottom w:val="none" w:sz="0" w:space="0" w:color="auto"/>
                                                                                                    <w:right w:val="none" w:sz="0" w:space="0" w:color="auto"/>
                                                                                                  </w:divBdr>
                                                                                                  <w:divsChild>
                                                                                                    <w:div w:id="1611350576">
                                                                                                      <w:marLeft w:val="0"/>
                                                                                                      <w:marRight w:val="0"/>
                                                                                                      <w:marTop w:val="0"/>
                                                                                                      <w:marBottom w:val="0"/>
                                                                                                      <w:divBdr>
                                                                                                        <w:top w:val="none" w:sz="0" w:space="0" w:color="auto"/>
                                                                                                        <w:left w:val="none" w:sz="0" w:space="0" w:color="auto"/>
                                                                                                        <w:bottom w:val="none" w:sz="0" w:space="0" w:color="auto"/>
                                                                                                        <w:right w:val="none" w:sz="0" w:space="0" w:color="auto"/>
                                                                                                      </w:divBdr>
                                                                                                      <w:divsChild>
                                                                                                        <w:div w:id="623006134">
                                                                                                          <w:marLeft w:val="0"/>
                                                                                                          <w:marRight w:val="0"/>
                                                                                                          <w:marTop w:val="0"/>
                                                                                                          <w:marBottom w:val="0"/>
                                                                                                          <w:divBdr>
                                                                                                            <w:top w:val="none" w:sz="0" w:space="0" w:color="auto"/>
                                                                                                            <w:left w:val="none" w:sz="0" w:space="0" w:color="auto"/>
                                                                                                            <w:bottom w:val="none" w:sz="0" w:space="0" w:color="auto"/>
                                                                                                            <w:right w:val="none" w:sz="0" w:space="0" w:color="auto"/>
                                                                                                          </w:divBdr>
                                                                                                          <w:divsChild>
                                                                                                            <w:div w:id="1003971528">
                                                                                                              <w:marLeft w:val="0"/>
                                                                                                              <w:marRight w:val="0"/>
                                                                                                              <w:marTop w:val="0"/>
                                                                                                              <w:marBottom w:val="0"/>
                                                                                                              <w:divBdr>
                                                                                                                <w:top w:val="none" w:sz="0" w:space="0" w:color="auto"/>
                                                                                                                <w:left w:val="none" w:sz="0" w:space="0" w:color="auto"/>
                                                                                                                <w:bottom w:val="none" w:sz="0" w:space="0" w:color="auto"/>
                                                                                                                <w:right w:val="none" w:sz="0" w:space="0" w:color="auto"/>
                                                                                                              </w:divBdr>
                                                                                                              <w:divsChild>
                                                                                                                <w:div w:id="109125876">
                                                                                                                  <w:marLeft w:val="0"/>
                                                                                                                  <w:marRight w:val="0"/>
                                                                                                                  <w:marTop w:val="0"/>
                                                                                                                  <w:marBottom w:val="0"/>
                                                                                                                  <w:divBdr>
                                                                                                                    <w:top w:val="single" w:sz="2" w:space="4" w:color="D8D8D8"/>
                                                                                                                    <w:left w:val="single" w:sz="2" w:space="0" w:color="D8D8D8"/>
                                                                                                                    <w:bottom w:val="single" w:sz="2" w:space="4" w:color="D8D8D8"/>
                                                                                                                    <w:right w:val="single" w:sz="2" w:space="0" w:color="D8D8D8"/>
                                                                                                                  </w:divBdr>
                                                                                                                  <w:divsChild>
                                                                                                                    <w:div w:id="2062633502">
                                                                                                                      <w:marLeft w:val="225"/>
                                                                                                                      <w:marRight w:val="225"/>
                                                                                                                      <w:marTop w:val="75"/>
                                                                                                                      <w:marBottom w:val="75"/>
                                                                                                                      <w:divBdr>
                                                                                                                        <w:top w:val="none" w:sz="0" w:space="0" w:color="auto"/>
                                                                                                                        <w:left w:val="none" w:sz="0" w:space="0" w:color="auto"/>
                                                                                                                        <w:bottom w:val="none" w:sz="0" w:space="0" w:color="auto"/>
                                                                                                                        <w:right w:val="none" w:sz="0" w:space="0" w:color="auto"/>
                                                                                                                      </w:divBdr>
                                                                                                                      <w:divsChild>
                                                                                                                        <w:div w:id="2095005250">
                                                                                                                          <w:marLeft w:val="0"/>
                                                                                                                          <w:marRight w:val="0"/>
                                                                                                                          <w:marTop w:val="0"/>
                                                                                                                          <w:marBottom w:val="0"/>
                                                                                                                          <w:divBdr>
                                                                                                                            <w:top w:val="single" w:sz="6" w:space="0" w:color="auto"/>
                                                                                                                            <w:left w:val="single" w:sz="6" w:space="0" w:color="auto"/>
                                                                                                                            <w:bottom w:val="single" w:sz="6" w:space="0" w:color="auto"/>
                                                                                                                            <w:right w:val="single" w:sz="6" w:space="0" w:color="auto"/>
                                                                                                                          </w:divBdr>
                                                                                                                          <w:divsChild>
                                                                                                                            <w:div w:id="1241451734">
                                                                                                                              <w:marLeft w:val="0"/>
                                                                                                                              <w:marRight w:val="0"/>
                                                                                                                              <w:marTop w:val="0"/>
                                                                                                                              <w:marBottom w:val="0"/>
                                                                                                                              <w:divBdr>
                                                                                                                                <w:top w:val="none" w:sz="0" w:space="0" w:color="auto"/>
                                                                                                                                <w:left w:val="none" w:sz="0" w:space="0" w:color="auto"/>
                                                                                                                                <w:bottom w:val="none" w:sz="0" w:space="0" w:color="auto"/>
                                                                                                                                <w:right w:val="none" w:sz="0" w:space="0" w:color="auto"/>
                                                                                                                              </w:divBdr>
                                                                                                                              <w:divsChild>
                                                                                                                                <w:div w:id="872184655">
                                                                                                                                  <w:marLeft w:val="0"/>
                                                                                                                                  <w:marRight w:val="0"/>
                                                                                                                                  <w:marTop w:val="0"/>
                                                                                                                                  <w:marBottom w:val="0"/>
                                                                                                                                  <w:divBdr>
                                                                                                                                    <w:top w:val="none" w:sz="0" w:space="0" w:color="auto"/>
                                                                                                                                    <w:left w:val="none" w:sz="0" w:space="0" w:color="auto"/>
                                                                                                                                    <w:bottom w:val="none" w:sz="0" w:space="0" w:color="auto"/>
                                                                                                                                    <w:right w:val="none" w:sz="0" w:space="0" w:color="auto"/>
                                                                                                                                  </w:divBdr>
                                                                                                                                </w:div>
                                                                                                                                <w:div w:id="903180530">
                                                                                                                                  <w:marLeft w:val="0"/>
                                                                                                                                  <w:marRight w:val="0"/>
                                                                                                                                  <w:marTop w:val="0"/>
                                                                                                                                  <w:marBottom w:val="0"/>
                                                                                                                                  <w:divBdr>
                                                                                                                                    <w:top w:val="none" w:sz="0" w:space="0" w:color="auto"/>
                                                                                                                                    <w:left w:val="none" w:sz="0" w:space="0" w:color="auto"/>
                                                                                                                                    <w:bottom w:val="none" w:sz="0" w:space="0" w:color="auto"/>
                                                                                                                                    <w:right w:val="none" w:sz="0" w:space="0" w:color="auto"/>
                                                                                                                                  </w:divBdr>
                                                                                                                                </w:div>
                                                                                                                                <w:div w:id="6843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62762">
      <w:bodyDiv w:val="1"/>
      <w:marLeft w:val="0"/>
      <w:marRight w:val="0"/>
      <w:marTop w:val="0"/>
      <w:marBottom w:val="0"/>
      <w:divBdr>
        <w:top w:val="none" w:sz="0" w:space="0" w:color="auto"/>
        <w:left w:val="none" w:sz="0" w:space="0" w:color="auto"/>
        <w:bottom w:val="none" w:sz="0" w:space="0" w:color="auto"/>
        <w:right w:val="none" w:sz="0" w:space="0" w:color="auto"/>
      </w:divBdr>
    </w:div>
    <w:div w:id="263153321">
      <w:bodyDiv w:val="1"/>
      <w:marLeft w:val="0"/>
      <w:marRight w:val="0"/>
      <w:marTop w:val="0"/>
      <w:marBottom w:val="0"/>
      <w:divBdr>
        <w:top w:val="none" w:sz="0" w:space="0" w:color="auto"/>
        <w:left w:val="none" w:sz="0" w:space="0" w:color="auto"/>
        <w:bottom w:val="none" w:sz="0" w:space="0" w:color="auto"/>
        <w:right w:val="none" w:sz="0" w:space="0" w:color="auto"/>
      </w:divBdr>
    </w:div>
    <w:div w:id="710809825">
      <w:bodyDiv w:val="1"/>
      <w:marLeft w:val="0"/>
      <w:marRight w:val="0"/>
      <w:marTop w:val="0"/>
      <w:marBottom w:val="0"/>
      <w:divBdr>
        <w:top w:val="none" w:sz="0" w:space="0" w:color="auto"/>
        <w:left w:val="none" w:sz="0" w:space="0" w:color="auto"/>
        <w:bottom w:val="none" w:sz="0" w:space="0" w:color="auto"/>
        <w:right w:val="none" w:sz="0" w:space="0" w:color="auto"/>
      </w:divBdr>
      <w:divsChild>
        <w:div w:id="113184213">
          <w:marLeft w:val="0"/>
          <w:marRight w:val="0"/>
          <w:marTop w:val="2160"/>
          <w:marBottom w:val="0"/>
          <w:divBdr>
            <w:top w:val="none" w:sz="0" w:space="0" w:color="auto"/>
            <w:left w:val="none" w:sz="0" w:space="0" w:color="auto"/>
            <w:bottom w:val="none" w:sz="0" w:space="0" w:color="auto"/>
            <w:right w:val="none" w:sz="0" w:space="0" w:color="auto"/>
          </w:divBdr>
          <w:divsChild>
            <w:div w:id="1231422808">
              <w:marLeft w:val="0"/>
              <w:marRight w:val="0"/>
              <w:marTop w:val="0"/>
              <w:marBottom w:val="0"/>
              <w:divBdr>
                <w:top w:val="none" w:sz="0" w:space="0" w:color="auto"/>
                <w:left w:val="none" w:sz="0" w:space="0" w:color="auto"/>
                <w:bottom w:val="none" w:sz="0" w:space="0" w:color="auto"/>
                <w:right w:val="none" w:sz="0" w:space="0" w:color="auto"/>
              </w:divBdr>
              <w:divsChild>
                <w:div w:id="787089881">
                  <w:marLeft w:val="0"/>
                  <w:marRight w:val="0"/>
                  <w:marTop w:val="0"/>
                  <w:marBottom w:val="0"/>
                  <w:divBdr>
                    <w:top w:val="none" w:sz="0" w:space="0" w:color="auto"/>
                    <w:left w:val="none" w:sz="0" w:space="0" w:color="auto"/>
                    <w:bottom w:val="none" w:sz="0" w:space="0" w:color="auto"/>
                    <w:right w:val="none" w:sz="0" w:space="0" w:color="auto"/>
                  </w:divBdr>
                  <w:divsChild>
                    <w:div w:id="579490523">
                      <w:marLeft w:val="0"/>
                      <w:marRight w:val="0"/>
                      <w:marTop w:val="0"/>
                      <w:marBottom w:val="0"/>
                      <w:divBdr>
                        <w:top w:val="none" w:sz="0" w:space="0" w:color="auto"/>
                        <w:left w:val="none" w:sz="0" w:space="0" w:color="auto"/>
                        <w:bottom w:val="none" w:sz="0" w:space="0" w:color="auto"/>
                        <w:right w:val="none" w:sz="0" w:space="0" w:color="auto"/>
                      </w:divBdr>
                      <w:divsChild>
                        <w:div w:id="7817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257879">
      <w:bodyDiv w:val="1"/>
      <w:marLeft w:val="0"/>
      <w:marRight w:val="0"/>
      <w:marTop w:val="0"/>
      <w:marBottom w:val="0"/>
      <w:divBdr>
        <w:top w:val="none" w:sz="0" w:space="0" w:color="auto"/>
        <w:left w:val="none" w:sz="0" w:space="0" w:color="auto"/>
        <w:bottom w:val="none" w:sz="0" w:space="0" w:color="auto"/>
        <w:right w:val="none" w:sz="0" w:space="0" w:color="auto"/>
      </w:divBdr>
      <w:divsChild>
        <w:div w:id="646710203">
          <w:marLeft w:val="360"/>
          <w:marRight w:val="0"/>
          <w:marTop w:val="200"/>
          <w:marBottom w:val="0"/>
          <w:divBdr>
            <w:top w:val="none" w:sz="0" w:space="0" w:color="auto"/>
            <w:left w:val="none" w:sz="0" w:space="0" w:color="auto"/>
            <w:bottom w:val="none" w:sz="0" w:space="0" w:color="auto"/>
            <w:right w:val="none" w:sz="0" w:space="0" w:color="auto"/>
          </w:divBdr>
        </w:div>
        <w:div w:id="711536682">
          <w:marLeft w:val="1080"/>
          <w:marRight w:val="0"/>
          <w:marTop w:val="100"/>
          <w:marBottom w:val="0"/>
          <w:divBdr>
            <w:top w:val="none" w:sz="0" w:space="0" w:color="auto"/>
            <w:left w:val="none" w:sz="0" w:space="0" w:color="auto"/>
            <w:bottom w:val="none" w:sz="0" w:space="0" w:color="auto"/>
            <w:right w:val="none" w:sz="0" w:space="0" w:color="auto"/>
          </w:divBdr>
        </w:div>
        <w:div w:id="1221358648">
          <w:marLeft w:val="360"/>
          <w:marRight w:val="0"/>
          <w:marTop w:val="200"/>
          <w:marBottom w:val="0"/>
          <w:divBdr>
            <w:top w:val="none" w:sz="0" w:space="0" w:color="auto"/>
            <w:left w:val="none" w:sz="0" w:space="0" w:color="auto"/>
            <w:bottom w:val="none" w:sz="0" w:space="0" w:color="auto"/>
            <w:right w:val="none" w:sz="0" w:space="0" w:color="auto"/>
          </w:divBdr>
        </w:div>
        <w:div w:id="1353146328">
          <w:marLeft w:val="360"/>
          <w:marRight w:val="0"/>
          <w:marTop w:val="200"/>
          <w:marBottom w:val="0"/>
          <w:divBdr>
            <w:top w:val="none" w:sz="0" w:space="0" w:color="auto"/>
            <w:left w:val="none" w:sz="0" w:space="0" w:color="auto"/>
            <w:bottom w:val="none" w:sz="0" w:space="0" w:color="auto"/>
            <w:right w:val="none" w:sz="0" w:space="0" w:color="auto"/>
          </w:divBdr>
        </w:div>
        <w:div w:id="2112388298">
          <w:marLeft w:val="1080"/>
          <w:marRight w:val="0"/>
          <w:marTop w:val="100"/>
          <w:marBottom w:val="0"/>
          <w:divBdr>
            <w:top w:val="none" w:sz="0" w:space="0" w:color="auto"/>
            <w:left w:val="none" w:sz="0" w:space="0" w:color="auto"/>
            <w:bottom w:val="none" w:sz="0" w:space="0" w:color="auto"/>
            <w:right w:val="none" w:sz="0" w:space="0" w:color="auto"/>
          </w:divBdr>
        </w:div>
        <w:div w:id="2127964325">
          <w:marLeft w:val="360"/>
          <w:marRight w:val="0"/>
          <w:marTop w:val="200"/>
          <w:marBottom w:val="0"/>
          <w:divBdr>
            <w:top w:val="none" w:sz="0" w:space="0" w:color="auto"/>
            <w:left w:val="none" w:sz="0" w:space="0" w:color="auto"/>
            <w:bottom w:val="none" w:sz="0" w:space="0" w:color="auto"/>
            <w:right w:val="none" w:sz="0" w:space="0" w:color="auto"/>
          </w:divBdr>
        </w:div>
      </w:divsChild>
    </w:div>
    <w:div w:id="1227567961">
      <w:bodyDiv w:val="1"/>
      <w:marLeft w:val="0"/>
      <w:marRight w:val="0"/>
      <w:marTop w:val="0"/>
      <w:marBottom w:val="0"/>
      <w:divBdr>
        <w:top w:val="none" w:sz="0" w:space="0" w:color="auto"/>
        <w:left w:val="none" w:sz="0" w:space="0" w:color="auto"/>
        <w:bottom w:val="none" w:sz="0" w:space="0" w:color="auto"/>
        <w:right w:val="none" w:sz="0" w:space="0" w:color="auto"/>
      </w:divBdr>
      <w:divsChild>
        <w:div w:id="769739806">
          <w:marLeft w:val="360"/>
          <w:marRight w:val="0"/>
          <w:marTop w:val="200"/>
          <w:marBottom w:val="0"/>
          <w:divBdr>
            <w:top w:val="none" w:sz="0" w:space="0" w:color="auto"/>
            <w:left w:val="none" w:sz="0" w:space="0" w:color="auto"/>
            <w:bottom w:val="none" w:sz="0" w:space="0" w:color="auto"/>
            <w:right w:val="none" w:sz="0" w:space="0" w:color="auto"/>
          </w:divBdr>
        </w:div>
        <w:div w:id="797920292">
          <w:marLeft w:val="1080"/>
          <w:marRight w:val="0"/>
          <w:marTop w:val="100"/>
          <w:marBottom w:val="0"/>
          <w:divBdr>
            <w:top w:val="none" w:sz="0" w:space="0" w:color="auto"/>
            <w:left w:val="none" w:sz="0" w:space="0" w:color="auto"/>
            <w:bottom w:val="none" w:sz="0" w:space="0" w:color="auto"/>
            <w:right w:val="none" w:sz="0" w:space="0" w:color="auto"/>
          </w:divBdr>
        </w:div>
        <w:div w:id="844829856">
          <w:marLeft w:val="360"/>
          <w:marRight w:val="0"/>
          <w:marTop w:val="200"/>
          <w:marBottom w:val="0"/>
          <w:divBdr>
            <w:top w:val="none" w:sz="0" w:space="0" w:color="auto"/>
            <w:left w:val="none" w:sz="0" w:space="0" w:color="auto"/>
            <w:bottom w:val="none" w:sz="0" w:space="0" w:color="auto"/>
            <w:right w:val="none" w:sz="0" w:space="0" w:color="auto"/>
          </w:divBdr>
        </w:div>
        <w:div w:id="973826911">
          <w:marLeft w:val="1080"/>
          <w:marRight w:val="0"/>
          <w:marTop w:val="100"/>
          <w:marBottom w:val="0"/>
          <w:divBdr>
            <w:top w:val="none" w:sz="0" w:space="0" w:color="auto"/>
            <w:left w:val="none" w:sz="0" w:space="0" w:color="auto"/>
            <w:bottom w:val="none" w:sz="0" w:space="0" w:color="auto"/>
            <w:right w:val="none" w:sz="0" w:space="0" w:color="auto"/>
          </w:divBdr>
        </w:div>
        <w:div w:id="1224296779">
          <w:marLeft w:val="360"/>
          <w:marRight w:val="0"/>
          <w:marTop w:val="200"/>
          <w:marBottom w:val="0"/>
          <w:divBdr>
            <w:top w:val="none" w:sz="0" w:space="0" w:color="auto"/>
            <w:left w:val="none" w:sz="0" w:space="0" w:color="auto"/>
            <w:bottom w:val="none" w:sz="0" w:space="0" w:color="auto"/>
            <w:right w:val="none" w:sz="0" w:space="0" w:color="auto"/>
          </w:divBdr>
        </w:div>
        <w:div w:id="1317951241">
          <w:marLeft w:val="1080"/>
          <w:marRight w:val="0"/>
          <w:marTop w:val="100"/>
          <w:marBottom w:val="0"/>
          <w:divBdr>
            <w:top w:val="none" w:sz="0" w:space="0" w:color="auto"/>
            <w:left w:val="none" w:sz="0" w:space="0" w:color="auto"/>
            <w:bottom w:val="none" w:sz="0" w:space="0" w:color="auto"/>
            <w:right w:val="none" w:sz="0" w:space="0" w:color="auto"/>
          </w:divBdr>
        </w:div>
        <w:div w:id="1529367581">
          <w:marLeft w:val="1080"/>
          <w:marRight w:val="0"/>
          <w:marTop w:val="100"/>
          <w:marBottom w:val="0"/>
          <w:divBdr>
            <w:top w:val="none" w:sz="0" w:space="0" w:color="auto"/>
            <w:left w:val="none" w:sz="0" w:space="0" w:color="auto"/>
            <w:bottom w:val="none" w:sz="0" w:space="0" w:color="auto"/>
            <w:right w:val="none" w:sz="0" w:space="0" w:color="auto"/>
          </w:divBdr>
        </w:div>
      </w:divsChild>
    </w:div>
    <w:div w:id="1331369167">
      <w:bodyDiv w:val="1"/>
      <w:marLeft w:val="0"/>
      <w:marRight w:val="0"/>
      <w:marTop w:val="0"/>
      <w:marBottom w:val="0"/>
      <w:divBdr>
        <w:top w:val="none" w:sz="0" w:space="0" w:color="auto"/>
        <w:left w:val="none" w:sz="0" w:space="0" w:color="auto"/>
        <w:bottom w:val="none" w:sz="0" w:space="0" w:color="auto"/>
        <w:right w:val="none" w:sz="0" w:space="0" w:color="auto"/>
      </w:divBdr>
      <w:divsChild>
        <w:div w:id="71783478">
          <w:marLeft w:val="1080"/>
          <w:marRight w:val="0"/>
          <w:marTop w:val="100"/>
          <w:marBottom w:val="0"/>
          <w:divBdr>
            <w:top w:val="none" w:sz="0" w:space="0" w:color="auto"/>
            <w:left w:val="none" w:sz="0" w:space="0" w:color="auto"/>
            <w:bottom w:val="none" w:sz="0" w:space="0" w:color="auto"/>
            <w:right w:val="none" w:sz="0" w:space="0" w:color="auto"/>
          </w:divBdr>
        </w:div>
        <w:div w:id="880554928">
          <w:marLeft w:val="1080"/>
          <w:marRight w:val="0"/>
          <w:marTop w:val="100"/>
          <w:marBottom w:val="0"/>
          <w:divBdr>
            <w:top w:val="none" w:sz="0" w:space="0" w:color="auto"/>
            <w:left w:val="none" w:sz="0" w:space="0" w:color="auto"/>
            <w:bottom w:val="none" w:sz="0" w:space="0" w:color="auto"/>
            <w:right w:val="none" w:sz="0" w:space="0" w:color="auto"/>
          </w:divBdr>
        </w:div>
        <w:div w:id="965239830">
          <w:marLeft w:val="360"/>
          <w:marRight w:val="0"/>
          <w:marTop w:val="200"/>
          <w:marBottom w:val="0"/>
          <w:divBdr>
            <w:top w:val="none" w:sz="0" w:space="0" w:color="auto"/>
            <w:left w:val="none" w:sz="0" w:space="0" w:color="auto"/>
            <w:bottom w:val="none" w:sz="0" w:space="0" w:color="auto"/>
            <w:right w:val="none" w:sz="0" w:space="0" w:color="auto"/>
          </w:divBdr>
        </w:div>
        <w:div w:id="968319482">
          <w:marLeft w:val="360"/>
          <w:marRight w:val="0"/>
          <w:marTop w:val="200"/>
          <w:marBottom w:val="0"/>
          <w:divBdr>
            <w:top w:val="none" w:sz="0" w:space="0" w:color="auto"/>
            <w:left w:val="none" w:sz="0" w:space="0" w:color="auto"/>
            <w:bottom w:val="none" w:sz="0" w:space="0" w:color="auto"/>
            <w:right w:val="none" w:sz="0" w:space="0" w:color="auto"/>
          </w:divBdr>
        </w:div>
        <w:div w:id="1073622908">
          <w:marLeft w:val="360"/>
          <w:marRight w:val="0"/>
          <w:marTop w:val="200"/>
          <w:marBottom w:val="0"/>
          <w:divBdr>
            <w:top w:val="none" w:sz="0" w:space="0" w:color="auto"/>
            <w:left w:val="none" w:sz="0" w:space="0" w:color="auto"/>
            <w:bottom w:val="none" w:sz="0" w:space="0" w:color="auto"/>
            <w:right w:val="none" w:sz="0" w:space="0" w:color="auto"/>
          </w:divBdr>
        </w:div>
        <w:div w:id="2116485139">
          <w:marLeft w:val="1080"/>
          <w:marRight w:val="0"/>
          <w:marTop w:val="100"/>
          <w:marBottom w:val="0"/>
          <w:divBdr>
            <w:top w:val="none" w:sz="0" w:space="0" w:color="auto"/>
            <w:left w:val="none" w:sz="0" w:space="0" w:color="auto"/>
            <w:bottom w:val="none" w:sz="0" w:space="0" w:color="auto"/>
            <w:right w:val="none" w:sz="0" w:space="0" w:color="auto"/>
          </w:divBdr>
        </w:div>
      </w:divsChild>
    </w:div>
    <w:div w:id="1336034549">
      <w:bodyDiv w:val="1"/>
      <w:marLeft w:val="0"/>
      <w:marRight w:val="0"/>
      <w:marTop w:val="0"/>
      <w:marBottom w:val="0"/>
      <w:divBdr>
        <w:top w:val="none" w:sz="0" w:space="0" w:color="auto"/>
        <w:left w:val="none" w:sz="0" w:space="0" w:color="auto"/>
        <w:bottom w:val="none" w:sz="0" w:space="0" w:color="auto"/>
        <w:right w:val="none" w:sz="0" w:space="0" w:color="auto"/>
      </w:divBdr>
    </w:div>
    <w:div w:id="1581986710">
      <w:bodyDiv w:val="1"/>
      <w:marLeft w:val="0"/>
      <w:marRight w:val="0"/>
      <w:marTop w:val="0"/>
      <w:marBottom w:val="0"/>
      <w:divBdr>
        <w:top w:val="none" w:sz="0" w:space="0" w:color="auto"/>
        <w:left w:val="none" w:sz="0" w:space="0" w:color="auto"/>
        <w:bottom w:val="none" w:sz="0" w:space="0" w:color="auto"/>
        <w:right w:val="none" w:sz="0" w:space="0" w:color="auto"/>
      </w:divBdr>
    </w:div>
    <w:div w:id="1757357200">
      <w:bodyDiv w:val="1"/>
      <w:marLeft w:val="0"/>
      <w:marRight w:val="0"/>
      <w:marTop w:val="0"/>
      <w:marBottom w:val="0"/>
      <w:divBdr>
        <w:top w:val="none" w:sz="0" w:space="0" w:color="auto"/>
        <w:left w:val="none" w:sz="0" w:space="0" w:color="auto"/>
        <w:bottom w:val="none" w:sz="0" w:space="0" w:color="auto"/>
        <w:right w:val="none" w:sz="0" w:space="0" w:color="auto"/>
      </w:divBdr>
      <w:divsChild>
        <w:div w:id="9334267">
          <w:marLeft w:val="0"/>
          <w:marRight w:val="0"/>
          <w:marTop w:val="0"/>
          <w:marBottom w:val="0"/>
          <w:divBdr>
            <w:top w:val="none" w:sz="0" w:space="0" w:color="auto"/>
            <w:left w:val="none" w:sz="0" w:space="0" w:color="auto"/>
            <w:bottom w:val="none" w:sz="0" w:space="0" w:color="auto"/>
            <w:right w:val="none" w:sz="0" w:space="0" w:color="auto"/>
          </w:divBdr>
          <w:divsChild>
            <w:div w:id="928274311">
              <w:marLeft w:val="0"/>
              <w:marRight w:val="0"/>
              <w:marTop w:val="0"/>
              <w:marBottom w:val="0"/>
              <w:divBdr>
                <w:top w:val="none" w:sz="0" w:space="0" w:color="auto"/>
                <w:left w:val="none" w:sz="0" w:space="0" w:color="auto"/>
                <w:bottom w:val="none" w:sz="0" w:space="0" w:color="auto"/>
                <w:right w:val="none" w:sz="0" w:space="0" w:color="auto"/>
              </w:divBdr>
              <w:divsChild>
                <w:div w:id="707801680">
                  <w:marLeft w:val="0"/>
                  <w:marRight w:val="0"/>
                  <w:marTop w:val="900"/>
                  <w:marBottom w:val="0"/>
                  <w:divBdr>
                    <w:top w:val="none" w:sz="0" w:space="0" w:color="auto"/>
                    <w:left w:val="none" w:sz="0" w:space="0" w:color="auto"/>
                    <w:bottom w:val="none" w:sz="0" w:space="0" w:color="auto"/>
                    <w:right w:val="none" w:sz="0" w:space="0" w:color="auto"/>
                  </w:divBdr>
                  <w:divsChild>
                    <w:div w:id="1764568508">
                      <w:marLeft w:val="0"/>
                      <w:marRight w:val="0"/>
                      <w:marTop w:val="0"/>
                      <w:marBottom w:val="0"/>
                      <w:divBdr>
                        <w:top w:val="none" w:sz="0" w:space="0" w:color="auto"/>
                        <w:left w:val="none" w:sz="0" w:space="0" w:color="auto"/>
                        <w:bottom w:val="none" w:sz="0" w:space="0" w:color="auto"/>
                        <w:right w:val="none" w:sz="0" w:space="0" w:color="auto"/>
                      </w:divBdr>
                      <w:divsChild>
                        <w:div w:id="1845974682">
                          <w:marLeft w:val="0"/>
                          <w:marRight w:val="0"/>
                          <w:marTop w:val="0"/>
                          <w:marBottom w:val="0"/>
                          <w:divBdr>
                            <w:top w:val="none" w:sz="0" w:space="0" w:color="auto"/>
                            <w:left w:val="none" w:sz="0" w:space="0" w:color="auto"/>
                            <w:bottom w:val="single" w:sz="6" w:space="0" w:color="DDDDDD"/>
                            <w:right w:val="none" w:sz="0" w:space="0" w:color="auto"/>
                          </w:divBdr>
                          <w:divsChild>
                            <w:div w:id="341902913">
                              <w:marLeft w:val="0"/>
                              <w:marRight w:val="0"/>
                              <w:marTop w:val="0"/>
                              <w:marBottom w:val="0"/>
                              <w:divBdr>
                                <w:top w:val="none" w:sz="0" w:space="0" w:color="auto"/>
                                <w:left w:val="none" w:sz="0" w:space="0" w:color="auto"/>
                                <w:bottom w:val="single" w:sz="6" w:space="0" w:color="DDDDDD"/>
                                <w:right w:val="none" w:sz="0" w:space="0" w:color="auto"/>
                              </w:divBdr>
                              <w:divsChild>
                                <w:div w:id="1497458112">
                                  <w:marLeft w:val="0"/>
                                  <w:marRight w:val="0"/>
                                  <w:marTop w:val="0"/>
                                  <w:marBottom w:val="0"/>
                                  <w:divBdr>
                                    <w:top w:val="none" w:sz="0" w:space="0" w:color="auto"/>
                                    <w:left w:val="none" w:sz="0" w:space="0" w:color="auto"/>
                                    <w:bottom w:val="none" w:sz="0" w:space="0" w:color="auto"/>
                                    <w:right w:val="none" w:sz="0" w:space="0" w:color="auto"/>
                                  </w:divBdr>
                                  <w:divsChild>
                                    <w:div w:id="1639068408">
                                      <w:marLeft w:val="0"/>
                                      <w:marRight w:val="0"/>
                                      <w:marTop w:val="0"/>
                                      <w:marBottom w:val="0"/>
                                      <w:divBdr>
                                        <w:top w:val="none" w:sz="0" w:space="0" w:color="auto"/>
                                        <w:left w:val="none" w:sz="0" w:space="0" w:color="auto"/>
                                        <w:bottom w:val="none" w:sz="0" w:space="0" w:color="auto"/>
                                        <w:right w:val="none" w:sz="0" w:space="0" w:color="auto"/>
                                      </w:divBdr>
                                      <w:divsChild>
                                        <w:div w:id="1430080780">
                                          <w:marLeft w:val="0"/>
                                          <w:marRight w:val="0"/>
                                          <w:marTop w:val="0"/>
                                          <w:marBottom w:val="0"/>
                                          <w:divBdr>
                                            <w:top w:val="none" w:sz="0" w:space="0" w:color="auto"/>
                                            <w:left w:val="none" w:sz="0" w:space="0" w:color="auto"/>
                                            <w:bottom w:val="none" w:sz="0" w:space="0" w:color="auto"/>
                                            <w:right w:val="none" w:sz="0" w:space="0" w:color="auto"/>
                                          </w:divBdr>
                                          <w:divsChild>
                                            <w:div w:id="1703937734">
                                              <w:marLeft w:val="0"/>
                                              <w:marRight w:val="0"/>
                                              <w:marTop w:val="0"/>
                                              <w:marBottom w:val="225"/>
                                              <w:divBdr>
                                                <w:top w:val="none" w:sz="0" w:space="0" w:color="auto"/>
                                                <w:left w:val="none" w:sz="0" w:space="0" w:color="auto"/>
                                                <w:bottom w:val="none" w:sz="0" w:space="0" w:color="auto"/>
                                                <w:right w:val="none" w:sz="0" w:space="0" w:color="auto"/>
                                              </w:divBdr>
                                              <w:divsChild>
                                                <w:div w:id="843514542">
                                                  <w:marLeft w:val="0"/>
                                                  <w:marRight w:val="0"/>
                                                  <w:marTop w:val="0"/>
                                                  <w:marBottom w:val="0"/>
                                                  <w:divBdr>
                                                    <w:top w:val="none" w:sz="0" w:space="0" w:color="auto"/>
                                                    <w:left w:val="none" w:sz="0" w:space="0" w:color="auto"/>
                                                    <w:bottom w:val="none" w:sz="0" w:space="0" w:color="auto"/>
                                                    <w:right w:val="none" w:sz="0" w:space="0" w:color="auto"/>
                                                  </w:divBdr>
                                                  <w:divsChild>
                                                    <w:div w:id="26866217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4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kqed.org/mindshift/11301/10-open-education-resources-you-may-not-know-about-but-should"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world</c:v>
                </c:pt>
              </c:strCache>
            </c:strRef>
          </c:tx>
          <c:spPr>
            <a:ln w="28575" cap="rnd">
              <a:solidFill>
                <a:schemeClr val="accent1"/>
              </a:solidFill>
              <a:round/>
            </a:ln>
            <a:effectLst/>
          </c:spPr>
          <c:marker>
            <c:symbol val="none"/>
          </c:marker>
          <c:cat>
            <c:numRef>
              <c:f>Sheet1!$A$2:$A$37</c:f>
              <c:numCache>
                <c:formatCode>General</c:formatCod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numCache>
            </c:numRef>
          </c:cat>
          <c:val>
            <c:numRef>
              <c:f>Sheet1!$B$2:$B$37</c:f>
              <c:numCache>
                <c:formatCode>General</c:formatCode>
                <c:ptCount val="36"/>
                <c:pt idx="0">
                  <c:v>12.4110298156738</c:v>
                </c:pt>
                <c:pt idx="1">
                  <c:v>12.6978101730347</c:v>
                </c:pt>
                <c:pt idx="2">
                  <c:v>12.847809791564901</c:v>
                </c:pt>
                <c:pt idx="3">
                  <c:v>13.030260086059601</c:v>
                </c:pt>
                <c:pt idx="4">
                  <c:v>13.3785696029663</c:v>
                </c:pt>
                <c:pt idx="5">
                  <c:v>13.433210372924799</c:v>
                </c:pt>
                <c:pt idx="6">
                  <c:v>13.334190368652299</c:v>
                </c:pt>
                <c:pt idx="7">
                  <c:v>13.4344997406006</c:v>
                </c:pt>
                <c:pt idx="8">
                  <c:v>13.3171195983887</c:v>
                </c:pt>
                <c:pt idx="9">
                  <c:v>13.446260452270501</c:v>
                </c:pt>
                <c:pt idx="10">
                  <c:v>13.6571397781372</c:v>
                </c:pt>
                <c:pt idx="11">
                  <c:v>13.838660240173301</c:v>
                </c:pt>
                <c:pt idx="12">
                  <c:v>14.0636596679688</c:v>
                </c:pt>
                <c:pt idx="13">
                  <c:v>14.427809715271</c:v>
                </c:pt>
                <c:pt idx="14">
                  <c:v>14.9507999420166</c:v>
                </c:pt>
                <c:pt idx="15">
                  <c:v>15.559140205383301</c:v>
                </c:pt>
                <c:pt idx="16">
                  <c:v>16.119779586791999</c:v>
                </c:pt>
                <c:pt idx="17">
                  <c:v>16.885259628295898</c:v>
                </c:pt>
                <c:pt idx="18">
                  <c:v>17.272010803222699</c:v>
                </c:pt>
                <c:pt idx="19">
                  <c:v>18.3626003265381</c:v>
                </c:pt>
                <c:pt idx="20">
                  <c:v>19.036090850830099</c:v>
                </c:pt>
                <c:pt idx="21">
                  <c:v>20.100709915161101</c:v>
                </c:pt>
                <c:pt idx="22">
                  <c:v>21.6332302093506</c:v>
                </c:pt>
                <c:pt idx="23">
                  <c:v>22.780910491943398</c:v>
                </c:pt>
                <c:pt idx="24">
                  <c:v>23.589239120483398</c:v>
                </c:pt>
                <c:pt idx="25">
                  <c:v>24.280439376831101</c:v>
                </c:pt>
                <c:pt idx="26">
                  <c:v>25.028659820556602</c:v>
                </c:pt>
                <c:pt idx="27">
                  <c:v>25.885570526123001</c:v>
                </c:pt>
                <c:pt idx="28">
                  <c:v>26.9150390625</c:v>
                </c:pt>
                <c:pt idx="29">
                  <c:v>27.9669094085693</c:v>
                </c:pt>
                <c:pt idx="30">
                  <c:v>29.342090606689499</c:v>
                </c:pt>
                <c:pt idx="31">
                  <c:v>31.0507106781006</c:v>
                </c:pt>
                <c:pt idx="32">
                  <c:v>32.201309204101598</c:v>
                </c:pt>
                <c:pt idx="33">
                  <c:v>32.783718109130902</c:v>
                </c:pt>
                <c:pt idx="34">
                  <c:v>34.983318328857401</c:v>
                </c:pt>
                <c:pt idx="35">
                  <c:v>35.692558288574197</c:v>
                </c:pt>
              </c:numCache>
            </c:numRef>
          </c:val>
          <c:smooth val="0"/>
        </c:ser>
        <c:ser>
          <c:idx val="1"/>
          <c:order val="1"/>
          <c:tx>
            <c:strRef>
              <c:f>Sheet1!$C$1</c:f>
              <c:strCache>
                <c:ptCount val="1"/>
                <c:pt idx="0">
                  <c:v>high income</c:v>
                </c:pt>
              </c:strCache>
            </c:strRef>
          </c:tx>
          <c:spPr>
            <a:ln w="28575" cap="rnd">
              <a:solidFill>
                <a:schemeClr val="accent2"/>
              </a:solidFill>
              <a:round/>
            </a:ln>
            <a:effectLst/>
          </c:spPr>
          <c:marker>
            <c:symbol val="none"/>
          </c:marker>
          <c:cat>
            <c:numRef>
              <c:f>Sheet1!$A$2:$A$37</c:f>
              <c:numCache>
                <c:formatCode>General</c:formatCod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numCache>
            </c:numRef>
          </c:cat>
          <c:val>
            <c:numRef>
              <c:f>Sheet1!$C$2:$C$37</c:f>
              <c:numCache>
                <c:formatCode>General</c:formatCode>
                <c:ptCount val="36"/>
                <c:pt idx="0">
                  <c:v>32.808349609375</c:v>
                </c:pt>
                <c:pt idx="1">
                  <c:v>33.603729248046903</c:v>
                </c:pt>
                <c:pt idx="2">
                  <c:v>34.281829833984403</c:v>
                </c:pt>
                <c:pt idx="3">
                  <c:v>34.964469909667997</c:v>
                </c:pt>
                <c:pt idx="4">
                  <c:v>35.586818695068402</c:v>
                </c:pt>
                <c:pt idx="5">
                  <c:v>35.945980072021499</c:v>
                </c:pt>
                <c:pt idx="6">
                  <c:v>36.534400939941399</c:v>
                </c:pt>
                <c:pt idx="7">
                  <c:v>37.521389007568402</c:v>
                </c:pt>
                <c:pt idx="8">
                  <c:v>38.676471710205099</c:v>
                </c:pt>
                <c:pt idx="9">
                  <c:v>39.955188751220703</c:v>
                </c:pt>
                <c:pt idx="10">
                  <c:v>41.661251068115199</c:v>
                </c:pt>
                <c:pt idx="11">
                  <c:v>43.147148132324197</c:v>
                </c:pt>
                <c:pt idx="12">
                  <c:v>45.311958312988303</c:v>
                </c:pt>
                <c:pt idx="13">
                  <c:v>48.092941284179702</c:v>
                </c:pt>
                <c:pt idx="14">
                  <c:v>50.328578948974602</c:v>
                </c:pt>
                <c:pt idx="15">
                  <c:v>51.901130676269503</c:v>
                </c:pt>
                <c:pt idx="16">
                  <c:v>53.470718383789098</c:v>
                </c:pt>
                <c:pt idx="17">
                  <c:v>54.432121276855497</c:v>
                </c:pt>
                <c:pt idx="18">
                  <c:v>53.66162109375</c:v>
                </c:pt>
                <c:pt idx="19">
                  <c:v>55.775440216064503</c:v>
                </c:pt>
                <c:pt idx="20">
                  <c:v>55.989459991455099</c:v>
                </c:pt>
                <c:pt idx="21">
                  <c:v>57.683261871337898</c:v>
                </c:pt>
                <c:pt idx="22">
                  <c:v>61.919189453125</c:v>
                </c:pt>
                <c:pt idx="23">
                  <c:v>63.687259674072301</c:v>
                </c:pt>
                <c:pt idx="24">
                  <c:v>64.712448120117202</c:v>
                </c:pt>
                <c:pt idx="25">
                  <c:v>65.735786437988295</c:v>
                </c:pt>
                <c:pt idx="26">
                  <c:v>66.311828613281307</c:v>
                </c:pt>
                <c:pt idx="27">
                  <c:v>67.039886474609403</c:v>
                </c:pt>
                <c:pt idx="28">
                  <c:v>68.141792297363295</c:v>
                </c:pt>
                <c:pt idx="29">
                  <c:v>69.971290588378906</c:v>
                </c:pt>
                <c:pt idx="30">
                  <c:v>72.975303649902301</c:v>
                </c:pt>
                <c:pt idx="31">
                  <c:v>74.822517395019503</c:v>
                </c:pt>
                <c:pt idx="32">
                  <c:v>75.067527770996094</c:v>
                </c:pt>
                <c:pt idx="33">
                  <c:v>73.790496826171903</c:v>
                </c:pt>
                <c:pt idx="34">
                  <c:v>73.663291931152301</c:v>
                </c:pt>
                <c:pt idx="35">
                  <c:v>73.746917724609403</c:v>
                </c:pt>
              </c:numCache>
            </c:numRef>
          </c:val>
          <c:smooth val="0"/>
        </c:ser>
        <c:ser>
          <c:idx val="2"/>
          <c:order val="2"/>
          <c:tx>
            <c:strRef>
              <c:f>Sheet1!$D$1</c:f>
              <c:strCache>
                <c:ptCount val="1"/>
                <c:pt idx="0">
                  <c:v>upper middle income</c:v>
                </c:pt>
              </c:strCache>
            </c:strRef>
          </c:tx>
          <c:spPr>
            <a:ln w="28575" cap="rnd">
              <a:solidFill>
                <a:schemeClr val="accent3"/>
              </a:solidFill>
              <a:round/>
            </a:ln>
            <a:effectLst/>
          </c:spPr>
          <c:marker>
            <c:symbol val="none"/>
          </c:marker>
          <c:cat>
            <c:numRef>
              <c:f>Sheet1!$A$2:$A$37</c:f>
              <c:numCache>
                <c:formatCode>General</c:formatCod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numCache>
            </c:numRef>
          </c:cat>
          <c:val>
            <c:numRef>
              <c:f>Sheet1!$D$2:$D$37</c:f>
              <c:numCache>
                <c:formatCode>General</c:formatCode>
                <c:ptCount val="36"/>
                <c:pt idx="0">
                  <c:v>9.0143499374389595</c:v>
                </c:pt>
                <c:pt idx="1">
                  <c:v>9.2681503295898402</c:v>
                </c:pt>
                <c:pt idx="2">
                  <c:v>9.5237998962402308</c:v>
                </c:pt>
                <c:pt idx="3">
                  <c:v>9.5421199798584002</c:v>
                </c:pt>
                <c:pt idx="4">
                  <c:v>10.0026702880859</c:v>
                </c:pt>
                <c:pt idx="5">
                  <c:v>10.2235202789307</c:v>
                </c:pt>
                <c:pt idx="6">
                  <c:v>10.053819656372101</c:v>
                </c:pt>
                <c:pt idx="7">
                  <c:v>9.9838495254516602</c:v>
                </c:pt>
                <c:pt idx="8">
                  <c:v>9.8548402786254901</c:v>
                </c:pt>
                <c:pt idx="9">
                  <c:v>9.7730903625488299</c:v>
                </c:pt>
                <c:pt idx="10">
                  <c:v>9.7977199554443395</c:v>
                </c:pt>
                <c:pt idx="11">
                  <c:v>9.8981704711914098</c:v>
                </c:pt>
                <c:pt idx="12">
                  <c:v>9.8981399536132795</c:v>
                </c:pt>
                <c:pt idx="13">
                  <c:v>10.016619682311999</c:v>
                </c:pt>
                <c:pt idx="14">
                  <c:v>10.677040100097701</c:v>
                </c:pt>
                <c:pt idx="15">
                  <c:v>11.733099937439</c:v>
                </c:pt>
                <c:pt idx="16">
                  <c:v>12.3389596939087</c:v>
                </c:pt>
                <c:pt idx="17">
                  <c:v>13.656330108642599</c:v>
                </c:pt>
                <c:pt idx="18">
                  <c:v>14.491629600524901</c:v>
                </c:pt>
                <c:pt idx="19">
                  <c:v>15.927889823913601</c:v>
                </c:pt>
                <c:pt idx="20">
                  <c:v>17.310630798339801</c:v>
                </c:pt>
                <c:pt idx="21">
                  <c:v>19.578090667724599</c:v>
                </c:pt>
                <c:pt idx="22">
                  <c:v>21.937669754028299</c:v>
                </c:pt>
                <c:pt idx="23">
                  <c:v>24.2966194152832</c:v>
                </c:pt>
                <c:pt idx="24">
                  <c:v>25.820449829101602</c:v>
                </c:pt>
                <c:pt idx="25">
                  <c:v>27.123140335083001</c:v>
                </c:pt>
                <c:pt idx="26">
                  <c:v>28.374900817871101</c:v>
                </c:pt>
                <c:pt idx="27">
                  <c:v>29.295890808105501</c:v>
                </c:pt>
                <c:pt idx="28">
                  <c:v>30.266309738159201</c:v>
                </c:pt>
                <c:pt idx="29">
                  <c:v>31.515110015869102</c:v>
                </c:pt>
                <c:pt idx="30">
                  <c:v>32.972709655761697</c:v>
                </c:pt>
                <c:pt idx="31">
                  <c:v>34.369449615478501</c:v>
                </c:pt>
                <c:pt idx="32">
                  <c:v>36.368698120117202</c:v>
                </c:pt>
                <c:pt idx="33">
                  <c:v>38.736259460449197</c:v>
                </c:pt>
                <c:pt idx="34">
                  <c:v>44.335220336914098</c:v>
                </c:pt>
                <c:pt idx="35">
                  <c:v>46.915859222412102</c:v>
                </c:pt>
              </c:numCache>
            </c:numRef>
          </c:val>
          <c:smooth val="0"/>
        </c:ser>
        <c:ser>
          <c:idx val="3"/>
          <c:order val="3"/>
          <c:tx>
            <c:strRef>
              <c:f>Sheet1!$E$1</c:f>
              <c:strCache>
                <c:ptCount val="1"/>
                <c:pt idx="0">
                  <c:v>middle income</c:v>
                </c:pt>
              </c:strCache>
            </c:strRef>
          </c:tx>
          <c:spPr>
            <a:ln w="28575" cap="rnd">
              <a:solidFill>
                <a:schemeClr val="accent4"/>
              </a:solidFill>
              <a:round/>
            </a:ln>
            <a:effectLst/>
          </c:spPr>
          <c:marker>
            <c:symbol val="none"/>
          </c:marker>
          <c:cat>
            <c:numRef>
              <c:f>Sheet1!$A$2:$A$37</c:f>
              <c:numCache>
                <c:formatCode>General</c:formatCod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numCache>
            </c:numRef>
          </c:cat>
          <c:val>
            <c:numRef>
              <c:f>Sheet1!$E$2:$E$37</c:f>
              <c:numCache>
                <c:formatCode>General</c:formatCode>
                <c:ptCount val="36"/>
                <c:pt idx="0">
                  <c:v>7.9113597869873002</c:v>
                </c:pt>
                <c:pt idx="1">
                  <c:v>8.18035984039307</c:v>
                </c:pt>
                <c:pt idx="2">
                  <c:v>8.3076400756835902</c:v>
                </c:pt>
                <c:pt idx="3">
                  <c:v>8.5038700103759801</c:v>
                </c:pt>
                <c:pt idx="4">
                  <c:v>8.9351301193237305</c:v>
                </c:pt>
                <c:pt idx="5">
                  <c:v>9.0642795562744105</c:v>
                </c:pt>
                <c:pt idx="6">
                  <c:v>8.9574499130249006</c:v>
                </c:pt>
                <c:pt idx="7">
                  <c:v>9.0290899276733398</c:v>
                </c:pt>
                <c:pt idx="8">
                  <c:v>8.7827100753784197</c:v>
                </c:pt>
                <c:pt idx="9">
                  <c:v>8.8164300918579102</c:v>
                </c:pt>
                <c:pt idx="10">
                  <c:v>8.8734903335571307</c:v>
                </c:pt>
                <c:pt idx="11">
                  <c:v>8.9236803054809606</c:v>
                </c:pt>
                <c:pt idx="12">
                  <c:v>8.9025802612304705</c:v>
                </c:pt>
                <c:pt idx="13">
                  <c:v>8.9658899307250994</c:v>
                </c:pt>
                <c:pt idx="14">
                  <c:v>9.3512201309204102</c:v>
                </c:pt>
                <c:pt idx="15">
                  <c:v>9.9656200408935494</c:v>
                </c:pt>
                <c:pt idx="16">
                  <c:v>10.508709907531699</c:v>
                </c:pt>
                <c:pt idx="17">
                  <c:v>11.394610404968301</c:v>
                </c:pt>
                <c:pt idx="18">
                  <c:v>12.105389595031699</c:v>
                </c:pt>
                <c:pt idx="19">
                  <c:v>13.1842098236084</c:v>
                </c:pt>
                <c:pt idx="20">
                  <c:v>14.111889839172401</c:v>
                </c:pt>
                <c:pt idx="21">
                  <c:v>15.266650199890099</c:v>
                </c:pt>
                <c:pt idx="22">
                  <c:v>16.5654106140137</c:v>
                </c:pt>
                <c:pt idx="23">
                  <c:v>17.819099426269499</c:v>
                </c:pt>
                <c:pt idx="24">
                  <c:v>18.7912693023682</c:v>
                </c:pt>
                <c:pt idx="25">
                  <c:v>19.614549636840799</c:v>
                </c:pt>
                <c:pt idx="26">
                  <c:v>20.597070693969702</c:v>
                </c:pt>
                <c:pt idx="27">
                  <c:v>21.664909362793001</c:v>
                </c:pt>
                <c:pt idx="28">
                  <c:v>22.867120742797901</c:v>
                </c:pt>
                <c:pt idx="29">
                  <c:v>23.942449569702099</c:v>
                </c:pt>
                <c:pt idx="30">
                  <c:v>25.2253608703613</c:v>
                </c:pt>
                <c:pt idx="31">
                  <c:v>27.100349426269499</c:v>
                </c:pt>
                <c:pt idx="32">
                  <c:v>28.518039703369102</c:v>
                </c:pt>
                <c:pt idx="33">
                  <c:v>29.479000091552699</c:v>
                </c:pt>
                <c:pt idx="34">
                  <c:v>32.360988616943402</c:v>
                </c:pt>
                <c:pt idx="35">
                  <c:v>33.273639678955099</c:v>
                </c:pt>
              </c:numCache>
            </c:numRef>
          </c:val>
          <c:smooth val="0"/>
        </c:ser>
        <c:ser>
          <c:idx val="4"/>
          <c:order val="4"/>
          <c:tx>
            <c:strRef>
              <c:f>Sheet1!$F$1</c:f>
              <c:strCache>
                <c:ptCount val="1"/>
                <c:pt idx="0">
                  <c:v>south asia</c:v>
                </c:pt>
              </c:strCache>
            </c:strRef>
          </c:tx>
          <c:spPr>
            <a:ln w="28575" cap="rnd">
              <a:solidFill>
                <a:schemeClr val="accent5"/>
              </a:solidFill>
              <a:round/>
            </a:ln>
            <a:effectLst/>
          </c:spPr>
          <c:marker>
            <c:symbol val="none"/>
          </c:marker>
          <c:cat>
            <c:numRef>
              <c:f>Sheet1!$A$2:$A$37</c:f>
              <c:numCache>
                <c:formatCode>General</c:formatCod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numCache>
            </c:numRef>
          </c:cat>
          <c:val>
            <c:numRef>
              <c:f>Sheet1!$F$2:$F$37</c:f>
              <c:numCache>
                <c:formatCode>General</c:formatCode>
                <c:ptCount val="36"/>
                <c:pt idx="0">
                  <c:v>4.4769101142883301</c:v>
                </c:pt>
                <c:pt idx="1">
                  <c:v>4.6937198638915998</c:v>
                </c:pt>
                <c:pt idx="2">
                  <c:v>4.5436902046203604</c:v>
                </c:pt>
                <c:pt idx="3">
                  <c:v>5.1078200340270996</c:v>
                </c:pt>
                <c:pt idx="4">
                  <c:v>5.3900499343872097</c:v>
                </c:pt>
                <c:pt idx="5">
                  <c:v>5.3712801933288601</c:v>
                </c:pt>
                <c:pt idx="6">
                  <c:v>5.5125298500061</c:v>
                </c:pt>
                <c:pt idx="7">
                  <c:v>5.7030801773071298</c:v>
                </c:pt>
                <c:pt idx="8">
                  <c:v>5.0799999237060502</c:v>
                </c:pt>
                <c:pt idx="9">
                  <c:v>5.2340497970581099</c:v>
                </c:pt>
                <c:pt idx="10">
                  <c:v>5.41676998138428</c:v>
                </c:pt>
                <c:pt idx="11">
                  <c:v>5.4635100364685103</c:v>
                </c:pt>
                <c:pt idx="12">
                  <c:v>5.3328299522399902</c:v>
                </c:pt>
                <c:pt idx="13">
                  <c:v>5.2545499801635698</c:v>
                </c:pt>
                <c:pt idx="14">
                  <c:v>5.1719899177551296</c:v>
                </c:pt>
                <c:pt idx="15">
                  <c:v>5.09673976898193</c:v>
                </c:pt>
                <c:pt idx="16">
                  <c:v>5.6877498626709002</c:v>
                </c:pt>
                <c:pt idx="17">
                  <c:v>5.9198098182678196</c:v>
                </c:pt>
                <c:pt idx="18">
                  <c:v>6.6919598579406703</c:v>
                </c:pt>
                <c:pt idx="19">
                  <c:v>7.4611802101135298</c:v>
                </c:pt>
                <c:pt idx="20">
                  <c:v>8.2127704620361293</c:v>
                </c:pt>
                <c:pt idx="21">
                  <c:v>8.4661703109741193</c:v>
                </c:pt>
                <c:pt idx="22">
                  <c:v>8.8194704055786097</c:v>
                </c:pt>
                <c:pt idx="23">
                  <c:v>9.1677904129028303</c:v>
                </c:pt>
                <c:pt idx="24">
                  <c:v>9.4353599548339808</c:v>
                </c:pt>
                <c:pt idx="25">
                  <c:v>9.4919795989990199</c:v>
                </c:pt>
                <c:pt idx="26">
                  <c:v>10.2043199539185</c:v>
                </c:pt>
                <c:pt idx="27">
                  <c:v>11.595290184021</c:v>
                </c:pt>
                <c:pt idx="28">
                  <c:v>13.142780303955099</c:v>
                </c:pt>
                <c:pt idx="29">
                  <c:v>14.2237901687622</c:v>
                </c:pt>
                <c:pt idx="30">
                  <c:v>15.856260299682599</c:v>
                </c:pt>
                <c:pt idx="31">
                  <c:v>19.748170852661101</c:v>
                </c:pt>
                <c:pt idx="32">
                  <c:v>21.074470520019499</c:v>
                </c:pt>
                <c:pt idx="33">
                  <c:v>20.826820373535199</c:v>
                </c:pt>
                <c:pt idx="34">
                  <c:v>20.838640213012699</c:v>
                </c:pt>
              </c:numCache>
            </c:numRef>
          </c:val>
          <c:smooth val="0"/>
        </c:ser>
        <c:ser>
          <c:idx val="5"/>
          <c:order val="5"/>
          <c:tx>
            <c:strRef>
              <c:f>Sheet1!$G$1</c:f>
              <c:strCache>
                <c:ptCount val="1"/>
                <c:pt idx="0">
                  <c:v>Bangladesh</c:v>
                </c:pt>
              </c:strCache>
            </c:strRef>
          </c:tx>
          <c:spPr>
            <a:ln w="28575" cap="rnd">
              <a:solidFill>
                <a:schemeClr val="accent6"/>
              </a:solidFill>
              <a:round/>
            </a:ln>
            <a:effectLst/>
          </c:spPr>
          <c:marker>
            <c:symbol val="none"/>
          </c:marker>
          <c:cat>
            <c:numRef>
              <c:f>Sheet1!$A$2:$A$37</c:f>
              <c:numCache>
                <c:formatCode>General</c:formatCod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numCache>
            </c:numRef>
          </c:cat>
          <c:val>
            <c:numRef>
              <c:f>Sheet1!$G$2:$G$37</c:f>
              <c:numCache>
                <c:formatCode>General</c:formatCode>
                <c:ptCount val="36"/>
                <c:pt idx="0">
                  <c:v>3.1895499229431201</c:v>
                </c:pt>
                <c:pt idx="1">
                  <c:v>3.03660011291504</c:v>
                </c:pt>
                <c:pt idx="2">
                  <c:v>3.7287499904632599</c:v>
                </c:pt>
                <c:pt idx="3">
                  <c:v>4.5800299644470197</c:v>
                </c:pt>
                <c:pt idx="4">
                  <c:v>4.9265899658203098</c:v>
                </c:pt>
                <c:pt idx="5">
                  <c:v>4.9826898574829102</c:v>
                </c:pt>
                <c:pt idx="6">
                  <c:v>4.8439002037048304</c:v>
                </c:pt>
                <c:pt idx="7">
                  <c:v>4.1908597946167001</c:v>
                </c:pt>
                <c:pt idx="8">
                  <c:v>3.60016989707947</c:v>
                </c:pt>
                <c:pt idx="9">
                  <c:v>3.5609300136566202</c:v>
                </c:pt>
                <c:pt idx="10">
                  <c:v>4.0880098342895499</c:v>
                </c:pt>
                <c:pt idx="11">
                  <c:v>4.2</c:v>
                </c:pt>
                <c:pt idx="12">
                  <c:v>4.2</c:v>
                </c:pt>
                <c:pt idx="13">
                  <c:v>4.4000000000000004</c:v>
                </c:pt>
                <c:pt idx="14">
                  <c:v>4.4000000000000004</c:v>
                </c:pt>
                <c:pt idx="15">
                  <c:v>4.5999999999999996</c:v>
                </c:pt>
                <c:pt idx="16">
                  <c:v>4.8</c:v>
                </c:pt>
                <c:pt idx="17">
                  <c:v>5</c:v>
                </c:pt>
                <c:pt idx="18">
                  <c:v>5.2</c:v>
                </c:pt>
                <c:pt idx="19">
                  <c:v>5.4565601348876998</c:v>
                </c:pt>
                <c:pt idx="20">
                  <c:v>5.4453401565551802</c:v>
                </c:pt>
                <c:pt idx="21">
                  <c:v>6.42691993713379</c:v>
                </c:pt>
                <c:pt idx="22">
                  <c:v>6.1307902336120597</c:v>
                </c:pt>
                <c:pt idx="23">
                  <c:v>6.1778001785278303</c:v>
                </c:pt>
                <c:pt idx="24">
                  <c:v>5.6943001747131303</c:v>
                </c:pt>
                <c:pt idx="25">
                  <c:v>6.2352700233459499</c:v>
                </c:pt>
                <c:pt idx="26">
                  <c:v>7.1219301223754901</c:v>
                </c:pt>
                <c:pt idx="27">
                  <c:v>7.67804002761841</c:v>
                </c:pt>
                <c:pt idx="28">
                  <c:v>8.6079301834106392</c:v>
                </c:pt>
                <c:pt idx="29">
                  <c:v>10.520580291748001</c:v>
                </c:pt>
                <c:pt idx="30">
                  <c:v>11.5</c:v>
                </c:pt>
                <c:pt idx="31">
                  <c:v>13.2806901931763</c:v>
                </c:pt>
                <c:pt idx="32">
                  <c:v>13.3865604400635</c:v>
                </c:pt>
                <c:pt idx="33">
                  <c:v>13.4</c:v>
                </c:pt>
                <c:pt idx="34">
                  <c:v>13.440799713134799</c:v>
                </c:pt>
              </c:numCache>
            </c:numRef>
          </c:val>
          <c:smooth val="0"/>
        </c:ser>
        <c:dLbls>
          <c:showLegendKey val="0"/>
          <c:showVal val="0"/>
          <c:showCatName val="0"/>
          <c:showSerName val="0"/>
          <c:showPercent val="0"/>
          <c:showBubbleSize val="0"/>
        </c:dLbls>
        <c:marker val="1"/>
        <c:smooth val="0"/>
        <c:axId val="149372928"/>
        <c:axId val="149374848"/>
      </c:lineChart>
      <c:catAx>
        <c:axId val="149372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374848"/>
        <c:crosses val="autoZero"/>
        <c:auto val="1"/>
        <c:lblAlgn val="ctr"/>
        <c:lblOffset val="100"/>
        <c:noMultiLvlLbl val="0"/>
      </c:catAx>
      <c:valAx>
        <c:axId val="149374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tertiary enrolement</a:t>
                </a:r>
                <a:r>
                  <a:rPr lang="en-US" baseline="0"/>
                  <a:t> % gross</a:t>
                </a:r>
                <a:endParaRPr lang="en-US"/>
              </a:p>
            </c:rich>
          </c:tx>
          <c:layout>
            <c:manualLayout>
              <c:xMode val="edge"/>
              <c:yMode val="edge"/>
              <c:x val="3.0555555555555555E-2"/>
              <c:y val="0.1439351851851851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37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BA8D-BA69-40B6-8256-DFE513DF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17468</Words>
  <Characters>99572</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minmah</dc:creator>
  <cp:lastModifiedBy>Minhaj Mahmud</cp:lastModifiedBy>
  <cp:revision>4</cp:revision>
  <cp:lastPrinted>2018-06-04T05:49:00Z</cp:lastPrinted>
  <dcterms:created xsi:type="dcterms:W3CDTF">2018-06-04T05:49:00Z</dcterms:created>
  <dcterms:modified xsi:type="dcterms:W3CDTF">2018-06-04T05:49:00Z</dcterms:modified>
</cp:coreProperties>
</file>