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6E0" w:rsidRDefault="002A46E0" w:rsidP="002A46E0">
      <w:pPr>
        <w:rPr>
          <w:rFonts w:ascii="Arial" w:hAnsi="Arial" w:cs="Arial"/>
          <w:bCs/>
          <w:u w:val="single"/>
        </w:rPr>
      </w:pPr>
      <w:bookmarkStart w:id="0" w:name="_GoBack"/>
      <w:bookmarkEnd w:id="0"/>
    </w:p>
    <w:p w:rsidR="002A46E0" w:rsidRDefault="002A46E0" w:rsidP="002A46E0">
      <w:pPr>
        <w:rPr>
          <w:rFonts w:ascii="Arial" w:hAnsi="Arial" w:cs="Arial"/>
          <w:bCs/>
          <w:u w:val="single"/>
        </w:rPr>
      </w:pPr>
    </w:p>
    <w:p w:rsidR="002A46E0" w:rsidRDefault="002A46E0" w:rsidP="002A46E0">
      <w:pPr>
        <w:rPr>
          <w:rFonts w:ascii="Arial" w:hAnsi="Arial" w:cs="Arial"/>
          <w:bCs/>
          <w:u w:val="single"/>
        </w:rPr>
      </w:pPr>
    </w:p>
    <w:p w:rsidR="002A46E0" w:rsidRDefault="002A46E0" w:rsidP="002A46E0">
      <w:pPr>
        <w:rPr>
          <w:rFonts w:ascii="Arial" w:hAnsi="Arial" w:cs="Arial"/>
          <w:bCs/>
          <w:u w:val="single"/>
        </w:rPr>
      </w:pPr>
    </w:p>
    <w:p w:rsidR="002A46E0" w:rsidRDefault="002A46E0" w:rsidP="002A46E0">
      <w:pPr>
        <w:rPr>
          <w:rFonts w:ascii="Arial" w:hAnsi="Arial" w:cs="Arial"/>
          <w:bCs/>
          <w:u w:val="single"/>
        </w:rPr>
      </w:pPr>
    </w:p>
    <w:p w:rsidR="002A46E0" w:rsidRDefault="002A46E0" w:rsidP="002A46E0">
      <w:pPr>
        <w:rPr>
          <w:rFonts w:ascii="Arial" w:hAnsi="Arial" w:cs="Arial"/>
          <w:bCs/>
          <w:u w:val="single"/>
        </w:rPr>
      </w:pPr>
    </w:p>
    <w:p w:rsidR="002A46E0" w:rsidRDefault="002A46E0" w:rsidP="002A46E0">
      <w:pPr>
        <w:rPr>
          <w:rFonts w:ascii="Arial" w:hAnsi="Arial" w:cs="Arial"/>
          <w:bCs/>
          <w:u w:val="single"/>
        </w:rPr>
      </w:pPr>
    </w:p>
    <w:p w:rsidR="002A46E0" w:rsidRDefault="002A46E0" w:rsidP="002A46E0">
      <w:pPr>
        <w:rPr>
          <w:rFonts w:ascii="Arial" w:hAnsi="Arial" w:cs="Arial"/>
          <w:bCs/>
          <w:u w:val="single"/>
        </w:rPr>
      </w:pPr>
    </w:p>
    <w:p w:rsidR="002A46E0" w:rsidRDefault="002A46E0" w:rsidP="002A46E0">
      <w:pPr>
        <w:rPr>
          <w:rFonts w:ascii="Arial" w:hAnsi="Arial" w:cs="Arial"/>
          <w:bCs/>
          <w:u w:val="single"/>
        </w:rPr>
      </w:pPr>
    </w:p>
    <w:p w:rsidR="002A46E0" w:rsidRDefault="002A46E0" w:rsidP="002A46E0">
      <w:pPr>
        <w:rPr>
          <w:rFonts w:ascii="Arial" w:hAnsi="Arial" w:cs="Arial"/>
          <w:bCs/>
          <w:u w:val="single"/>
        </w:rPr>
      </w:pPr>
    </w:p>
    <w:p w:rsidR="002A46E0" w:rsidRPr="0027428A" w:rsidRDefault="002A46E0" w:rsidP="00C212DD">
      <w:pPr>
        <w:pStyle w:val="Title"/>
        <w:rPr>
          <w:rFonts w:ascii="Times New Roman" w:hAnsi="Times New Roman" w:cs="Times New Roman"/>
          <w:b/>
          <w:sz w:val="56"/>
          <w:szCs w:val="56"/>
        </w:rPr>
      </w:pPr>
      <w:r w:rsidRPr="0027428A">
        <w:rPr>
          <w:rFonts w:ascii="Times New Roman" w:hAnsi="Times New Roman" w:cs="Times New Roman"/>
          <w:b/>
          <w:sz w:val="56"/>
          <w:szCs w:val="56"/>
        </w:rPr>
        <w:t>Good governance, democratization, decentralization of power and capacity building for institutions compati</w:t>
      </w:r>
      <w:r w:rsidR="002B17C3" w:rsidRPr="0027428A">
        <w:rPr>
          <w:rFonts w:ascii="Times New Roman" w:hAnsi="Times New Roman" w:cs="Times New Roman"/>
          <w:b/>
          <w:sz w:val="56"/>
          <w:szCs w:val="56"/>
        </w:rPr>
        <w:t>ble with a transforming economy</w:t>
      </w:r>
    </w:p>
    <w:p w:rsidR="002A46E0" w:rsidRDefault="002A46E0" w:rsidP="002A46E0">
      <w:pPr>
        <w:rPr>
          <w:rFonts w:ascii="Arial" w:hAnsi="Arial" w:cs="Arial"/>
          <w:b/>
        </w:rPr>
      </w:pPr>
    </w:p>
    <w:p w:rsidR="002A46E0" w:rsidRDefault="002A46E0" w:rsidP="002A46E0">
      <w:pPr>
        <w:rPr>
          <w:rFonts w:ascii="Arial" w:hAnsi="Arial" w:cs="Arial"/>
          <w:b/>
        </w:rPr>
      </w:pPr>
    </w:p>
    <w:p w:rsidR="002A46E0" w:rsidRDefault="002A46E0" w:rsidP="002A46E0">
      <w:pPr>
        <w:rPr>
          <w:rFonts w:ascii="Arial" w:hAnsi="Arial" w:cs="Arial"/>
          <w:b/>
        </w:rPr>
      </w:pPr>
    </w:p>
    <w:p w:rsidR="002A46E0" w:rsidRPr="0027428A" w:rsidRDefault="002A46E0" w:rsidP="002A46E0">
      <w:pPr>
        <w:rPr>
          <w:rStyle w:val="SubtleReference"/>
          <w:b/>
        </w:rPr>
      </w:pPr>
      <w:r w:rsidRPr="0027428A">
        <w:rPr>
          <w:rStyle w:val="SubtleReference"/>
          <w:b/>
        </w:rPr>
        <w:t>Mohiuddin Alamgir</w:t>
      </w:r>
    </w:p>
    <w:p w:rsidR="00E53203" w:rsidRPr="0027428A" w:rsidRDefault="00E53203" w:rsidP="002A46E0">
      <w:pPr>
        <w:rPr>
          <w:rStyle w:val="SubtleReference"/>
          <w:b/>
        </w:rPr>
      </w:pPr>
      <w:r w:rsidRPr="0027428A">
        <w:rPr>
          <w:rStyle w:val="SubtleReference"/>
          <w:b/>
        </w:rPr>
        <w:t>Manila, August 2017</w:t>
      </w:r>
    </w:p>
    <w:p w:rsidR="00C00DEC" w:rsidRDefault="00C00DEC" w:rsidP="002A46E0"/>
    <w:p w:rsidR="00C00DEC" w:rsidRDefault="00C00DEC" w:rsidP="002A46E0">
      <w:pPr>
        <w:rPr>
          <w:bCs/>
          <w:u w:val="single"/>
        </w:rPr>
        <w:sectPr w:rsidR="00C00DEC" w:rsidSect="002A46E0">
          <w:footerReference w:type="default" r:id="rId8"/>
          <w:footerReference w:type="first" r:id="rId9"/>
          <w:pgSz w:w="12240" w:h="15840"/>
          <w:pgMar w:top="1440" w:right="1440" w:bottom="1440" w:left="1440" w:header="720" w:footer="720" w:gutter="0"/>
          <w:pgNumType w:start="1"/>
          <w:cols w:space="720"/>
          <w:titlePg/>
          <w:docGrid w:linePitch="360"/>
        </w:sectPr>
      </w:pPr>
    </w:p>
    <w:p w:rsidR="004362A4" w:rsidRDefault="004362A4">
      <w:pPr>
        <w:rPr>
          <w:sz w:val="28"/>
          <w:szCs w:val="28"/>
        </w:rPr>
      </w:pPr>
      <w:r>
        <w:rPr>
          <w:noProof/>
        </w:rPr>
        <w:lastRenderedPageBreak/>
        <w:drawing>
          <wp:anchor distT="0" distB="0" distL="114300" distR="114300" simplePos="0" relativeHeight="251796480" behindDoc="1" locked="0" layoutInCell="1" allowOverlap="1" wp14:anchorId="6AAAC48B" wp14:editId="3442F3F2">
            <wp:simplePos x="0" y="0"/>
            <wp:positionH relativeFrom="column">
              <wp:posOffset>0</wp:posOffset>
            </wp:positionH>
            <wp:positionV relativeFrom="paragraph">
              <wp:posOffset>281940</wp:posOffset>
            </wp:positionV>
            <wp:extent cx="5577840" cy="7793355"/>
            <wp:effectExtent l="0" t="0" r="3810" b="0"/>
            <wp:wrapTight wrapText="bothSides">
              <wp:wrapPolygon edited="0">
                <wp:start x="0" y="0"/>
                <wp:lineTo x="0" y="21542"/>
                <wp:lineTo x="21541" y="21542"/>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981" t="25613" r="42832" b="16121"/>
                    <a:stretch/>
                  </pic:blipFill>
                  <pic:spPr bwMode="auto">
                    <a:xfrm>
                      <a:off x="0" y="0"/>
                      <a:ext cx="5577840" cy="779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491">
        <w:rPr>
          <w:sz w:val="28"/>
          <w:szCs w:val="28"/>
        </w:rPr>
        <w:t>Journey towards 2041</w:t>
      </w:r>
    </w:p>
    <w:p w:rsidR="004362A4" w:rsidRDefault="004362A4" w:rsidP="004362A4">
      <w:pPr>
        <w:spacing w:line="276" w:lineRule="auto"/>
        <w:rPr>
          <w:rFonts w:ascii="Arial" w:hAnsi="Arial" w:cs="Arial"/>
          <w:b/>
        </w:rPr>
      </w:pPr>
      <w:r>
        <w:rPr>
          <w:rFonts w:ascii="Arial" w:hAnsi="Arial" w:cs="Arial"/>
          <w:b/>
        </w:rPr>
        <w:lastRenderedPageBreak/>
        <w:t>LEADERS WHO BROUGHT US HERE TO GO FARTHER</w:t>
      </w:r>
    </w:p>
    <w:p w:rsidR="004362A4" w:rsidRDefault="004362A4" w:rsidP="004362A4">
      <w:pPr>
        <w:spacing w:line="276" w:lineRule="auto"/>
        <w:rPr>
          <w:rFonts w:ascii="Arial" w:hAnsi="Arial" w:cs="Arial"/>
          <w:b/>
          <w:i/>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pPr>
      <w:r w:rsidRPr="000F28D3">
        <w:rPr>
          <w:rFonts w:ascii="Arial" w:hAnsi="Arial" w:cs="Arial"/>
          <w:b/>
          <w:i/>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BANGLADESH 2041</w:t>
      </w:r>
    </w:p>
    <w:p w:rsidR="004362A4" w:rsidRDefault="004362A4" w:rsidP="004362A4">
      <w:pPr>
        <w:spacing w:line="276" w:lineRule="auto"/>
        <w:rPr>
          <w:rFonts w:ascii="Arial" w:hAnsi="Arial" w:cs="Arial"/>
          <w:b/>
          <w:i/>
        </w:rPr>
      </w:pPr>
      <w:r>
        <w:rPr>
          <w:noProof/>
        </w:rPr>
        <w:drawing>
          <wp:inline distT="0" distB="0" distL="0" distR="0" wp14:anchorId="1FA90564" wp14:editId="32409F00">
            <wp:extent cx="3985260" cy="3878580"/>
            <wp:effectExtent l="0" t="0" r="0" b="7620"/>
            <wp:docPr id="7" name="Picture 7" descr="Image result for Sheikh Mujibur rahman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eikh Mujibur rahman pho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260" cy="3878580"/>
                    </a:xfrm>
                    <a:prstGeom prst="rect">
                      <a:avLst/>
                    </a:prstGeom>
                    <a:noFill/>
                    <a:ln>
                      <a:noFill/>
                    </a:ln>
                  </pic:spPr>
                </pic:pic>
              </a:graphicData>
            </a:graphic>
          </wp:inline>
        </w:drawing>
      </w:r>
    </w:p>
    <w:p w:rsidR="004362A4" w:rsidRDefault="004362A4" w:rsidP="004362A4">
      <w:pPr>
        <w:spacing w:line="276" w:lineRule="auto"/>
        <w:rPr>
          <w:rFonts w:ascii="Arial" w:hAnsi="Arial" w:cs="Arial"/>
          <w:b/>
        </w:rPr>
      </w:pPr>
      <w:r>
        <w:rPr>
          <w:noProof/>
        </w:rPr>
        <w:lastRenderedPageBreak/>
        <w:drawing>
          <wp:inline distT="0" distB="0" distL="0" distR="0" wp14:anchorId="74209C63" wp14:editId="221C768E">
            <wp:extent cx="4015105" cy="3688080"/>
            <wp:effectExtent l="0" t="0" r="4445" b="7620"/>
            <wp:docPr id="26" name="Picture 26" descr="Sheikh Hasina And Her Bangladesh: Short Biography of Bangladesh pr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ikh Hasina And Her Bangladesh: Short Biography of Bangladesh pri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012" cy="3726574"/>
                    </a:xfrm>
                    <a:prstGeom prst="rect">
                      <a:avLst/>
                    </a:prstGeom>
                    <a:noFill/>
                    <a:ln>
                      <a:noFill/>
                    </a:ln>
                  </pic:spPr>
                </pic:pic>
              </a:graphicData>
            </a:graphic>
          </wp:inline>
        </w:drawing>
      </w:r>
    </w:p>
    <w:p w:rsidR="00710346" w:rsidRDefault="00710346">
      <w:pPr>
        <w:rPr>
          <w:rFonts w:ascii="Arial" w:hAnsi="Arial" w:cs="Arial"/>
          <w:b/>
        </w:rPr>
      </w:pPr>
      <w:r w:rsidRPr="00BC16CE">
        <w:rPr>
          <w:rFonts w:ascii="Arial" w:eastAsia="Times New Roman" w:hAnsi="Arial" w:cs="Arial"/>
          <w:noProof/>
          <w:color w:val="000000"/>
          <w:sz w:val="20"/>
          <w:szCs w:val="20"/>
        </w:rPr>
        <w:drawing>
          <wp:inline distT="0" distB="0" distL="0" distR="0" wp14:anchorId="56340A24" wp14:editId="2575FD64">
            <wp:extent cx="5943600" cy="3344659"/>
            <wp:effectExtent l="0" t="0" r="0" b="8255"/>
            <wp:docPr id="57" name="Picture 57" descr="http://www.thedailystar.net/sites/default/files/styles/big_2/public/feature/images/western_marine.jpg?itok=i9XiDEqZ&amp;c=15ecb58125bc8f791db73b62c844a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dailystar.net/sites/default/files/styles/big_2/public/feature/images/western_marine.jpg?itok=i9XiDEqZ&amp;c=15ecb58125bc8f791db73b62c844a4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4659"/>
                    </a:xfrm>
                    <a:prstGeom prst="rect">
                      <a:avLst/>
                    </a:prstGeom>
                    <a:noFill/>
                    <a:ln>
                      <a:noFill/>
                    </a:ln>
                  </pic:spPr>
                </pic:pic>
              </a:graphicData>
            </a:graphic>
          </wp:inline>
        </w:drawing>
      </w:r>
    </w:p>
    <w:p w:rsidR="005D26C5" w:rsidRDefault="00710346">
      <w:pPr>
        <w:rPr>
          <w:sz w:val="18"/>
          <w:szCs w:val="18"/>
        </w:rPr>
      </w:pPr>
      <w:r w:rsidRPr="00FB3F0E">
        <w:rPr>
          <w:sz w:val="18"/>
          <w:szCs w:val="18"/>
        </w:rPr>
        <w:t xml:space="preserve">Bangladesh is on the march – </w:t>
      </w:r>
      <w:r w:rsidR="00FB3F0E" w:rsidRPr="00FB3F0E">
        <w:rPr>
          <w:sz w:val="18"/>
          <w:szCs w:val="18"/>
        </w:rPr>
        <w:t>‘</w:t>
      </w:r>
      <w:proofErr w:type="spellStart"/>
      <w:r w:rsidR="00FB3F0E" w:rsidRPr="00FB3F0E">
        <w:rPr>
          <w:sz w:val="18"/>
          <w:szCs w:val="18"/>
        </w:rPr>
        <w:t>Doria</w:t>
      </w:r>
      <w:proofErr w:type="spellEnd"/>
      <w:r w:rsidR="00FB3F0E" w:rsidRPr="00FB3F0E">
        <w:rPr>
          <w:sz w:val="18"/>
          <w:szCs w:val="18"/>
        </w:rPr>
        <w:t xml:space="preserve">’ </w:t>
      </w:r>
      <w:r w:rsidRPr="00FB3F0E">
        <w:rPr>
          <w:sz w:val="18"/>
          <w:szCs w:val="18"/>
        </w:rPr>
        <w:t xml:space="preserve">a </w:t>
      </w:r>
      <w:r w:rsidR="00FB3F0E" w:rsidRPr="00FB3F0E">
        <w:rPr>
          <w:sz w:val="18"/>
          <w:szCs w:val="18"/>
        </w:rPr>
        <w:t>54.7-meter</w:t>
      </w:r>
      <w:r w:rsidRPr="00FB3F0E">
        <w:rPr>
          <w:sz w:val="18"/>
          <w:szCs w:val="18"/>
        </w:rPr>
        <w:t xml:space="preserve"> vessel delivered to Kenya by Western Marine</w:t>
      </w:r>
      <w:r w:rsidR="00FB3F0E" w:rsidRPr="00FB3F0E">
        <w:rPr>
          <w:sz w:val="18"/>
          <w:szCs w:val="18"/>
        </w:rPr>
        <w:t>. By 2041 aircraft carriers will be delivered by Bangladesh as it takes over Korea and Japan in shipping</w:t>
      </w:r>
    </w:p>
    <w:p w:rsidR="004362A4" w:rsidRDefault="004362A4" w:rsidP="004362A4">
      <w:pPr>
        <w:spacing w:line="276" w:lineRule="auto"/>
        <w:rPr>
          <w:rFonts w:ascii="Arial" w:hAnsi="Arial" w:cs="Arial"/>
          <w:b/>
        </w:rPr>
      </w:pPr>
      <w:r>
        <w:rPr>
          <w:noProof/>
        </w:rPr>
        <w:lastRenderedPageBreak/>
        <w:drawing>
          <wp:anchor distT="0" distB="0" distL="114300" distR="114300" simplePos="0" relativeHeight="251802624" behindDoc="1" locked="0" layoutInCell="1" allowOverlap="1" wp14:anchorId="38FCF157" wp14:editId="5AC36295">
            <wp:simplePos x="0" y="0"/>
            <wp:positionH relativeFrom="margin">
              <wp:posOffset>8255</wp:posOffset>
            </wp:positionH>
            <wp:positionV relativeFrom="paragraph">
              <wp:posOffset>4697730</wp:posOffset>
            </wp:positionV>
            <wp:extent cx="2987040" cy="3011170"/>
            <wp:effectExtent l="0" t="0" r="3810" b="0"/>
            <wp:wrapTight wrapText="bothSides">
              <wp:wrapPolygon edited="0">
                <wp:start x="0" y="0"/>
                <wp:lineTo x="0" y="21454"/>
                <wp:lineTo x="21490" y="21454"/>
                <wp:lineTo x="21490" y="0"/>
                <wp:lineTo x="0" y="0"/>
              </wp:wrapPolygon>
            </wp:wrapTight>
            <wp:docPr id="30" name="Picture 30" descr="http://www.sewallbelmont.org/wp-content/uploads/2012/07/Begum-Rokeya-Bust-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wallbelmont.org/wp-content/uploads/2012/07/Begum-Rokeya-Bust-201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487" t="5553" r="14018"/>
                    <a:stretch/>
                  </pic:blipFill>
                  <pic:spPr bwMode="auto">
                    <a:xfrm>
                      <a:off x="0" y="0"/>
                      <a:ext cx="2987040" cy="301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14A9CF04" wp14:editId="51777A9C">
            <wp:simplePos x="0" y="0"/>
            <wp:positionH relativeFrom="margin">
              <wp:align>right</wp:align>
            </wp:positionH>
            <wp:positionV relativeFrom="paragraph">
              <wp:posOffset>4697730</wp:posOffset>
            </wp:positionV>
            <wp:extent cx="2948940" cy="2986405"/>
            <wp:effectExtent l="0" t="0" r="3810" b="4445"/>
            <wp:wrapTight wrapText="bothSides">
              <wp:wrapPolygon edited="0">
                <wp:start x="0" y="0"/>
                <wp:lineTo x="0" y="21494"/>
                <wp:lineTo x="21488" y="21494"/>
                <wp:lineTo x="21488" y="0"/>
                <wp:lineTo x="0" y="0"/>
              </wp:wrapPolygon>
            </wp:wrapTight>
            <wp:docPr id="15" name="Picture 15" descr="Images Begum Sufia Kamal Auditorium National Museum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Begum Sufia Kamal Auditorium National Museum Apr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8940"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6FA78850" wp14:editId="09255682">
            <wp:simplePos x="0" y="0"/>
            <wp:positionH relativeFrom="margin">
              <wp:posOffset>3002280</wp:posOffset>
            </wp:positionH>
            <wp:positionV relativeFrom="paragraph">
              <wp:posOffset>0</wp:posOffset>
            </wp:positionV>
            <wp:extent cx="2910840" cy="2080260"/>
            <wp:effectExtent l="0" t="0" r="3810" b="0"/>
            <wp:wrapTight wrapText="bothSides">
              <wp:wrapPolygon edited="0">
                <wp:start x="0" y="0"/>
                <wp:lineTo x="0" y="21363"/>
                <wp:lineTo x="21487" y="21363"/>
                <wp:lineTo x="21487" y="0"/>
                <wp:lineTo x="0" y="0"/>
              </wp:wrapPolygon>
            </wp:wrapTight>
            <wp:docPr id="8" name="Picture 8" descr="http://www.morningcable.com/media/k2/items/src/Khudi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rningcable.com/media/k2/items/src/Khudir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084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78746D00" wp14:editId="2586868C">
            <wp:simplePos x="0" y="0"/>
            <wp:positionH relativeFrom="column">
              <wp:posOffset>2987040</wp:posOffset>
            </wp:positionH>
            <wp:positionV relativeFrom="paragraph">
              <wp:posOffset>2072640</wp:posOffset>
            </wp:positionV>
            <wp:extent cx="2933700" cy="2621280"/>
            <wp:effectExtent l="0" t="0" r="0" b="7620"/>
            <wp:wrapTight wrapText="bothSides">
              <wp:wrapPolygon edited="0">
                <wp:start x="0" y="0"/>
                <wp:lineTo x="0" y="21506"/>
                <wp:lineTo x="21460" y="21506"/>
                <wp:lineTo x="21460" y="0"/>
                <wp:lineTo x="0" y="0"/>
              </wp:wrapPolygon>
            </wp:wrapTight>
            <wp:docPr id="17416" name="Picture 17416" descr="https://encrypted-tbn1.gstatic.com/images?q=tbn:ANd9GcTPSIVrSgOg8-jjuQeU87egOWAYBR_9ZKfMPF94nnx9mS3nh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TPSIVrSgOg8-jjuQeU87egOWAYBR_9ZKfMPF94nnx9mS3nhCL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34E471EA" wp14:editId="3AF2FBAB">
            <wp:simplePos x="0" y="0"/>
            <wp:positionH relativeFrom="margin">
              <wp:align>left</wp:align>
            </wp:positionH>
            <wp:positionV relativeFrom="paragraph">
              <wp:posOffset>2087880</wp:posOffset>
            </wp:positionV>
            <wp:extent cx="3009900" cy="2598420"/>
            <wp:effectExtent l="0" t="0" r="0" b="0"/>
            <wp:wrapTight wrapText="bothSides">
              <wp:wrapPolygon edited="0">
                <wp:start x="0" y="0"/>
                <wp:lineTo x="0" y="21378"/>
                <wp:lineTo x="21463" y="21378"/>
                <wp:lineTo x="21463" y="0"/>
                <wp:lineTo x="0" y="0"/>
              </wp:wrapPolygon>
            </wp:wrapTight>
            <wp:docPr id="17415" name="Picture 17415" descr="https://encrypted-tbn0.gstatic.com/images?q=tbn:ANd9GcRJavKwLBK00o3C_pTGN0vA1cris4UE7vH9plmwaA13LEkIHxatBQTVm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0.gstatic.com/images?q=tbn:ANd9GcRJavKwLBK00o3C_pTGN0vA1cris4UE7vH9plmwaA13LEkIHxatBQTVm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16ADAAE9" wp14:editId="1F8273AE">
            <wp:simplePos x="0" y="0"/>
            <wp:positionH relativeFrom="column">
              <wp:posOffset>0</wp:posOffset>
            </wp:positionH>
            <wp:positionV relativeFrom="paragraph">
              <wp:posOffset>0</wp:posOffset>
            </wp:positionV>
            <wp:extent cx="3002280" cy="2087880"/>
            <wp:effectExtent l="0" t="0" r="7620" b="7620"/>
            <wp:wrapTight wrapText="bothSides">
              <wp:wrapPolygon edited="0">
                <wp:start x="0" y="0"/>
                <wp:lineTo x="0" y="21482"/>
                <wp:lineTo x="21518" y="21482"/>
                <wp:lineTo x="21518" y="0"/>
                <wp:lineTo x="0" y="0"/>
              </wp:wrapPolygon>
            </wp:wrapTight>
            <wp:docPr id="31" name="Picture 31" descr="https://scontent-lax3-1.xx.fbcdn.net/hphotos-xfa1/v/t1.0-9/521376_434315596586661_52596649_n.jpg?oh=87c33c2c3d9aa02b68e8d7743b8858dd&amp;oe=5688F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ax3-1.xx.fbcdn.net/hphotos-xfa1/v/t1.0-9/521376_434315596586661_52596649_n.jpg?oh=87c33c2c3d9aa02b68e8d7743b8858dd&amp;oe=5688F7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28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2A4" w:rsidRDefault="004362A4" w:rsidP="004362A4">
      <w:pPr>
        <w:tabs>
          <w:tab w:val="center" w:pos="4680"/>
        </w:tabs>
        <w:rPr>
          <w:sz w:val="28"/>
          <w:szCs w:val="28"/>
        </w:rPr>
      </w:pPr>
      <w:r>
        <w:rPr>
          <w:sz w:val="28"/>
          <w:szCs w:val="28"/>
        </w:rPr>
        <w:tab/>
      </w:r>
    </w:p>
    <w:p w:rsidR="007C2335" w:rsidRPr="004362A4" w:rsidRDefault="007C2335" w:rsidP="004362A4">
      <w:pPr>
        <w:rPr>
          <w:sz w:val="28"/>
          <w:szCs w:val="28"/>
        </w:rPr>
        <w:sectPr w:rsidR="007C2335" w:rsidRPr="004362A4" w:rsidSect="0003428F">
          <w:footerReference w:type="default" r:id="rId20"/>
          <w:pgSz w:w="12240" w:h="15840"/>
          <w:pgMar w:top="1440" w:right="1440" w:bottom="1440" w:left="1440" w:header="720" w:footer="720" w:gutter="0"/>
          <w:pgNumType w:fmt="lowerRoman" w:start="1"/>
          <w:cols w:space="720"/>
          <w:titlePg/>
          <w:docGrid w:linePitch="360"/>
        </w:sectPr>
      </w:pPr>
    </w:p>
    <w:p w:rsidR="00C00DEC" w:rsidRPr="0003428F" w:rsidRDefault="00C00DEC" w:rsidP="00C00DEC">
      <w:pPr>
        <w:jc w:val="center"/>
        <w:rPr>
          <w:sz w:val="28"/>
          <w:szCs w:val="28"/>
        </w:rPr>
      </w:pPr>
      <w:r w:rsidRPr="0003428F">
        <w:rPr>
          <w:sz w:val="28"/>
          <w:szCs w:val="28"/>
        </w:rPr>
        <w:lastRenderedPageBreak/>
        <w:t>Table of Contents</w:t>
      </w:r>
    </w:p>
    <w:p w:rsidR="00C00DEC" w:rsidRDefault="00C00DEC" w:rsidP="00C00DEC"/>
    <w:p w:rsidR="00C00DEC" w:rsidRDefault="00C00DEC" w:rsidP="00E54F5A">
      <w:pPr>
        <w:spacing w:before="100" w:after="100" w:line="276" w:lineRule="auto"/>
      </w:pPr>
    </w:p>
    <w:p w:rsidR="00A76AFD" w:rsidRPr="006C0984" w:rsidRDefault="00A76AFD" w:rsidP="00A76AFD">
      <w:pPr>
        <w:spacing w:before="100" w:after="100" w:line="276" w:lineRule="auto"/>
        <w:rPr>
          <w:color w:val="2B5A6F"/>
        </w:rPr>
      </w:pPr>
      <w:r w:rsidRPr="006C0984">
        <w:rPr>
          <w:color w:val="2B5A6F"/>
        </w:rPr>
        <w:t>List of Tables</w:t>
      </w:r>
      <w:r w:rsidRPr="00C44548">
        <w:rPr>
          <w:color w:val="000000" w:themeColor="text1"/>
        </w:rPr>
        <w:t>…………………………………………………………………………………. vii</w:t>
      </w:r>
    </w:p>
    <w:p w:rsidR="00A76AFD" w:rsidRPr="006C0984" w:rsidRDefault="00A76AFD" w:rsidP="00A76AFD">
      <w:pPr>
        <w:spacing w:before="100" w:after="100" w:line="276" w:lineRule="auto"/>
        <w:rPr>
          <w:color w:val="2B5A6F"/>
        </w:rPr>
      </w:pPr>
      <w:r w:rsidRPr="006C0984">
        <w:rPr>
          <w:color w:val="2B5A6F"/>
        </w:rPr>
        <w:t>List of Figures</w:t>
      </w:r>
      <w:r w:rsidRPr="00C44548">
        <w:rPr>
          <w:color w:val="000000" w:themeColor="text1"/>
        </w:rPr>
        <w:t>…………………………………………………………………………………. vii</w:t>
      </w:r>
    </w:p>
    <w:p w:rsidR="00A76AFD" w:rsidRPr="00587332" w:rsidRDefault="00A76AFD" w:rsidP="00A76AFD">
      <w:pPr>
        <w:spacing w:before="100" w:after="100" w:line="276" w:lineRule="auto"/>
        <w:ind w:left="450" w:hanging="450"/>
        <w:rPr>
          <w:b/>
          <w:caps/>
          <w:color w:val="2B5A6F"/>
        </w:rPr>
      </w:pPr>
      <w:r w:rsidRPr="006C0984">
        <w:rPr>
          <w:b/>
          <w:caps/>
          <w:color w:val="2B5A6F"/>
        </w:rPr>
        <w:t>Good governance, democratization, decentralization of power     and capacity building for institutions compatible with a transformin</w:t>
      </w:r>
      <w:r>
        <w:rPr>
          <w:b/>
          <w:caps/>
          <w:color w:val="2B5A6F"/>
        </w:rPr>
        <w:t>g economy</w:t>
      </w:r>
      <w:r w:rsidRPr="00C44548">
        <w:rPr>
          <w:caps/>
          <w:color w:val="000000" w:themeColor="text1"/>
        </w:rPr>
        <w:t>………………………………………………………</w:t>
      </w:r>
      <w:r>
        <w:rPr>
          <w:caps/>
          <w:color w:val="000000" w:themeColor="text1"/>
        </w:rPr>
        <w:t>.</w:t>
      </w:r>
      <w:r w:rsidRPr="00C44548">
        <w:rPr>
          <w:caps/>
          <w:color w:val="000000" w:themeColor="text1"/>
        </w:rPr>
        <w:t>….1</w:t>
      </w:r>
    </w:p>
    <w:p w:rsidR="00A76AFD" w:rsidRPr="006C0984" w:rsidRDefault="00A76AFD" w:rsidP="00A76AFD">
      <w:pPr>
        <w:pStyle w:val="ListParagraph"/>
        <w:numPr>
          <w:ilvl w:val="0"/>
          <w:numId w:val="5"/>
        </w:numPr>
        <w:spacing w:before="100" w:after="100" w:line="276" w:lineRule="auto"/>
        <w:contextualSpacing w:val="0"/>
        <w:rPr>
          <w:rFonts w:ascii="Arial Bold" w:hAnsi="Arial Bold"/>
          <w:caps/>
          <w:color w:val="2B5A6F"/>
        </w:rPr>
      </w:pPr>
      <w:r w:rsidRPr="00587332">
        <w:rPr>
          <w:rFonts w:ascii="Times New Roman" w:hAnsi="Times New Roman" w:cs="Times New Roman"/>
          <w:b/>
          <w:caps/>
          <w:color w:val="2B5A6F"/>
        </w:rPr>
        <w:t>Overview</w:t>
      </w:r>
      <w:r w:rsidRPr="00C44548">
        <w:rPr>
          <w:rFonts w:ascii="Times New Roman" w:hAnsi="Times New Roman" w:cs="Times New Roman"/>
          <w:caps/>
          <w:color w:val="000000" w:themeColor="text1"/>
        </w:rPr>
        <w:t>………………………………………………………………………………</w:t>
      </w:r>
      <w:r>
        <w:rPr>
          <w:rFonts w:ascii="Times New Roman" w:hAnsi="Times New Roman" w:cs="Times New Roman"/>
          <w:caps/>
          <w:color w:val="000000" w:themeColor="text1"/>
        </w:rPr>
        <w:t>.</w:t>
      </w:r>
      <w:r w:rsidRPr="00C44548">
        <w:rPr>
          <w:rFonts w:ascii="Times New Roman" w:hAnsi="Times New Roman" w:cs="Times New Roman"/>
          <w:caps/>
          <w:color w:val="000000" w:themeColor="text1"/>
        </w:rPr>
        <w:t>…1</w:t>
      </w:r>
    </w:p>
    <w:p w:rsidR="00A76AFD" w:rsidRPr="006C0984" w:rsidRDefault="00A76AFD" w:rsidP="00A76AFD">
      <w:pPr>
        <w:pStyle w:val="ListParagraph"/>
        <w:numPr>
          <w:ilvl w:val="0"/>
          <w:numId w:val="5"/>
        </w:numPr>
        <w:spacing w:before="100" w:after="100" w:line="276" w:lineRule="auto"/>
        <w:contextualSpacing w:val="0"/>
        <w:rPr>
          <w:rFonts w:ascii="Arial Bold" w:hAnsi="Arial Bold"/>
          <w:caps/>
          <w:color w:val="2B5A6F"/>
        </w:rPr>
      </w:pPr>
      <w:r w:rsidRPr="006C0984">
        <w:rPr>
          <w:rFonts w:ascii="Times New Roman" w:hAnsi="Times New Roman" w:cs="Times New Roman"/>
          <w:b/>
          <w:caps/>
          <w:color w:val="2B5A6F"/>
        </w:rPr>
        <w:t>Introduction</w:t>
      </w:r>
      <w:r w:rsidRPr="00C44548">
        <w:rPr>
          <w:rFonts w:ascii="Times New Roman" w:hAnsi="Times New Roman" w:cs="Times New Roman"/>
          <w:caps/>
          <w:color w:val="000000" w:themeColor="text1"/>
        </w:rPr>
        <w:t>…………………………………………………………………………...2</w:t>
      </w:r>
    </w:p>
    <w:p w:rsidR="00A76AFD" w:rsidRPr="00C44548" w:rsidRDefault="00A76AFD" w:rsidP="00A76AFD">
      <w:pPr>
        <w:pStyle w:val="ListParagraph"/>
        <w:numPr>
          <w:ilvl w:val="0"/>
          <w:numId w:val="5"/>
        </w:numPr>
        <w:spacing w:before="100" w:after="100" w:line="276" w:lineRule="auto"/>
        <w:contextualSpacing w:val="0"/>
        <w:rPr>
          <w:rFonts w:ascii="Arial Bold" w:hAnsi="Arial Bold"/>
          <w:caps/>
          <w:color w:val="000000" w:themeColor="text1"/>
        </w:rPr>
      </w:pPr>
      <w:r w:rsidRPr="006C0984">
        <w:rPr>
          <w:rFonts w:ascii="Times New Roman" w:hAnsi="Times New Roman" w:cs="Times New Roman"/>
          <w:b/>
          <w:caps/>
          <w:color w:val="2B5A6F"/>
        </w:rPr>
        <w:t>The Conceptual Framework – Setting Parameters for Four Pillars</w:t>
      </w:r>
      <w:r w:rsidRPr="00C44548">
        <w:rPr>
          <w:rFonts w:ascii="Times New Roman" w:hAnsi="Times New Roman" w:cs="Times New Roman"/>
          <w:caps/>
          <w:color w:val="000000" w:themeColor="text1"/>
        </w:rPr>
        <w:t>…………………………………………………………………………………</w:t>
      </w:r>
      <w:r>
        <w:rPr>
          <w:rFonts w:ascii="Times New Roman" w:hAnsi="Times New Roman" w:cs="Times New Roman"/>
          <w:caps/>
          <w:color w:val="000000" w:themeColor="text1"/>
        </w:rPr>
        <w:t>.</w:t>
      </w:r>
      <w:r w:rsidRPr="00C44548">
        <w:rPr>
          <w:rFonts w:ascii="Times New Roman" w:hAnsi="Times New Roman" w:cs="Times New Roman"/>
          <w:caps/>
          <w:color w:val="000000" w:themeColor="text1"/>
        </w:rPr>
        <w:t>…</w:t>
      </w:r>
      <w:r>
        <w:rPr>
          <w:rFonts w:ascii="Times New Roman" w:hAnsi="Times New Roman" w:cs="Times New Roman"/>
          <w:caps/>
          <w:color w:val="000000" w:themeColor="text1"/>
        </w:rPr>
        <w:t>.</w:t>
      </w:r>
      <w:r w:rsidRPr="00C44548">
        <w:rPr>
          <w:rFonts w:ascii="Times New Roman" w:hAnsi="Times New Roman" w:cs="Times New Roman"/>
          <w:caps/>
          <w:color w:val="000000" w:themeColor="text1"/>
        </w:rPr>
        <w:t>6</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aps/>
          <w:color w:val="000000" w:themeColor="text1"/>
        </w:rPr>
        <w:t>O</w:t>
      </w:r>
      <w:r w:rsidRPr="008D216A">
        <w:rPr>
          <w:rFonts w:ascii="Times New Roman" w:hAnsi="Times New Roman" w:cs="Times New Roman"/>
          <w:color w:val="000000" w:themeColor="text1"/>
        </w:rPr>
        <w:t>verall framework…………………………………………………………………………</w:t>
      </w:r>
      <w:proofErr w:type="gramStart"/>
      <w:r>
        <w:rPr>
          <w:rFonts w:ascii="Times New Roman" w:hAnsi="Times New Roman" w:cs="Times New Roman"/>
          <w:color w:val="000000" w:themeColor="text1"/>
        </w:rPr>
        <w:t>.....</w:t>
      </w:r>
      <w:proofErr w:type="gramEnd"/>
      <w:r w:rsidRPr="008D216A">
        <w:rPr>
          <w:rFonts w:ascii="Times New Roman" w:hAnsi="Times New Roman" w:cs="Times New Roman"/>
          <w:color w:val="000000" w:themeColor="text1"/>
        </w:rPr>
        <w:t>6</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Good governance framework………………………………………………………………</w:t>
      </w:r>
      <w:r>
        <w:rPr>
          <w:rFonts w:ascii="Times New Roman" w:hAnsi="Times New Roman" w:cs="Times New Roman"/>
          <w:color w:val="000000" w:themeColor="text1"/>
        </w:rPr>
        <w:t>....</w:t>
      </w:r>
      <w:r w:rsidRPr="008D216A">
        <w:rPr>
          <w:rFonts w:ascii="Times New Roman" w:hAnsi="Times New Roman" w:cs="Times New Roman"/>
          <w:color w:val="000000" w:themeColor="text1"/>
        </w:rPr>
        <w:t>6</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Democratization framework………………………………………………………………</w:t>
      </w:r>
      <w:r>
        <w:rPr>
          <w:rFonts w:ascii="Times New Roman" w:hAnsi="Times New Roman" w:cs="Times New Roman"/>
          <w:color w:val="000000" w:themeColor="text1"/>
        </w:rPr>
        <w:t>.…</w:t>
      </w:r>
      <w:r w:rsidRPr="008D216A">
        <w:rPr>
          <w:rFonts w:ascii="Times New Roman" w:hAnsi="Times New Roman" w:cs="Times New Roman"/>
          <w:color w:val="000000" w:themeColor="text1"/>
        </w:rPr>
        <w:t>.8</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Decentralization framework………………………………………………………………</w:t>
      </w:r>
      <w:r>
        <w:rPr>
          <w:rFonts w:ascii="Times New Roman" w:hAnsi="Times New Roman" w:cs="Times New Roman"/>
          <w:color w:val="000000" w:themeColor="text1"/>
        </w:rPr>
        <w:t>.….</w:t>
      </w:r>
      <w:r w:rsidRPr="008D216A">
        <w:rPr>
          <w:rFonts w:ascii="Times New Roman" w:hAnsi="Times New Roman" w:cs="Times New Roman"/>
          <w:color w:val="000000" w:themeColor="text1"/>
        </w:rPr>
        <w:t>9</w:t>
      </w:r>
    </w:p>
    <w:p w:rsidR="00A76AFD" w:rsidRPr="008D216A" w:rsidRDefault="00A76AFD" w:rsidP="00A76AFD">
      <w:pPr>
        <w:pStyle w:val="ListParagraph"/>
        <w:spacing w:before="100" w:after="100" w:line="276" w:lineRule="auto"/>
        <w:ind w:left="360"/>
        <w:contextualSpacing w:val="0"/>
        <w:rPr>
          <w:rFonts w:ascii="Arial Bold" w:hAnsi="Arial Bold"/>
          <w:color w:val="000000" w:themeColor="text1"/>
        </w:rPr>
      </w:pPr>
      <w:r w:rsidRPr="008D216A">
        <w:rPr>
          <w:rFonts w:ascii="Times New Roman" w:hAnsi="Times New Roman" w:cs="Times New Roman"/>
          <w:color w:val="000000" w:themeColor="text1"/>
        </w:rPr>
        <w:t>Capacity building framework……………………………………………………………</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10</w:t>
      </w:r>
    </w:p>
    <w:p w:rsidR="00A76AFD" w:rsidRPr="00587332" w:rsidRDefault="00A76AFD" w:rsidP="00A76AFD">
      <w:pPr>
        <w:pStyle w:val="ListParagraph"/>
        <w:numPr>
          <w:ilvl w:val="0"/>
          <w:numId w:val="5"/>
        </w:numPr>
        <w:spacing w:before="100" w:after="100" w:line="276" w:lineRule="auto"/>
        <w:contextualSpacing w:val="0"/>
        <w:rPr>
          <w:rFonts w:ascii="Arial Bold" w:hAnsi="Arial Bold"/>
          <w:caps/>
          <w:color w:val="2B5A6F"/>
        </w:rPr>
      </w:pPr>
      <w:r w:rsidRPr="006C0984">
        <w:rPr>
          <w:rFonts w:ascii="Times New Roman" w:hAnsi="Times New Roman" w:cs="Times New Roman"/>
          <w:b/>
          <w:caps/>
          <w:color w:val="2B5A6F"/>
        </w:rPr>
        <w:t>The Current State of Institutions</w:t>
      </w:r>
      <w:r w:rsidRPr="00C44548">
        <w:rPr>
          <w:rFonts w:ascii="Times New Roman" w:hAnsi="Times New Roman" w:cs="Times New Roman"/>
          <w:caps/>
          <w:color w:val="000000" w:themeColor="text1"/>
        </w:rPr>
        <w:t>………………………………………</w:t>
      </w:r>
      <w:r>
        <w:rPr>
          <w:rFonts w:ascii="Times New Roman" w:hAnsi="Times New Roman" w:cs="Times New Roman"/>
          <w:caps/>
          <w:color w:val="000000" w:themeColor="text1"/>
        </w:rPr>
        <w:t>.</w:t>
      </w:r>
      <w:r w:rsidRPr="00C44548">
        <w:rPr>
          <w:rFonts w:ascii="Times New Roman" w:hAnsi="Times New Roman" w:cs="Times New Roman"/>
          <w:caps/>
          <w:color w:val="000000" w:themeColor="text1"/>
        </w:rPr>
        <w:t>…</w:t>
      </w:r>
      <w:r>
        <w:rPr>
          <w:rFonts w:ascii="Times New Roman" w:hAnsi="Times New Roman" w:cs="Times New Roman"/>
          <w:caps/>
          <w:color w:val="000000" w:themeColor="text1"/>
        </w:rPr>
        <w:t>.</w:t>
      </w:r>
      <w:r w:rsidRPr="00C44548">
        <w:rPr>
          <w:rFonts w:ascii="Times New Roman" w:hAnsi="Times New Roman" w:cs="Times New Roman"/>
          <w:caps/>
          <w:color w:val="000000" w:themeColor="text1"/>
        </w:rPr>
        <w:t>11</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aps/>
          <w:color w:val="000000" w:themeColor="text1"/>
        </w:rPr>
      </w:pPr>
      <w:r w:rsidRPr="008D216A">
        <w:rPr>
          <w:rFonts w:ascii="Times New Roman" w:hAnsi="Times New Roman" w:cs="Times New Roman"/>
          <w:color w:val="000000" w:themeColor="text1"/>
        </w:rPr>
        <w:t>Planning</w:t>
      </w:r>
      <w:r w:rsidRPr="008D216A">
        <w:rPr>
          <w:rFonts w:ascii="Times New Roman" w:hAnsi="Times New Roman" w:cs="Times New Roman"/>
          <w:caps/>
          <w:color w:val="000000" w:themeColor="text1"/>
        </w:rPr>
        <w:t>………………………………………………………………………………</w:t>
      </w:r>
      <w:r>
        <w:rPr>
          <w:rFonts w:ascii="Times New Roman" w:hAnsi="Times New Roman" w:cs="Times New Roman"/>
          <w:caps/>
          <w:color w:val="000000" w:themeColor="text1"/>
        </w:rPr>
        <w:t>.</w:t>
      </w:r>
      <w:r w:rsidRPr="008D216A">
        <w:rPr>
          <w:rFonts w:ascii="Times New Roman" w:hAnsi="Times New Roman" w:cs="Times New Roman"/>
          <w:caps/>
          <w:color w:val="000000" w:themeColor="text1"/>
        </w:rPr>
        <w:t xml:space="preserve"> </w:t>
      </w:r>
      <w:r>
        <w:rPr>
          <w:rFonts w:ascii="Times New Roman" w:hAnsi="Times New Roman" w:cs="Times New Roman"/>
          <w:caps/>
          <w:color w:val="000000" w:themeColor="text1"/>
        </w:rPr>
        <w:t>…</w:t>
      </w:r>
      <w:r w:rsidRPr="008D216A">
        <w:rPr>
          <w:rFonts w:ascii="Times New Roman" w:hAnsi="Times New Roman" w:cs="Times New Roman"/>
          <w:caps/>
          <w:color w:val="000000" w:themeColor="text1"/>
        </w:rPr>
        <w:t>….11</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Governance………………………………………………………………………………</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14</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Economic and financial management……………………………………………………</w:t>
      </w:r>
      <w:proofErr w:type="gramStart"/>
      <w:r>
        <w:rPr>
          <w:rFonts w:ascii="Times New Roman" w:hAnsi="Times New Roman" w:cs="Times New Roman"/>
          <w:color w:val="000000" w:themeColor="text1"/>
        </w:rPr>
        <w:t>…..</w:t>
      </w:r>
      <w:proofErr w:type="gramEnd"/>
      <w:r w:rsidRPr="008D216A">
        <w:rPr>
          <w:rFonts w:ascii="Times New Roman" w:hAnsi="Times New Roman" w:cs="Times New Roman"/>
          <w:color w:val="000000" w:themeColor="text1"/>
        </w:rPr>
        <w:t>21</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Democracy……………………………………………………………………………</w:t>
      </w:r>
      <w:r>
        <w:rPr>
          <w:rFonts w:ascii="Times New Roman" w:hAnsi="Times New Roman" w:cs="Times New Roman"/>
          <w:color w:val="000000" w:themeColor="text1"/>
        </w:rPr>
        <w:t>.</w:t>
      </w:r>
      <w:r w:rsidRPr="008D216A">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8D216A">
        <w:rPr>
          <w:rFonts w:ascii="Times New Roman" w:hAnsi="Times New Roman" w:cs="Times New Roman"/>
          <w:color w:val="000000" w:themeColor="text1"/>
        </w:rPr>
        <w:t>….33</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Decentralization………………………………………………………………………</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37</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Capacity………………………………………………………………………………</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….39</w:t>
      </w:r>
    </w:p>
    <w:p w:rsidR="00A76AFD" w:rsidRPr="00C44548" w:rsidRDefault="00A76AFD" w:rsidP="00A76AFD">
      <w:pPr>
        <w:pStyle w:val="ListParagraph"/>
        <w:numPr>
          <w:ilvl w:val="0"/>
          <w:numId w:val="5"/>
        </w:numPr>
        <w:spacing w:before="100" w:after="100" w:line="276" w:lineRule="auto"/>
        <w:contextualSpacing w:val="0"/>
        <w:rPr>
          <w:rFonts w:ascii="Arial Bold" w:hAnsi="Arial Bold"/>
          <w:caps/>
          <w:color w:val="000000" w:themeColor="text1"/>
        </w:rPr>
      </w:pPr>
      <w:r w:rsidRPr="006C0984">
        <w:rPr>
          <w:rFonts w:ascii="Times New Roman" w:hAnsi="Times New Roman" w:cs="Times New Roman"/>
          <w:b/>
          <w:caps/>
          <w:color w:val="2B5A6F"/>
        </w:rPr>
        <w:t xml:space="preserve">Institutions for </w:t>
      </w:r>
      <w:r>
        <w:rPr>
          <w:rFonts w:ascii="Times New Roman" w:hAnsi="Times New Roman" w:cs="Times New Roman"/>
          <w:b/>
          <w:caps/>
          <w:color w:val="2B5A6F"/>
        </w:rPr>
        <w:t>TRANSFORMATIONAL DEVELOPMENT (</w:t>
      </w:r>
      <w:r>
        <w:rPr>
          <w:rFonts w:ascii="Times New Roman" w:hAnsi="Times New Roman" w:cs="Times New Roman"/>
          <w:b/>
          <w:color w:val="2B5A6F"/>
        </w:rPr>
        <w:t>ca</w:t>
      </w:r>
      <w:r w:rsidRPr="000C0A82">
        <w:rPr>
          <w:rFonts w:ascii="Times New Roman" w:hAnsi="Times New Roman" w:cs="Times New Roman"/>
          <w:b/>
          <w:color w:val="2B5A6F"/>
        </w:rPr>
        <w:t xml:space="preserve">pital </w:t>
      </w:r>
      <w:r>
        <w:rPr>
          <w:rFonts w:ascii="Times New Roman" w:hAnsi="Times New Roman" w:cs="Times New Roman"/>
          <w:b/>
          <w:color w:val="2B5A6F"/>
        </w:rPr>
        <w:t>a</w:t>
      </w:r>
      <w:r w:rsidRPr="000C0A82">
        <w:rPr>
          <w:rFonts w:ascii="Times New Roman" w:hAnsi="Times New Roman" w:cs="Times New Roman"/>
          <w:b/>
          <w:color w:val="2B5A6F"/>
        </w:rPr>
        <w:t>ccumulation - human capital, physical capital, and technological progress</w:t>
      </w:r>
      <w:r>
        <w:rPr>
          <w:rFonts w:ascii="Times New Roman" w:hAnsi="Times New Roman" w:cs="Times New Roman"/>
          <w:b/>
          <w:caps/>
          <w:color w:val="2B5A6F"/>
        </w:rPr>
        <w:t xml:space="preserve">) </w:t>
      </w:r>
      <w:r w:rsidRPr="00C44548">
        <w:rPr>
          <w:rFonts w:ascii="Times New Roman" w:hAnsi="Times New Roman" w:cs="Times New Roman"/>
          <w:caps/>
          <w:color w:val="000000" w:themeColor="text1"/>
        </w:rPr>
        <w:t>…………53</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aps/>
          <w:color w:val="000000" w:themeColor="text1"/>
        </w:rPr>
        <w:t>T</w:t>
      </w:r>
      <w:r w:rsidRPr="008D216A">
        <w:rPr>
          <w:rFonts w:ascii="Times New Roman" w:hAnsi="Times New Roman" w:cs="Times New Roman"/>
          <w:color w:val="000000" w:themeColor="text1"/>
        </w:rPr>
        <w:t>he case for transformational institutions…………………………………………</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 xml:space="preserve"> ….53</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Physical capital accumulation…………………………………………………………</w:t>
      </w:r>
      <w:r>
        <w:rPr>
          <w:rFonts w:ascii="Times New Roman" w:hAnsi="Times New Roman" w:cs="Times New Roman"/>
          <w:color w:val="000000" w:themeColor="text1"/>
        </w:rPr>
        <w:t>….</w:t>
      </w:r>
      <w:r w:rsidRPr="008D216A">
        <w:rPr>
          <w:rFonts w:ascii="Times New Roman" w:hAnsi="Times New Roman" w:cs="Times New Roman"/>
          <w:color w:val="000000" w:themeColor="text1"/>
        </w:rPr>
        <w:t>….55</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Human capital development……………………………………………………………</w:t>
      </w:r>
      <w:r>
        <w:rPr>
          <w:rFonts w:ascii="Times New Roman" w:hAnsi="Times New Roman" w:cs="Times New Roman"/>
          <w:color w:val="000000" w:themeColor="text1"/>
        </w:rPr>
        <w:t>…</w:t>
      </w:r>
      <w:r w:rsidRPr="008D216A">
        <w:rPr>
          <w:rFonts w:ascii="Times New Roman" w:hAnsi="Times New Roman" w:cs="Times New Roman"/>
          <w:color w:val="000000" w:themeColor="text1"/>
        </w:rPr>
        <w:t>…57</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Technology……………………………………………………………………………</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…70</w:t>
      </w:r>
    </w:p>
    <w:p w:rsidR="00A76AFD" w:rsidRPr="00C44548" w:rsidRDefault="00A76AFD" w:rsidP="00A76AFD">
      <w:pPr>
        <w:pStyle w:val="ListParagraph"/>
        <w:numPr>
          <w:ilvl w:val="0"/>
          <w:numId w:val="5"/>
        </w:numPr>
        <w:spacing w:before="100" w:after="100" w:line="276" w:lineRule="auto"/>
        <w:contextualSpacing w:val="0"/>
        <w:rPr>
          <w:rFonts w:ascii="Arial Bold" w:hAnsi="Arial Bold"/>
          <w:caps/>
          <w:color w:val="000000" w:themeColor="text1"/>
        </w:rPr>
      </w:pPr>
      <w:r w:rsidRPr="00D45B4B">
        <w:rPr>
          <w:rFonts w:ascii="Times New Roman" w:hAnsi="Times New Roman" w:cs="Times New Roman"/>
          <w:b/>
          <w:color w:val="365F91" w:themeColor="accent1" w:themeShade="BF"/>
        </w:rPr>
        <w:t>INSTITUTIONS AND ECONOMIC DEVELOPMENT AND PROSPERITY</w:t>
      </w:r>
      <w:r w:rsidRPr="00C44548">
        <w:rPr>
          <w:rFonts w:ascii="Times New Roman" w:hAnsi="Times New Roman" w:cs="Times New Roman"/>
          <w:color w:val="000000" w:themeColor="text1"/>
        </w:rPr>
        <w:t>……</w:t>
      </w:r>
      <w:r>
        <w:rPr>
          <w:rFonts w:ascii="Times New Roman" w:hAnsi="Times New Roman" w:cs="Times New Roman"/>
          <w:color w:val="000000" w:themeColor="text1"/>
        </w:rPr>
        <w:t>.</w:t>
      </w:r>
      <w:r w:rsidRPr="00C44548">
        <w:rPr>
          <w:rFonts w:ascii="Times New Roman" w:hAnsi="Times New Roman" w:cs="Times New Roman"/>
          <w:color w:val="000000" w:themeColor="text1"/>
        </w:rPr>
        <w:t>….81</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Primacy of institutions…………………………………………………………………</w:t>
      </w:r>
      <w:r>
        <w:rPr>
          <w:rFonts w:ascii="Times New Roman" w:hAnsi="Times New Roman" w:cs="Times New Roman"/>
          <w:color w:val="000000" w:themeColor="text1"/>
        </w:rPr>
        <w:t>…</w:t>
      </w:r>
      <w:r w:rsidRPr="008D216A">
        <w:rPr>
          <w:rFonts w:ascii="Times New Roman" w:hAnsi="Times New Roman" w:cs="Times New Roman"/>
          <w:color w:val="000000" w:themeColor="text1"/>
        </w:rPr>
        <w:t>….81</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eastAsia="Times New Roman" w:hAnsi="Times New Roman" w:cs="Times New Roman"/>
          <w:bCs/>
          <w:color w:val="000000" w:themeColor="text1"/>
        </w:rPr>
        <w:lastRenderedPageBreak/>
        <w:t>Economic prosperity and governance</w:t>
      </w:r>
      <w:r w:rsidRPr="008D216A">
        <w:rPr>
          <w:rFonts w:ascii="Times New Roman" w:hAnsi="Times New Roman" w:cs="Times New Roman"/>
          <w:color w:val="000000" w:themeColor="text1"/>
        </w:rPr>
        <w:t xml:space="preserve"> – broad overview……………………………</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..84</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Governance effectiveness……………………………………………………………</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….90</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Economic management………………………………………………………………</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91</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History of colonial past and civil war………………………………………………</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8D216A">
        <w:rPr>
          <w:rFonts w:ascii="Times New Roman" w:hAnsi="Times New Roman" w:cs="Times New Roman"/>
          <w:color w:val="000000" w:themeColor="text1"/>
        </w:rPr>
        <w:t>….92</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Growth, democracy, global rights and freedom……………………………………</w:t>
      </w:r>
      <w:r>
        <w:rPr>
          <w:rFonts w:ascii="Times New Roman" w:hAnsi="Times New Roman" w:cs="Times New Roman"/>
          <w:color w:val="000000" w:themeColor="text1"/>
        </w:rPr>
        <w:t>…</w:t>
      </w:r>
      <w:r w:rsidRPr="008D216A">
        <w:rPr>
          <w:rFonts w:ascii="Times New Roman" w:hAnsi="Times New Roman" w:cs="Times New Roman"/>
          <w:color w:val="000000" w:themeColor="text1"/>
        </w:rPr>
        <w:t>…</w:t>
      </w:r>
      <w:r>
        <w:rPr>
          <w:rFonts w:ascii="Times New Roman" w:hAnsi="Times New Roman" w:cs="Times New Roman"/>
          <w:color w:val="000000" w:themeColor="text1"/>
        </w:rPr>
        <w:t>.</w:t>
      </w:r>
      <w:r w:rsidRPr="008D216A">
        <w:rPr>
          <w:rFonts w:ascii="Times New Roman" w:hAnsi="Times New Roman" w:cs="Times New Roman"/>
          <w:color w:val="000000" w:themeColor="text1"/>
        </w:rPr>
        <w:t>….94</w:t>
      </w:r>
    </w:p>
    <w:p w:rsidR="00A76AFD" w:rsidRPr="008D216A"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8D216A">
        <w:rPr>
          <w:rFonts w:ascii="Times New Roman" w:hAnsi="Times New Roman" w:cs="Times New Roman"/>
          <w:color w:val="000000" w:themeColor="text1"/>
        </w:rPr>
        <w:t>Growth, country risks, structural reforms, aspiration and investor environment……</w:t>
      </w:r>
      <w:r>
        <w:rPr>
          <w:rFonts w:ascii="Times New Roman" w:hAnsi="Times New Roman" w:cs="Times New Roman"/>
          <w:color w:val="000000" w:themeColor="text1"/>
        </w:rPr>
        <w:t>…...…</w:t>
      </w:r>
      <w:r w:rsidRPr="008D216A">
        <w:rPr>
          <w:rFonts w:ascii="Times New Roman" w:hAnsi="Times New Roman" w:cs="Times New Roman"/>
          <w:color w:val="000000" w:themeColor="text1"/>
        </w:rPr>
        <w:t>.97</w:t>
      </w:r>
    </w:p>
    <w:p w:rsidR="00A76AFD" w:rsidRPr="00587332" w:rsidRDefault="00A76AFD" w:rsidP="00A76AFD">
      <w:pPr>
        <w:pStyle w:val="ListParagraph"/>
        <w:spacing w:before="100" w:after="100" w:line="276" w:lineRule="auto"/>
        <w:ind w:left="360"/>
        <w:contextualSpacing w:val="0"/>
        <w:rPr>
          <w:rFonts w:ascii="Times New Roman" w:hAnsi="Times New Roman" w:cs="Times New Roman"/>
          <w:color w:val="365F91" w:themeColor="accent1" w:themeShade="BF"/>
        </w:rPr>
      </w:pPr>
      <w:r w:rsidRPr="008D216A">
        <w:rPr>
          <w:rFonts w:ascii="Times New Roman" w:hAnsi="Times New Roman" w:cs="Times New Roman"/>
          <w:color w:val="000000" w:themeColor="text1"/>
        </w:rPr>
        <w:t>Growth and selected indicators……………………………………………………</w:t>
      </w:r>
      <w:r>
        <w:rPr>
          <w:rFonts w:ascii="Times New Roman" w:hAnsi="Times New Roman" w:cs="Times New Roman"/>
          <w:color w:val="000000" w:themeColor="text1"/>
        </w:rPr>
        <w:t>…</w:t>
      </w:r>
      <w:r w:rsidRPr="008D216A">
        <w:rPr>
          <w:rFonts w:ascii="Times New Roman" w:hAnsi="Times New Roman" w:cs="Times New Roman"/>
          <w:color w:val="000000" w:themeColor="text1"/>
        </w:rPr>
        <w:t>………99</w:t>
      </w:r>
    </w:p>
    <w:p w:rsidR="00A76AFD" w:rsidRPr="006C0984" w:rsidRDefault="00A76AFD" w:rsidP="00A76AFD">
      <w:pPr>
        <w:pStyle w:val="ListParagraph"/>
        <w:numPr>
          <w:ilvl w:val="0"/>
          <w:numId w:val="5"/>
        </w:numPr>
        <w:spacing w:before="100" w:after="100" w:line="276" w:lineRule="auto"/>
        <w:contextualSpacing w:val="0"/>
        <w:rPr>
          <w:rFonts w:ascii="Arial Bold" w:hAnsi="Arial Bold"/>
          <w:caps/>
          <w:color w:val="2B5A6F"/>
        </w:rPr>
      </w:pPr>
      <w:r w:rsidRPr="006C0984">
        <w:rPr>
          <w:rFonts w:ascii="Times New Roman" w:hAnsi="Times New Roman" w:cs="Times New Roman"/>
          <w:b/>
          <w:caps/>
          <w:color w:val="2B5A6F"/>
        </w:rPr>
        <w:t>An Inquiry into Critical Developmental Institutions – Catalyzer for Transformation?</w:t>
      </w:r>
      <w:r w:rsidRPr="00C44548">
        <w:rPr>
          <w:rFonts w:ascii="Times New Roman" w:hAnsi="Times New Roman" w:cs="Times New Roman"/>
          <w:caps/>
          <w:color w:val="000000" w:themeColor="text1"/>
        </w:rPr>
        <w:t>..............................................................</w:t>
      </w:r>
      <w:r>
        <w:rPr>
          <w:rFonts w:ascii="Times New Roman" w:hAnsi="Times New Roman" w:cs="Times New Roman"/>
          <w:caps/>
          <w:color w:val="2B5A6F"/>
        </w:rPr>
        <w:t>...</w:t>
      </w:r>
      <w:r w:rsidRPr="00C44548">
        <w:rPr>
          <w:rFonts w:ascii="Times New Roman" w:hAnsi="Times New Roman" w:cs="Times New Roman"/>
          <w:caps/>
          <w:color w:val="000000" w:themeColor="text1"/>
        </w:rPr>
        <w:t>..105</w:t>
      </w:r>
    </w:p>
    <w:p w:rsidR="00A76AFD" w:rsidRPr="006C0984" w:rsidRDefault="00A76AFD" w:rsidP="00A76AFD">
      <w:pPr>
        <w:pStyle w:val="ListParagraph"/>
        <w:numPr>
          <w:ilvl w:val="0"/>
          <w:numId w:val="5"/>
        </w:numPr>
        <w:spacing w:before="100" w:after="0" w:line="276" w:lineRule="auto"/>
        <w:contextualSpacing w:val="0"/>
        <w:rPr>
          <w:rFonts w:ascii="Arial Bold" w:hAnsi="Arial Bold"/>
          <w:caps/>
          <w:color w:val="2B5A6F"/>
        </w:rPr>
      </w:pPr>
      <w:r w:rsidRPr="006C0984">
        <w:rPr>
          <w:rFonts w:ascii="Times New Roman" w:hAnsi="Times New Roman" w:cs="Times New Roman"/>
          <w:b/>
          <w:caps/>
          <w:color w:val="2B5A6F"/>
        </w:rPr>
        <w:t xml:space="preserve">Decentralization and concentration – Search for </w:t>
      </w:r>
    </w:p>
    <w:p w:rsidR="00A76AFD" w:rsidRPr="00C44548" w:rsidRDefault="00A76AFD" w:rsidP="00A76AFD">
      <w:pPr>
        <w:spacing w:before="0" w:after="100" w:line="276" w:lineRule="auto"/>
        <w:rPr>
          <w:caps/>
          <w:color w:val="000000" w:themeColor="text1"/>
        </w:rPr>
      </w:pPr>
      <w:r w:rsidRPr="006C0984">
        <w:rPr>
          <w:b/>
          <w:caps/>
          <w:color w:val="2B5A6F"/>
        </w:rPr>
        <w:t xml:space="preserve">      a Balance</w:t>
      </w:r>
      <w:r w:rsidRPr="00C44548">
        <w:rPr>
          <w:caps/>
          <w:color w:val="000000" w:themeColor="text1"/>
        </w:rPr>
        <w:t>………………………………………………………………………………111</w:t>
      </w:r>
    </w:p>
    <w:p w:rsidR="00A76AFD" w:rsidRPr="00C44548" w:rsidRDefault="00A76AFD" w:rsidP="00A76AFD">
      <w:pPr>
        <w:pStyle w:val="ListParagraph"/>
        <w:numPr>
          <w:ilvl w:val="0"/>
          <w:numId w:val="5"/>
        </w:numPr>
        <w:spacing w:before="100" w:after="100" w:line="276" w:lineRule="auto"/>
        <w:contextualSpacing w:val="0"/>
        <w:rPr>
          <w:rFonts w:ascii="Times New Roman" w:hAnsi="Times New Roman" w:cs="Times New Roman"/>
          <w:caps/>
          <w:color w:val="000000" w:themeColor="text1"/>
        </w:rPr>
      </w:pPr>
      <w:r w:rsidRPr="006C0984">
        <w:rPr>
          <w:rFonts w:ascii="Times New Roman" w:hAnsi="Times New Roman" w:cs="Times New Roman"/>
          <w:b/>
          <w:caps/>
          <w:color w:val="2B5A6F"/>
        </w:rPr>
        <w:t>Other Issues</w:t>
      </w:r>
      <w:r>
        <w:rPr>
          <w:rFonts w:ascii="Times New Roman" w:hAnsi="Times New Roman" w:cs="Times New Roman"/>
          <w:b/>
          <w:caps/>
          <w:color w:val="2B5A6F"/>
        </w:rPr>
        <w:t xml:space="preserve"> and CHALLENGES</w:t>
      </w:r>
      <w:r w:rsidRPr="00C44548">
        <w:rPr>
          <w:rFonts w:ascii="Times New Roman" w:hAnsi="Times New Roman" w:cs="Times New Roman"/>
          <w:caps/>
          <w:color w:val="000000" w:themeColor="text1"/>
        </w:rPr>
        <w:t>...……………………………………………….118</w:t>
      </w:r>
    </w:p>
    <w:p w:rsidR="00A76AFD" w:rsidRPr="00587332" w:rsidRDefault="00A76AFD" w:rsidP="00A76AFD">
      <w:pPr>
        <w:pStyle w:val="ListParagraph"/>
        <w:numPr>
          <w:ilvl w:val="0"/>
          <w:numId w:val="5"/>
        </w:numPr>
        <w:spacing w:before="100" w:after="100" w:line="276" w:lineRule="auto"/>
        <w:contextualSpacing w:val="0"/>
        <w:rPr>
          <w:rFonts w:ascii="Times New Roman" w:hAnsi="Times New Roman" w:cs="Times New Roman"/>
          <w:caps/>
          <w:color w:val="2B5A6F"/>
        </w:rPr>
      </w:pPr>
      <w:r>
        <w:rPr>
          <w:rFonts w:ascii="Times New Roman" w:hAnsi="Times New Roman" w:cs="Times New Roman"/>
          <w:b/>
          <w:caps/>
          <w:color w:val="2B5A6F"/>
        </w:rPr>
        <w:t>2041 PERSPECTIVE PLAN VISION AND TARGETS FOR INSTITUTIONAL DEVELOPMENT</w:t>
      </w:r>
      <w:r w:rsidRPr="00C44548">
        <w:rPr>
          <w:rFonts w:ascii="Times New Roman" w:hAnsi="Times New Roman" w:cs="Times New Roman"/>
          <w:caps/>
          <w:color w:val="000000" w:themeColor="text1"/>
        </w:rPr>
        <w:t>……………………………………….………………………………...119</w:t>
      </w:r>
    </w:p>
    <w:p w:rsidR="00A76AFD" w:rsidRPr="00C44548"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Pr>
          <w:rFonts w:ascii="Times New Roman" w:hAnsi="Times New Roman" w:cs="Times New Roman"/>
          <w:b/>
          <w:color w:val="2B5A6F"/>
        </w:rPr>
        <w:t>Vision</w:t>
      </w:r>
      <w:r w:rsidRPr="00C44548">
        <w:rPr>
          <w:rFonts w:ascii="Times New Roman" w:hAnsi="Times New Roman" w:cs="Times New Roman"/>
          <w:color w:val="000000" w:themeColor="text1"/>
        </w:rPr>
        <w:t>……………………………………………………………………………………….119</w:t>
      </w:r>
    </w:p>
    <w:p w:rsidR="00A76AFD" w:rsidRPr="00C44548" w:rsidRDefault="00A76AFD" w:rsidP="00A76AFD">
      <w:pPr>
        <w:pStyle w:val="ListParagraph"/>
        <w:spacing w:before="100" w:after="100" w:line="276" w:lineRule="auto"/>
        <w:ind w:left="360"/>
        <w:contextualSpacing w:val="0"/>
        <w:rPr>
          <w:rFonts w:ascii="Times New Roman" w:hAnsi="Times New Roman" w:cs="Times New Roman"/>
          <w:b/>
          <w:color w:val="000000" w:themeColor="text1"/>
        </w:rPr>
      </w:pPr>
      <w:r>
        <w:rPr>
          <w:rFonts w:ascii="Times New Roman" w:hAnsi="Times New Roman" w:cs="Times New Roman"/>
          <w:b/>
          <w:color w:val="2B5A6F"/>
        </w:rPr>
        <w:t>Targets</w:t>
      </w:r>
      <w:r w:rsidRPr="00C44548">
        <w:rPr>
          <w:rFonts w:ascii="Times New Roman" w:hAnsi="Times New Roman" w:cs="Times New Roman"/>
          <w:color w:val="000000" w:themeColor="text1"/>
        </w:rPr>
        <w:t>…………………………………………………………………………………</w:t>
      </w:r>
      <w:r>
        <w:rPr>
          <w:rFonts w:ascii="Times New Roman" w:hAnsi="Times New Roman" w:cs="Times New Roman"/>
          <w:color w:val="000000" w:themeColor="text1"/>
        </w:rPr>
        <w:t>.</w:t>
      </w:r>
      <w:r w:rsidRPr="00C44548">
        <w:rPr>
          <w:rFonts w:ascii="Times New Roman" w:hAnsi="Times New Roman" w:cs="Times New Roman"/>
          <w:color w:val="000000" w:themeColor="text1"/>
        </w:rPr>
        <w:t>….119</w:t>
      </w:r>
    </w:p>
    <w:p w:rsidR="00A76AFD" w:rsidRPr="00C44548" w:rsidRDefault="00A76AFD" w:rsidP="00A76AFD">
      <w:pPr>
        <w:pStyle w:val="ListParagraph"/>
        <w:numPr>
          <w:ilvl w:val="0"/>
          <w:numId w:val="5"/>
        </w:numPr>
        <w:spacing w:before="100" w:after="100" w:line="276" w:lineRule="auto"/>
        <w:contextualSpacing w:val="0"/>
        <w:rPr>
          <w:rFonts w:ascii="Times New Roman" w:hAnsi="Times New Roman" w:cs="Times New Roman"/>
          <w:caps/>
          <w:color w:val="000000" w:themeColor="text1"/>
        </w:rPr>
      </w:pPr>
      <w:r>
        <w:rPr>
          <w:rFonts w:ascii="Times New Roman" w:hAnsi="Times New Roman" w:cs="Times New Roman"/>
          <w:b/>
          <w:caps/>
          <w:color w:val="2B5A6F"/>
        </w:rPr>
        <w:t>2041 PERSPECTIVE PLAN STRATEGIES FOR INSTITUTIONAL DEVELOPMENT</w:t>
      </w:r>
      <w:r w:rsidRPr="00C44548">
        <w:rPr>
          <w:rFonts w:ascii="Times New Roman" w:hAnsi="Times New Roman" w:cs="Times New Roman"/>
          <w:caps/>
          <w:color w:val="000000" w:themeColor="text1"/>
        </w:rPr>
        <w:t>…………………………………………………………………………130</w:t>
      </w:r>
    </w:p>
    <w:p w:rsidR="00A76AFD" w:rsidRPr="00BA3508"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Planning……………………………………………………………………………………</w:t>
      </w:r>
      <w:r>
        <w:rPr>
          <w:rFonts w:ascii="Times New Roman" w:hAnsi="Times New Roman" w:cs="Times New Roman"/>
          <w:color w:val="000000" w:themeColor="text1"/>
        </w:rPr>
        <w:t>.</w:t>
      </w:r>
      <w:r w:rsidRPr="00BA3508">
        <w:rPr>
          <w:rFonts w:ascii="Times New Roman" w:hAnsi="Times New Roman" w:cs="Times New Roman"/>
          <w:color w:val="000000" w:themeColor="text1"/>
        </w:rPr>
        <w:t>130</w:t>
      </w:r>
    </w:p>
    <w:p w:rsidR="00A76AFD" w:rsidRPr="00BA3508"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Governance……………………………………………………………………………….</w:t>
      </w:r>
      <w:r>
        <w:rPr>
          <w:rFonts w:ascii="Times New Roman" w:hAnsi="Times New Roman" w:cs="Times New Roman"/>
          <w:color w:val="000000" w:themeColor="text1"/>
        </w:rPr>
        <w:t>.</w:t>
      </w:r>
      <w:r w:rsidRPr="00BA3508">
        <w:rPr>
          <w:rFonts w:ascii="Times New Roman" w:hAnsi="Times New Roman" w:cs="Times New Roman"/>
          <w:color w:val="000000" w:themeColor="text1"/>
        </w:rPr>
        <w:t>..130</w:t>
      </w:r>
    </w:p>
    <w:p w:rsidR="00A76AFD" w:rsidRPr="00BA3508"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Finance: Accountability, transparency, incorruptibility and resource use efficiency...</w:t>
      </w:r>
      <w:r>
        <w:rPr>
          <w:rFonts w:ascii="Times New Roman" w:hAnsi="Times New Roman" w:cs="Times New Roman"/>
          <w:color w:val="000000" w:themeColor="text1"/>
        </w:rPr>
        <w:t>.........</w:t>
      </w:r>
      <w:r w:rsidRPr="00BA3508">
        <w:rPr>
          <w:rFonts w:ascii="Times New Roman" w:hAnsi="Times New Roman" w:cs="Times New Roman"/>
          <w:color w:val="000000" w:themeColor="text1"/>
        </w:rPr>
        <w:t>131</w:t>
      </w:r>
    </w:p>
    <w:p w:rsidR="00A76AFD" w:rsidRPr="00BA3508"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Democracy………………………………………………………………………………</w:t>
      </w:r>
      <w:r>
        <w:rPr>
          <w:rFonts w:ascii="Times New Roman" w:hAnsi="Times New Roman" w:cs="Times New Roman"/>
          <w:color w:val="000000" w:themeColor="text1"/>
        </w:rPr>
        <w:t>.</w:t>
      </w:r>
      <w:r w:rsidRPr="00BA3508">
        <w:rPr>
          <w:rFonts w:ascii="Times New Roman" w:hAnsi="Times New Roman" w:cs="Times New Roman"/>
          <w:color w:val="000000" w:themeColor="text1"/>
        </w:rPr>
        <w:t>…133</w:t>
      </w:r>
    </w:p>
    <w:p w:rsidR="00A76AFD" w:rsidRPr="00BA3508"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Decentralization…………………………………………………………………………</w:t>
      </w:r>
      <w:proofErr w:type="gramStart"/>
      <w:r>
        <w:rPr>
          <w:rFonts w:ascii="Times New Roman" w:hAnsi="Times New Roman" w:cs="Times New Roman"/>
          <w:color w:val="000000" w:themeColor="text1"/>
        </w:rPr>
        <w:t>.</w:t>
      </w:r>
      <w:r w:rsidRPr="00BA3508">
        <w:rPr>
          <w:rFonts w:ascii="Times New Roman" w:hAnsi="Times New Roman" w:cs="Times New Roman"/>
          <w:color w:val="000000" w:themeColor="text1"/>
        </w:rPr>
        <w:t>.</w:t>
      </w:r>
      <w:r>
        <w:rPr>
          <w:rFonts w:ascii="Times New Roman" w:hAnsi="Times New Roman" w:cs="Times New Roman"/>
          <w:color w:val="000000" w:themeColor="text1"/>
        </w:rPr>
        <w:t>..</w:t>
      </w:r>
      <w:r w:rsidRPr="00BA3508">
        <w:rPr>
          <w:rFonts w:ascii="Times New Roman" w:hAnsi="Times New Roman" w:cs="Times New Roman"/>
          <w:color w:val="000000" w:themeColor="text1"/>
        </w:rPr>
        <w:t>.</w:t>
      </w:r>
      <w:proofErr w:type="gramEnd"/>
      <w:r w:rsidRPr="00BA3508">
        <w:rPr>
          <w:rFonts w:ascii="Times New Roman" w:hAnsi="Times New Roman" w:cs="Times New Roman"/>
          <w:color w:val="000000" w:themeColor="text1"/>
        </w:rPr>
        <w:t>134</w:t>
      </w:r>
    </w:p>
    <w:p w:rsidR="00A76AFD" w:rsidRPr="00BA3508" w:rsidRDefault="00A76AFD" w:rsidP="00A76AFD">
      <w:pPr>
        <w:pStyle w:val="ListParagraph"/>
        <w:spacing w:before="100" w:after="100" w:line="276" w:lineRule="auto"/>
        <w:ind w:left="360"/>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Capacity building…………………………………………………………………………</w:t>
      </w:r>
      <w:r>
        <w:rPr>
          <w:rFonts w:ascii="Times New Roman" w:hAnsi="Times New Roman" w:cs="Times New Roman"/>
          <w:color w:val="000000" w:themeColor="text1"/>
        </w:rPr>
        <w:t>..</w:t>
      </w:r>
      <w:r w:rsidRPr="00BA3508">
        <w:rPr>
          <w:rFonts w:ascii="Times New Roman" w:hAnsi="Times New Roman" w:cs="Times New Roman"/>
          <w:color w:val="000000" w:themeColor="text1"/>
        </w:rPr>
        <w:t>.135</w:t>
      </w:r>
    </w:p>
    <w:p w:rsidR="00A76AFD" w:rsidRPr="00587332" w:rsidRDefault="00A76AFD" w:rsidP="00A76AFD">
      <w:pPr>
        <w:spacing w:before="100" w:after="100" w:line="276" w:lineRule="auto"/>
        <w:ind w:left="360"/>
        <w:rPr>
          <w:caps/>
          <w:color w:val="2B5A6F"/>
        </w:rPr>
      </w:pPr>
      <w:r w:rsidRPr="00A26F90">
        <w:rPr>
          <w:b/>
          <w:caps/>
          <w:color w:val="2B5A6F"/>
        </w:rPr>
        <w:t>references</w:t>
      </w:r>
      <w:r>
        <w:rPr>
          <w:caps/>
          <w:color w:val="2B5A6F"/>
        </w:rPr>
        <w:t>…………………………………………………………………………….</w:t>
      </w:r>
      <w:r w:rsidRPr="00C44548">
        <w:rPr>
          <w:caps/>
          <w:color w:val="000000" w:themeColor="text1"/>
        </w:rPr>
        <w:t>144</w:t>
      </w:r>
    </w:p>
    <w:p w:rsidR="00A76AFD" w:rsidRPr="00587332" w:rsidRDefault="00A76AFD" w:rsidP="00A76AFD">
      <w:pPr>
        <w:spacing w:before="100" w:after="100" w:line="276" w:lineRule="auto"/>
        <w:ind w:left="360"/>
        <w:rPr>
          <w:caps/>
          <w:color w:val="2B5A6F"/>
        </w:rPr>
      </w:pPr>
      <w:r w:rsidRPr="00A26F90">
        <w:rPr>
          <w:b/>
          <w:caps/>
          <w:color w:val="2B5A6F"/>
        </w:rPr>
        <w:t>appendixes</w:t>
      </w:r>
      <w:r>
        <w:rPr>
          <w:caps/>
          <w:color w:val="2B5A6F"/>
        </w:rPr>
        <w:t>………………………………………………………………………….….150</w:t>
      </w:r>
    </w:p>
    <w:p w:rsidR="00A76AFD" w:rsidRPr="00C44548" w:rsidRDefault="00A76AFD" w:rsidP="00A76AFD">
      <w:pPr>
        <w:pStyle w:val="ListParagraph"/>
        <w:numPr>
          <w:ilvl w:val="0"/>
          <w:numId w:val="12"/>
        </w:numPr>
        <w:spacing w:before="100" w:after="100" w:line="276" w:lineRule="auto"/>
        <w:rPr>
          <w:rFonts w:ascii="Times New Roman" w:hAnsi="Times New Roman" w:cs="Times New Roman"/>
          <w:caps/>
          <w:color w:val="000000" w:themeColor="text1"/>
        </w:rPr>
      </w:pPr>
      <w:r w:rsidRPr="00EE55C1">
        <w:rPr>
          <w:rFonts w:ascii="Times New Roman" w:hAnsi="Times New Roman" w:cs="Times New Roman"/>
          <w:b/>
          <w:color w:val="2C4D72"/>
        </w:rPr>
        <w:t>Economic prosperity and governance</w:t>
      </w:r>
      <w:r>
        <w:rPr>
          <w:rFonts w:ascii="Times New Roman" w:hAnsi="Times New Roman" w:cs="Times New Roman"/>
          <w:b/>
          <w:color w:val="2C4D72"/>
        </w:rPr>
        <w:t xml:space="preserve"> in figures</w:t>
      </w:r>
      <w:r w:rsidRPr="00C44548">
        <w:rPr>
          <w:rFonts w:ascii="Times New Roman" w:hAnsi="Times New Roman" w:cs="Times New Roman"/>
          <w:color w:val="000000" w:themeColor="text1"/>
        </w:rPr>
        <w:t>…….</w:t>
      </w:r>
      <w:r w:rsidRPr="00C44548">
        <w:rPr>
          <w:rFonts w:ascii="Times New Roman" w:hAnsi="Times New Roman" w:cs="Times New Roman"/>
          <w:caps/>
          <w:color w:val="000000" w:themeColor="text1"/>
        </w:rPr>
        <w:t>………………………………150</w:t>
      </w:r>
    </w:p>
    <w:p w:rsidR="00A76AFD" w:rsidRPr="00EE55C1" w:rsidRDefault="00A76AFD" w:rsidP="00A76AFD">
      <w:pPr>
        <w:pStyle w:val="ListParagraph"/>
        <w:numPr>
          <w:ilvl w:val="0"/>
          <w:numId w:val="12"/>
        </w:numPr>
        <w:spacing w:before="100" w:after="100" w:line="276" w:lineRule="auto"/>
        <w:rPr>
          <w:rFonts w:ascii="Times New Roman" w:hAnsi="Times New Roman" w:cs="Times New Roman"/>
          <w:b/>
          <w:caps/>
          <w:color w:val="2B5A6F"/>
        </w:rPr>
      </w:pPr>
      <w:r>
        <w:rPr>
          <w:rFonts w:ascii="Times New Roman" w:hAnsi="Times New Roman" w:cs="Times New Roman"/>
          <w:b/>
          <w:caps/>
          <w:color w:val="2B5A6F"/>
        </w:rPr>
        <w:t>B</w:t>
      </w:r>
      <w:r>
        <w:rPr>
          <w:rFonts w:ascii="Times New Roman" w:hAnsi="Times New Roman" w:cs="Times New Roman"/>
          <w:b/>
          <w:color w:val="2B5A6F"/>
        </w:rPr>
        <w:t>angladesh and comparator countries by indices</w:t>
      </w:r>
      <w:r w:rsidRPr="00C44548">
        <w:rPr>
          <w:rFonts w:ascii="Times New Roman" w:hAnsi="Times New Roman" w:cs="Times New Roman"/>
          <w:color w:val="000000" w:themeColor="text1"/>
        </w:rPr>
        <w:t>…………………………………  156</w:t>
      </w:r>
    </w:p>
    <w:p w:rsidR="00A76AFD" w:rsidRPr="00587332" w:rsidRDefault="00A76AFD" w:rsidP="00A76AFD">
      <w:pPr>
        <w:spacing w:before="100" w:after="100" w:line="276" w:lineRule="auto"/>
        <w:ind w:left="360"/>
        <w:rPr>
          <w:caps/>
          <w:color w:val="2B5A6F"/>
        </w:rPr>
      </w:pPr>
      <w:r w:rsidRPr="00A26F90">
        <w:rPr>
          <w:b/>
          <w:caps/>
          <w:color w:val="2B5A6F"/>
        </w:rPr>
        <w:t>annexes</w:t>
      </w:r>
      <w:r w:rsidRPr="00587332">
        <w:rPr>
          <w:caps/>
          <w:color w:val="2B5A6F"/>
        </w:rPr>
        <w:t>…………………………………………………………………………………</w:t>
      </w:r>
      <w:r>
        <w:rPr>
          <w:caps/>
          <w:color w:val="2B5A6F"/>
        </w:rPr>
        <w:t>157</w:t>
      </w:r>
    </w:p>
    <w:p w:rsidR="00A76AFD" w:rsidRPr="00BA3508" w:rsidRDefault="00A76AFD" w:rsidP="00A76AFD">
      <w:pPr>
        <w:pStyle w:val="ListParagraph"/>
        <w:numPr>
          <w:ilvl w:val="0"/>
          <w:numId w:val="13"/>
        </w:numPr>
        <w:spacing w:before="100" w:after="100" w:line="276" w:lineRule="auto"/>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Definition of Indicators…………………………………………………………</w:t>
      </w:r>
      <w:r>
        <w:rPr>
          <w:rFonts w:ascii="Times New Roman" w:hAnsi="Times New Roman" w:cs="Times New Roman"/>
          <w:color w:val="000000" w:themeColor="text1"/>
        </w:rPr>
        <w:t>.</w:t>
      </w:r>
      <w:r w:rsidRPr="00BA3508">
        <w:rPr>
          <w:rFonts w:ascii="Times New Roman" w:hAnsi="Times New Roman" w:cs="Times New Roman"/>
          <w:color w:val="000000" w:themeColor="text1"/>
        </w:rPr>
        <w:t>…157</w:t>
      </w:r>
    </w:p>
    <w:p w:rsidR="00A76AFD" w:rsidRPr="00BA3508" w:rsidRDefault="00A76AFD" w:rsidP="00A76AFD">
      <w:pPr>
        <w:pStyle w:val="ListParagraph"/>
        <w:numPr>
          <w:ilvl w:val="0"/>
          <w:numId w:val="13"/>
        </w:numPr>
        <w:spacing w:before="100" w:after="0" w:line="276" w:lineRule="auto"/>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DATA BASE – Governance effectiveness, economic management and economic prosperity 2015…………………………………………………………………….161</w:t>
      </w:r>
    </w:p>
    <w:p w:rsidR="00A76AFD" w:rsidRPr="00BA3508" w:rsidRDefault="00A76AFD" w:rsidP="00A76AFD">
      <w:pPr>
        <w:pStyle w:val="ListParagraph"/>
        <w:numPr>
          <w:ilvl w:val="0"/>
          <w:numId w:val="13"/>
        </w:numPr>
        <w:spacing w:before="100" w:after="100" w:line="276" w:lineRule="auto"/>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lastRenderedPageBreak/>
        <w:t>DATA BASE - Country analysis of growth performance and socio-economic and political factors…………………………………………………………………….165</w:t>
      </w:r>
    </w:p>
    <w:p w:rsidR="00A76AFD" w:rsidRPr="00BA3508" w:rsidRDefault="00A76AFD" w:rsidP="00A76AFD">
      <w:pPr>
        <w:pStyle w:val="ListParagraph"/>
        <w:numPr>
          <w:ilvl w:val="0"/>
          <w:numId w:val="13"/>
        </w:numPr>
        <w:spacing w:before="100" w:after="100" w:line="276" w:lineRule="auto"/>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DATA BASE - Governance indicators………………………………………….</w:t>
      </w:r>
      <w:r>
        <w:rPr>
          <w:rFonts w:ascii="Times New Roman" w:hAnsi="Times New Roman" w:cs="Times New Roman"/>
          <w:color w:val="000000" w:themeColor="text1"/>
        </w:rPr>
        <w:t>.</w:t>
      </w:r>
      <w:r w:rsidRPr="00BA3508">
        <w:rPr>
          <w:rFonts w:ascii="Times New Roman" w:hAnsi="Times New Roman" w:cs="Times New Roman"/>
          <w:color w:val="000000" w:themeColor="text1"/>
        </w:rPr>
        <w:t>..168</w:t>
      </w:r>
    </w:p>
    <w:p w:rsidR="00A76AFD" w:rsidRPr="00BA3508" w:rsidRDefault="00A76AFD" w:rsidP="00A76AFD">
      <w:pPr>
        <w:pStyle w:val="ListParagraph"/>
        <w:numPr>
          <w:ilvl w:val="0"/>
          <w:numId w:val="13"/>
        </w:numPr>
        <w:spacing w:before="100" w:after="100" w:line="276" w:lineRule="auto"/>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DATA BASE – Economic management indicators……………………………</w:t>
      </w:r>
      <w:proofErr w:type="gramStart"/>
      <w:r>
        <w:rPr>
          <w:rFonts w:ascii="Times New Roman" w:hAnsi="Times New Roman" w:cs="Times New Roman"/>
          <w:color w:val="000000" w:themeColor="text1"/>
        </w:rPr>
        <w:t>.....</w:t>
      </w:r>
      <w:proofErr w:type="gramEnd"/>
      <w:r w:rsidRPr="00BA3508">
        <w:rPr>
          <w:rFonts w:ascii="Times New Roman" w:hAnsi="Times New Roman" w:cs="Times New Roman"/>
          <w:color w:val="000000" w:themeColor="text1"/>
        </w:rPr>
        <w:t>175</w:t>
      </w:r>
    </w:p>
    <w:p w:rsidR="00A76AFD" w:rsidRPr="00BA3508" w:rsidRDefault="00A76AFD" w:rsidP="00A76AFD">
      <w:pPr>
        <w:pStyle w:val="ListParagraph"/>
        <w:numPr>
          <w:ilvl w:val="0"/>
          <w:numId w:val="13"/>
        </w:numPr>
        <w:spacing w:before="100" w:after="100" w:line="276" w:lineRule="auto"/>
        <w:contextualSpacing w:val="0"/>
        <w:rPr>
          <w:rFonts w:ascii="Times New Roman" w:hAnsi="Times New Roman" w:cs="Times New Roman"/>
          <w:color w:val="000000" w:themeColor="text1"/>
        </w:rPr>
      </w:pPr>
      <w:r w:rsidRPr="00BA3508">
        <w:rPr>
          <w:rFonts w:ascii="Times New Roman" w:hAnsi="Times New Roman" w:cs="Times New Roman"/>
          <w:color w:val="000000" w:themeColor="text1"/>
        </w:rPr>
        <w:t>DATA BASE – GDP per capita, human capital and technology…………</w:t>
      </w:r>
      <w:r>
        <w:rPr>
          <w:rFonts w:ascii="Times New Roman" w:hAnsi="Times New Roman" w:cs="Times New Roman"/>
          <w:color w:val="000000" w:themeColor="text1"/>
        </w:rPr>
        <w:t>….</w:t>
      </w:r>
      <w:r w:rsidRPr="00BA3508">
        <w:rPr>
          <w:rFonts w:ascii="Times New Roman" w:hAnsi="Times New Roman" w:cs="Times New Roman"/>
          <w:color w:val="000000" w:themeColor="text1"/>
        </w:rPr>
        <w:t>……178</w:t>
      </w:r>
    </w:p>
    <w:p w:rsidR="00A76AFD" w:rsidRPr="00C44548" w:rsidRDefault="00A76AFD" w:rsidP="00A76AFD">
      <w:pPr>
        <w:spacing w:before="100" w:after="100" w:line="276" w:lineRule="auto"/>
        <w:ind w:left="360"/>
        <w:rPr>
          <w:caps/>
          <w:color w:val="000000" w:themeColor="text1"/>
        </w:rPr>
      </w:pPr>
      <w:r w:rsidRPr="00A26F90">
        <w:rPr>
          <w:b/>
          <w:caps/>
          <w:color w:val="2B5A6F"/>
        </w:rPr>
        <w:t>Abbreviations</w:t>
      </w:r>
      <w:r>
        <w:rPr>
          <w:caps/>
          <w:color w:val="000000" w:themeColor="text1"/>
        </w:rPr>
        <w:t>……………………………………………………………………….184</w:t>
      </w:r>
    </w:p>
    <w:p w:rsidR="00A76AFD" w:rsidRDefault="00A76AFD" w:rsidP="00A76AFD">
      <w:pPr>
        <w:spacing w:before="100" w:after="100" w:line="276" w:lineRule="auto"/>
        <w:ind w:left="360"/>
        <w:rPr>
          <w:b/>
          <w:caps/>
          <w:color w:val="2B5A6F"/>
        </w:rPr>
      </w:pPr>
      <w:r>
        <w:rPr>
          <w:b/>
          <w:caps/>
          <w:color w:val="2B5A6F"/>
        </w:rPr>
        <w:t>Attachment</w:t>
      </w:r>
      <w:r>
        <w:rPr>
          <w:caps/>
          <w:color w:val="000000" w:themeColor="text1"/>
        </w:rPr>
        <w:t>……………………………………………………………………….….185</w:t>
      </w:r>
      <w:r>
        <w:rPr>
          <w:b/>
          <w:caps/>
          <w:color w:val="2B5A6F"/>
        </w:rPr>
        <w:tab/>
      </w:r>
    </w:p>
    <w:p w:rsidR="00A76AFD" w:rsidRPr="00BA3508" w:rsidRDefault="00A76AFD" w:rsidP="00A76AFD">
      <w:pPr>
        <w:spacing w:before="100" w:after="100" w:line="276" w:lineRule="auto"/>
        <w:ind w:left="360"/>
        <w:rPr>
          <w:caps/>
          <w:color w:val="000000" w:themeColor="text1"/>
        </w:rPr>
      </w:pPr>
      <w:r w:rsidRPr="00BA3508">
        <w:rPr>
          <w:color w:val="000000" w:themeColor="text1"/>
        </w:rPr>
        <w:t>Development indicators, benchmark, milestones and 2041 targets and strategies…</w:t>
      </w:r>
      <w:r>
        <w:rPr>
          <w:color w:val="000000" w:themeColor="text1"/>
        </w:rPr>
        <w:t>….</w:t>
      </w:r>
      <w:r w:rsidRPr="00BA3508">
        <w:rPr>
          <w:color w:val="000000" w:themeColor="text1"/>
        </w:rPr>
        <w:t>…</w:t>
      </w:r>
      <w:r>
        <w:rPr>
          <w:color w:val="000000" w:themeColor="text1"/>
        </w:rPr>
        <w:t>...</w:t>
      </w:r>
      <w:r w:rsidRPr="00BA3508">
        <w:rPr>
          <w:color w:val="000000" w:themeColor="text1"/>
        </w:rPr>
        <w:t>185</w:t>
      </w:r>
    </w:p>
    <w:p w:rsidR="00A76AFD" w:rsidRDefault="00A76AFD" w:rsidP="00A76AFD"/>
    <w:p w:rsidR="00A76AFD" w:rsidRPr="008D216A" w:rsidRDefault="00A76AFD" w:rsidP="00A76AFD">
      <w:pPr>
        <w:jc w:val="center"/>
        <w:rPr>
          <w:b/>
          <w:color w:val="365F91" w:themeColor="accent1" w:themeShade="BF"/>
        </w:rPr>
      </w:pPr>
      <w:r w:rsidRPr="008D216A">
        <w:rPr>
          <w:b/>
          <w:color w:val="365F91" w:themeColor="accent1" w:themeShade="BF"/>
        </w:rPr>
        <w:t>List of Tables</w:t>
      </w:r>
    </w:p>
    <w:p w:rsidR="00A76AFD" w:rsidRPr="00712255" w:rsidRDefault="00A76AFD" w:rsidP="00A76AFD">
      <w:pPr>
        <w:pStyle w:val="ListParagraph"/>
        <w:numPr>
          <w:ilvl w:val="0"/>
          <w:numId w:val="29"/>
        </w:numPr>
        <w:ind w:left="360"/>
        <w:rPr>
          <w:rFonts w:ascii="Times New Roman" w:hAnsi="Times New Roman" w:cs="Times New Roman"/>
        </w:rPr>
      </w:pPr>
      <w:r w:rsidRPr="00712255">
        <w:rPr>
          <w:rFonts w:ascii="Times New Roman" w:hAnsi="Times New Roman" w:cs="Times New Roman"/>
        </w:rPr>
        <w:t>Planning and budget link……………………………………………………………………</w:t>
      </w:r>
      <w:r>
        <w:rPr>
          <w:rFonts w:ascii="Times New Roman" w:hAnsi="Times New Roman" w:cs="Times New Roman"/>
        </w:rPr>
        <w:t>.12</w:t>
      </w:r>
    </w:p>
    <w:p w:rsidR="00A76AFD" w:rsidRPr="00712255" w:rsidRDefault="00A76AFD" w:rsidP="00A76AFD">
      <w:pPr>
        <w:pStyle w:val="ListParagraph"/>
        <w:numPr>
          <w:ilvl w:val="0"/>
          <w:numId w:val="29"/>
        </w:numPr>
        <w:ind w:left="360"/>
        <w:rPr>
          <w:rFonts w:ascii="Times New Roman" w:hAnsi="Times New Roman" w:cs="Times New Roman"/>
        </w:rPr>
      </w:pPr>
      <w:r w:rsidRPr="00712255">
        <w:rPr>
          <w:rFonts w:ascii="Times New Roman" w:hAnsi="Times New Roman" w:cs="Times New Roman"/>
        </w:rPr>
        <w:t>Status of Governance Effectiveness 2015…………………………………………………</w:t>
      </w:r>
      <w:r>
        <w:rPr>
          <w:rFonts w:ascii="Times New Roman" w:hAnsi="Times New Roman" w:cs="Times New Roman"/>
        </w:rPr>
        <w:t>…16</w:t>
      </w:r>
    </w:p>
    <w:p w:rsidR="00A76AFD" w:rsidRPr="00712255" w:rsidRDefault="00A76AFD" w:rsidP="00A76AFD">
      <w:pPr>
        <w:pStyle w:val="ListParagraph"/>
        <w:numPr>
          <w:ilvl w:val="0"/>
          <w:numId w:val="29"/>
        </w:numPr>
        <w:ind w:left="360"/>
        <w:rPr>
          <w:rFonts w:ascii="Times New Roman" w:hAnsi="Times New Roman" w:cs="Times New Roman"/>
        </w:rPr>
      </w:pPr>
      <w:r w:rsidRPr="00712255">
        <w:rPr>
          <w:rFonts w:ascii="Times New Roman" w:hAnsi="Times New Roman" w:cs="Times New Roman"/>
          <w:bCs/>
          <w:color w:val="000000"/>
        </w:rPr>
        <w:t xml:space="preserve">Procedures (number), time and cost to start a business </w:t>
      </w:r>
      <w:r>
        <w:rPr>
          <w:rFonts w:ascii="Times New Roman" w:hAnsi="Times New Roman" w:cs="Times New Roman"/>
          <w:bCs/>
          <w:color w:val="000000"/>
        </w:rPr>
        <w:t>in Dhaka and Chittagong……….….31</w:t>
      </w:r>
    </w:p>
    <w:p w:rsidR="00A76AFD" w:rsidRPr="00712255" w:rsidRDefault="00A76AFD" w:rsidP="00A76AFD">
      <w:pPr>
        <w:pStyle w:val="ListParagraph"/>
        <w:numPr>
          <w:ilvl w:val="0"/>
          <w:numId w:val="29"/>
        </w:numPr>
        <w:ind w:left="360"/>
        <w:rPr>
          <w:rFonts w:ascii="Times New Roman" w:hAnsi="Times New Roman" w:cs="Times New Roman"/>
        </w:rPr>
      </w:pPr>
      <w:r w:rsidRPr="00712255">
        <w:rPr>
          <w:rFonts w:ascii="Times New Roman" w:hAnsi="Times New Roman" w:cs="Times New Roman"/>
        </w:rPr>
        <w:t>Decentralization in Bangladesh and South Asian Neighbors</w:t>
      </w:r>
      <w:r>
        <w:rPr>
          <w:rFonts w:ascii="Times New Roman" w:hAnsi="Times New Roman" w:cs="Times New Roman"/>
        </w:rPr>
        <w:t>…………………………….….39</w:t>
      </w:r>
    </w:p>
    <w:p w:rsidR="00A76AFD" w:rsidRDefault="00A76AFD" w:rsidP="00A76AFD">
      <w:pPr>
        <w:pStyle w:val="ListParagraph"/>
        <w:numPr>
          <w:ilvl w:val="0"/>
          <w:numId w:val="29"/>
        </w:numPr>
        <w:ind w:left="360"/>
        <w:rPr>
          <w:rFonts w:ascii="Times New Roman" w:hAnsi="Times New Roman" w:cs="Times New Roman"/>
        </w:rPr>
      </w:pPr>
      <w:r>
        <w:rPr>
          <w:rFonts w:ascii="Times New Roman" w:hAnsi="Times New Roman" w:cs="Times New Roman"/>
        </w:rPr>
        <w:t>Basic education indicators for Bangladesh……………………………………………….….50</w:t>
      </w:r>
    </w:p>
    <w:p w:rsidR="00A76AFD" w:rsidRPr="0065339A" w:rsidRDefault="00A76AFD" w:rsidP="00A76AFD">
      <w:pPr>
        <w:pStyle w:val="ListParagraph"/>
        <w:numPr>
          <w:ilvl w:val="0"/>
          <w:numId w:val="29"/>
        </w:numPr>
        <w:ind w:left="360"/>
        <w:rPr>
          <w:rFonts w:ascii="Times New Roman" w:hAnsi="Times New Roman" w:cs="Times New Roman"/>
        </w:rPr>
      </w:pPr>
      <w:r w:rsidRPr="00073CE8">
        <w:rPr>
          <w:rFonts w:ascii="Times New Roman" w:eastAsia="Times New Roman" w:hAnsi="Times New Roman" w:cs="Times New Roman"/>
          <w:bCs/>
          <w:color w:val="000000"/>
        </w:rPr>
        <w:t xml:space="preserve">Correlation between GDP per capita and selected human capital/ technology </w:t>
      </w:r>
      <w:r>
        <w:rPr>
          <w:rFonts w:ascii="Times New Roman" w:eastAsia="Times New Roman" w:hAnsi="Times New Roman" w:cs="Times New Roman"/>
          <w:bCs/>
          <w:color w:val="000000"/>
        </w:rPr>
        <w:t xml:space="preserve">                 </w:t>
      </w:r>
      <w:r w:rsidRPr="00073CE8">
        <w:rPr>
          <w:rFonts w:ascii="Times New Roman" w:eastAsia="Times New Roman" w:hAnsi="Times New Roman" w:cs="Times New Roman"/>
          <w:bCs/>
          <w:color w:val="000000"/>
        </w:rPr>
        <w:t>variables, 2015</w:t>
      </w:r>
      <w:r>
        <w:rPr>
          <w:rFonts w:ascii="Times New Roman" w:eastAsia="Times New Roman" w:hAnsi="Times New Roman" w:cs="Times New Roman"/>
          <w:bCs/>
          <w:color w:val="000000"/>
        </w:rPr>
        <w:t>……………………………………………………………………………….54</w:t>
      </w:r>
    </w:p>
    <w:p w:rsidR="00A76AFD" w:rsidRPr="00F85647" w:rsidRDefault="00A76AFD" w:rsidP="00A76AFD">
      <w:pPr>
        <w:pStyle w:val="ListParagraph"/>
        <w:numPr>
          <w:ilvl w:val="0"/>
          <w:numId w:val="29"/>
        </w:numPr>
        <w:ind w:left="360"/>
        <w:rPr>
          <w:rFonts w:ascii="Times New Roman" w:hAnsi="Times New Roman" w:cs="Times New Roman"/>
        </w:rPr>
      </w:pPr>
      <w:r w:rsidRPr="00F85647">
        <w:rPr>
          <w:rFonts w:ascii="Times New Roman" w:hAnsi="Times New Roman" w:cs="Times New Roman"/>
        </w:rPr>
        <w:t>Correlation between gross fixed capital formation and selected institutional indicators</w:t>
      </w:r>
      <w:r>
        <w:rPr>
          <w:rFonts w:ascii="Times New Roman" w:hAnsi="Times New Roman" w:cs="Times New Roman"/>
        </w:rPr>
        <w:t>……56</w:t>
      </w:r>
    </w:p>
    <w:p w:rsidR="00A76AFD" w:rsidRDefault="00A76AFD" w:rsidP="00A76AFD">
      <w:pPr>
        <w:pStyle w:val="ListParagraph"/>
        <w:numPr>
          <w:ilvl w:val="0"/>
          <w:numId w:val="29"/>
        </w:numPr>
        <w:ind w:left="360"/>
        <w:rPr>
          <w:rFonts w:ascii="Times New Roman" w:hAnsi="Times New Roman" w:cs="Times New Roman"/>
        </w:rPr>
      </w:pPr>
      <w:r w:rsidRPr="00712255">
        <w:rPr>
          <w:rFonts w:ascii="Times New Roman" w:hAnsi="Times New Roman" w:cs="Times New Roman"/>
        </w:rPr>
        <w:t>Governance Effectiveness, Economic Management and Economic Prosperity 2015………</w:t>
      </w:r>
      <w:r>
        <w:rPr>
          <w:rFonts w:ascii="Times New Roman" w:hAnsi="Times New Roman" w:cs="Times New Roman"/>
        </w:rPr>
        <w:t>.82</w:t>
      </w:r>
    </w:p>
    <w:p w:rsidR="00A76AFD" w:rsidRPr="005B0A92" w:rsidRDefault="00A76AFD" w:rsidP="00A76AFD">
      <w:pPr>
        <w:pStyle w:val="ListParagraph"/>
        <w:numPr>
          <w:ilvl w:val="0"/>
          <w:numId w:val="29"/>
        </w:numPr>
        <w:ind w:left="360"/>
        <w:rPr>
          <w:rFonts w:ascii="Times New Roman" w:hAnsi="Times New Roman" w:cs="Times New Roman"/>
        </w:rPr>
      </w:pPr>
      <w:r w:rsidRPr="00AC75E9">
        <w:rPr>
          <w:rFonts w:ascii="Times New Roman" w:eastAsia="Times New Roman" w:hAnsi="Times New Roman" w:cs="Times New Roman"/>
          <w:color w:val="000000"/>
        </w:rPr>
        <w:t>IMF Defined Risks and Longer-term Institutional Implication for Bangladesh</w:t>
      </w:r>
      <w:r>
        <w:rPr>
          <w:rFonts w:ascii="Times New Roman" w:eastAsia="Times New Roman" w:hAnsi="Times New Roman" w:cs="Times New Roman"/>
          <w:color w:val="000000"/>
        </w:rPr>
        <w:t>………….….84</w:t>
      </w:r>
    </w:p>
    <w:p w:rsidR="00A76AFD" w:rsidRPr="005B0A92" w:rsidRDefault="00A76AFD" w:rsidP="00A76AFD">
      <w:pPr>
        <w:pStyle w:val="ListParagraph"/>
        <w:numPr>
          <w:ilvl w:val="0"/>
          <w:numId w:val="29"/>
        </w:numPr>
        <w:ind w:left="360"/>
        <w:rPr>
          <w:rFonts w:ascii="Times New Roman" w:hAnsi="Times New Roman" w:cs="Times New Roman"/>
        </w:rPr>
      </w:pPr>
      <w:r w:rsidRPr="005B0A92">
        <w:rPr>
          <w:rFonts w:ascii="Times New Roman" w:eastAsia="Times New Roman" w:hAnsi="Times New Roman" w:cs="Times New Roman"/>
          <w:bCs/>
          <w:color w:val="000000"/>
        </w:rPr>
        <w:t>Economic prosperity and governance - correlation matrix</w:t>
      </w:r>
      <w:r>
        <w:rPr>
          <w:rFonts w:ascii="Times New Roman" w:eastAsia="Times New Roman" w:hAnsi="Times New Roman" w:cs="Times New Roman"/>
          <w:bCs/>
          <w:color w:val="000000"/>
        </w:rPr>
        <w:t>……………………………….….89</w:t>
      </w:r>
    </w:p>
    <w:p w:rsidR="00A76AFD" w:rsidRDefault="00A76AFD" w:rsidP="00A76AFD">
      <w:pPr>
        <w:pStyle w:val="ListParagraph"/>
        <w:numPr>
          <w:ilvl w:val="0"/>
          <w:numId w:val="29"/>
        </w:numPr>
        <w:ind w:left="360"/>
        <w:rPr>
          <w:rFonts w:ascii="Times New Roman" w:hAnsi="Times New Roman" w:cs="Times New Roman"/>
        </w:rPr>
      </w:pPr>
      <w:r w:rsidRPr="000A270C">
        <w:rPr>
          <w:rFonts w:ascii="Times New Roman" w:hAnsi="Times New Roman" w:cs="Times New Roman"/>
        </w:rPr>
        <w:t>Country (64) analysis of growth and selected indicators</w:t>
      </w:r>
      <w:r>
        <w:rPr>
          <w:rFonts w:ascii="Times New Roman" w:hAnsi="Times New Roman" w:cs="Times New Roman"/>
        </w:rPr>
        <w:t>…………………………………...100</w:t>
      </w:r>
    </w:p>
    <w:p w:rsidR="00A76AFD" w:rsidRDefault="00A76AFD" w:rsidP="00A76AFD">
      <w:pPr>
        <w:pStyle w:val="ListParagraph"/>
        <w:numPr>
          <w:ilvl w:val="0"/>
          <w:numId w:val="29"/>
        </w:numPr>
        <w:ind w:left="360"/>
        <w:rPr>
          <w:rFonts w:ascii="Times New Roman" w:hAnsi="Times New Roman" w:cs="Times New Roman"/>
        </w:rPr>
      </w:pPr>
      <w:r w:rsidRPr="00B660A3">
        <w:rPr>
          <w:rFonts w:ascii="Times New Roman" w:hAnsi="Times New Roman" w:cs="Times New Roman"/>
        </w:rPr>
        <w:t xml:space="preserve">The overview of the country case </w:t>
      </w:r>
      <w:r w:rsidRPr="002C7DC6">
        <w:rPr>
          <w:rFonts w:ascii="Times New Roman" w:hAnsi="Times New Roman" w:cs="Times New Roman"/>
        </w:rPr>
        <w:t>studies Decentralization and Deconcontration (D &amp; D)</w:t>
      </w:r>
      <w:r>
        <w:rPr>
          <w:rFonts w:ascii="Times New Roman" w:hAnsi="Times New Roman" w:cs="Times New Roman"/>
        </w:rPr>
        <w:t xml:space="preserve"> .115</w:t>
      </w:r>
    </w:p>
    <w:p w:rsidR="00A76AFD" w:rsidRDefault="00A76AFD" w:rsidP="00A76AFD">
      <w:pPr>
        <w:pStyle w:val="ListParagraph"/>
        <w:numPr>
          <w:ilvl w:val="0"/>
          <w:numId w:val="29"/>
        </w:numPr>
        <w:spacing w:after="200" w:line="276" w:lineRule="auto"/>
        <w:ind w:left="360"/>
        <w:contextualSpacing w:val="0"/>
        <w:rPr>
          <w:rFonts w:ascii="Times New Roman" w:hAnsi="Times New Roman" w:cs="Times New Roman"/>
        </w:rPr>
      </w:pPr>
      <w:r w:rsidRPr="002B6A3C">
        <w:rPr>
          <w:rFonts w:ascii="Times New Roman" w:hAnsi="Times New Roman" w:cs="Times New Roman"/>
        </w:rPr>
        <w:t>Development indicators, benchmark, milestones and 2041 targets</w:t>
      </w:r>
      <w:r>
        <w:rPr>
          <w:rFonts w:ascii="Times New Roman" w:hAnsi="Times New Roman" w:cs="Times New Roman"/>
        </w:rPr>
        <w:t>………………………...121</w:t>
      </w:r>
    </w:p>
    <w:p w:rsidR="00A76AFD" w:rsidRPr="002C7DC6" w:rsidRDefault="00A76AFD" w:rsidP="00A76AFD">
      <w:pPr>
        <w:pStyle w:val="ListParagraph"/>
        <w:rPr>
          <w:rFonts w:ascii="Times New Roman" w:hAnsi="Times New Roman" w:cs="Times New Roman"/>
        </w:rPr>
      </w:pPr>
    </w:p>
    <w:p w:rsidR="00A76AFD" w:rsidRPr="008D216A" w:rsidRDefault="00A76AFD" w:rsidP="00A76AFD">
      <w:pPr>
        <w:jc w:val="center"/>
        <w:rPr>
          <w:b/>
          <w:color w:val="365F91" w:themeColor="accent1" w:themeShade="BF"/>
        </w:rPr>
      </w:pPr>
      <w:r w:rsidRPr="008D216A">
        <w:rPr>
          <w:b/>
          <w:color w:val="365F91" w:themeColor="accent1" w:themeShade="BF"/>
        </w:rPr>
        <w:t>List of Figures</w:t>
      </w:r>
    </w:p>
    <w:p w:rsidR="00A76AFD" w:rsidRPr="00F1522E" w:rsidRDefault="00A76AFD" w:rsidP="00A76AFD">
      <w:pPr>
        <w:pStyle w:val="ListParagraph"/>
        <w:numPr>
          <w:ilvl w:val="0"/>
          <w:numId w:val="15"/>
        </w:numPr>
        <w:rPr>
          <w:rFonts w:ascii="Times New Roman" w:eastAsiaTheme="minorEastAsia" w:hAnsi="Times New Roman" w:cs="Times New Roman"/>
          <w:noProof/>
          <w:color w:val="1F497D" w:themeColor="text2"/>
          <w:lang w:val="en-SG" w:bidi="en-US"/>
        </w:rPr>
      </w:pPr>
      <w:r w:rsidRPr="00FB03E1">
        <w:rPr>
          <w:rFonts w:ascii="Times New Roman" w:hAnsi="Times New Roman" w:cs="Times New Roman"/>
        </w:rPr>
        <w:t xml:space="preserve">Poverty rate in Bangladesh </w:t>
      </w:r>
      <w:r w:rsidRPr="00FB03E1">
        <w:rPr>
          <w:rFonts w:ascii="Times New Roman" w:hAnsi="Times New Roman" w:cs="Times New Roman"/>
          <w:color w:val="000000" w:themeColor="text1"/>
        </w:rPr>
        <w:t>(% of population)</w:t>
      </w:r>
      <w:r>
        <w:rPr>
          <w:rFonts w:ascii="Times New Roman" w:hAnsi="Times New Roman" w:cs="Times New Roman"/>
          <w:color w:val="000000" w:themeColor="text1"/>
        </w:rPr>
        <w:t xml:space="preserve"> …………………………………………….….4</w:t>
      </w:r>
    </w:p>
    <w:p w:rsidR="00A76AFD" w:rsidRPr="00483DCD" w:rsidRDefault="00A76AFD" w:rsidP="00A76AFD">
      <w:pPr>
        <w:pStyle w:val="ListParagraph"/>
        <w:numPr>
          <w:ilvl w:val="0"/>
          <w:numId w:val="15"/>
        </w:numPr>
        <w:rPr>
          <w:rFonts w:ascii="Times New Roman" w:eastAsiaTheme="minorEastAsia" w:hAnsi="Times New Roman" w:cs="Times New Roman"/>
          <w:noProof/>
          <w:color w:val="1F497D" w:themeColor="text2"/>
          <w:lang w:val="en-SG" w:bidi="en-US"/>
        </w:rPr>
      </w:pPr>
      <w:r w:rsidRPr="00483DCD">
        <w:rPr>
          <w:rFonts w:ascii="Times New Roman" w:hAnsi="Times New Roman" w:cs="Times New Roman"/>
          <w:color w:val="000000" w:themeColor="text1"/>
        </w:rPr>
        <w:t>Annual % Change in Poverty (between 1990s and 2014)</w:t>
      </w:r>
      <w:r>
        <w:rPr>
          <w:rFonts w:ascii="Times New Roman" w:hAnsi="Times New Roman" w:cs="Times New Roman"/>
          <w:color w:val="000000" w:themeColor="text1"/>
        </w:rPr>
        <w:t xml:space="preserve"> ……………………………………5</w:t>
      </w:r>
    </w:p>
    <w:p w:rsidR="00A76AFD" w:rsidRPr="00D3431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B829AE">
        <w:rPr>
          <w:rFonts w:ascii="Times New Roman" w:eastAsiaTheme="minorEastAsia" w:hAnsi="Times New Roman" w:cs="Times New Roman"/>
          <w:noProof/>
          <w:color w:val="000000" w:themeColor="text1"/>
          <w:lang w:val="en-SG" w:bidi="en-US"/>
        </w:rPr>
        <w:t>Four pillars of Vision 2041</w:t>
      </w:r>
      <w:r>
        <w:rPr>
          <w:rFonts w:ascii="Times New Roman" w:eastAsiaTheme="minorEastAsia" w:hAnsi="Times New Roman" w:cs="Times New Roman"/>
          <w:noProof/>
          <w:color w:val="000000" w:themeColor="text1"/>
          <w:lang w:val="en-SG" w:bidi="en-US"/>
        </w:rPr>
        <w:t>……………………………………………………………………</w:t>
      </w:r>
      <w:r w:rsidRPr="00D3431D">
        <w:rPr>
          <w:rFonts w:ascii="Times New Roman" w:eastAsiaTheme="minorEastAsia" w:hAnsi="Times New Roman" w:cs="Times New Roman"/>
          <w:noProof/>
          <w:color w:val="000000" w:themeColor="text1"/>
          <w:lang w:val="en-SG" w:bidi="en-US"/>
        </w:rPr>
        <w:t>6</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Pr>
          <w:rFonts w:ascii="Times New Roman" w:eastAsiaTheme="minorEastAsia" w:hAnsi="Times New Roman" w:cs="Times New Roman"/>
          <w:noProof/>
          <w:color w:val="000000" w:themeColor="text1"/>
          <w:lang w:val="en-SG" w:bidi="en-US"/>
        </w:rPr>
        <w:t>Framework for good governance……………………………………………………………...7</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Pr>
          <w:rFonts w:ascii="Times New Roman" w:eastAsiaTheme="minorEastAsia" w:hAnsi="Times New Roman" w:cs="Times New Roman"/>
          <w:noProof/>
          <w:color w:val="000000" w:themeColor="text1"/>
          <w:lang w:val="en-SG" w:bidi="en-US"/>
        </w:rPr>
        <w:t>Framework for pluralistic democracy…………………………………………………………8</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Pr>
          <w:rFonts w:ascii="Times New Roman" w:eastAsiaTheme="minorEastAsia" w:hAnsi="Times New Roman" w:cs="Times New Roman"/>
          <w:noProof/>
          <w:color w:val="000000" w:themeColor="text1"/>
          <w:lang w:val="en-SG" w:bidi="en-US"/>
        </w:rPr>
        <w:t>Framework for decentralization……………………………………………………………...10</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Pr>
          <w:rFonts w:ascii="Times New Roman" w:eastAsiaTheme="minorEastAsia" w:hAnsi="Times New Roman" w:cs="Times New Roman"/>
          <w:noProof/>
          <w:color w:val="000000" w:themeColor="text1"/>
          <w:lang w:val="en-SG" w:bidi="en-US"/>
        </w:rPr>
        <w:t>Framework for institutional capacity building……………………………………………….11</w:t>
      </w:r>
    </w:p>
    <w:p w:rsidR="00A76AFD" w:rsidRPr="0062735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62735D">
        <w:rPr>
          <w:rFonts w:ascii="Times New Roman" w:hAnsi="Times New Roman" w:cs="Times New Roman"/>
          <w:lang w:val="en-PH"/>
        </w:rPr>
        <w:t>The comparative planning framework in Korea and Thailand</w:t>
      </w:r>
      <w:r>
        <w:rPr>
          <w:rFonts w:ascii="Times New Roman" w:hAnsi="Times New Roman" w:cs="Times New Roman"/>
          <w:lang w:val="en-PH"/>
        </w:rPr>
        <w:t>………………………………13</w:t>
      </w:r>
    </w:p>
    <w:p w:rsidR="00A76AFD" w:rsidRPr="0062735D" w:rsidRDefault="00A76AFD" w:rsidP="00A76AFD">
      <w:pPr>
        <w:pStyle w:val="ListParagraph"/>
        <w:numPr>
          <w:ilvl w:val="0"/>
          <w:numId w:val="15"/>
        </w:numPr>
        <w:rPr>
          <w:rFonts w:ascii="Times New Roman" w:hAnsi="Times New Roman" w:cs="Times New Roman"/>
        </w:rPr>
      </w:pPr>
      <w:r w:rsidRPr="0062735D">
        <w:rPr>
          <w:rFonts w:ascii="Times New Roman" w:hAnsi="Times New Roman" w:cs="Times New Roman"/>
          <w:lang w:val="en-PH"/>
        </w:rPr>
        <w:t>Synchronized planning and budgeting – Republic of Korea</w:t>
      </w:r>
      <w:r>
        <w:rPr>
          <w:rFonts w:ascii="Times New Roman" w:hAnsi="Times New Roman" w:cs="Times New Roman"/>
          <w:lang w:val="en-PH"/>
        </w:rPr>
        <w:t>………………………………...13</w:t>
      </w:r>
    </w:p>
    <w:p w:rsidR="00A76AFD" w:rsidRDefault="00A76AFD" w:rsidP="00A76AFD">
      <w:pPr>
        <w:pStyle w:val="ListParagraph"/>
        <w:numPr>
          <w:ilvl w:val="0"/>
          <w:numId w:val="15"/>
        </w:numPr>
        <w:rPr>
          <w:rFonts w:ascii="Times New Roman" w:hAnsi="Times New Roman" w:cs="Times New Roman"/>
        </w:rPr>
      </w:pPr>
      <w:r w:rsidRPr="0062735D">
        <w:rPr>
          <w:rFonts w:ascii="Times New Roman" w:hAnsi="Times New Roman" w:cs="Times New Roman"/>
        </w:rPr>
        <w:t>Transport sector investment outcome in Korea</w:t>
      </w:r>
      <w:r>
        <w:rPr>
          <w:rFonts w:ascii="Times New Roman" w:hAnsi="Times New Roman" w:cs="Times New Roman"/>
        </w:rPr>
        <w:t>……………………………………………...14</w:t>
      </w:r>
    </w:p>
    <w:p w:rsidR="00A76AFD" w:rsidRPr="00345741" w:rsidRDefault="00A76AFD" w:rsidP="00A76AFD">
      <w:pPr>
        <w:pStyle w:val="ListParagraph"/>
        <w:numPr>
          <w:ilvl w:val="0"/>
          <w:numId w:val="15"/>
        </w:numPr>
        <w:rPr>
          <w:rFonts w:ascii="Times New Roman" w:hAnsi="Times New Roman" w:cs="Times New Roman"/>
        </w:rPr>
      </w:pPr>
      <w:r w:rsidRPr="00345741">
        <w:rPr>
          <w:rFonts w:ascii="Times New Roman" w:hAnsi="Times New Roman" w:cs="Times New Roman"/>
          <w:color w:val="000000" w:themeColor="text1"/>
        </w:rPr>
        <w:t>Cross-country scatter of Government Effectiveness, 2014</w:t>
      </w:r>
      <w:r>
        <w:rPr>
          <w:rFonts w:ascii="Times New Roman" w:hAnsi="Times New Roman" w:cs="Times New Roman"/>
          <w:color w:val="000000" w:themeColor="text1"/>
        </w:rPr>
        <w:t>……………………………….….17</w:t>
      </w:r>
    </w:p>
    <w:p w:rsidR="00A76AFD" w:rsidRPr="009F1C56" w:rsidRDefault="00A76AFD" w:rsidP="00A76AFD">
      <w:pPr>
        <w:pStyle w:val="ListParagraph"/>
        <w:numPr>
          <w:ilvl w:val="0"/>
          <w:numId w:val="15"/>
        </w:numPr>
        <w:rPr>
          <w:rFonts w:ascii="Times New Roman" w:hAnsi="Times New Roman" w:cs="Times New Roman"/>
        </w:rPr>
      </w:pPr>
      <w:r w:rsidRPr="009F1C56">
        <w:rPr>
          <w:rFonts w:ascii="Times New Roman" w:hAnsi="Times New Roman" w:cs="Times New Roman"/>
          <w:color w:val="000000" w:themeColor="text1"/>
        </w:rPr>
        <w:t>Cross-country scatter of Government Effectiveness and other indicators, 2015</w:t>
      </w:r>
      <w:r>
        <w:rPr>
          <w:rFonts w:ascii="Times New Roman" w:hAnsi="Times New Roman" w:cs="Times New Roman"/>
          <w:color w:val="000000" w:themeColor="text1"/>
        </w:rPr>
        <w:t>…………….18</w:t>
      </w:r>
    </w:p>
    <w:p w:rsidR="00A76AFD" w:rsidRPr="009D115A"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9D115A">
        <w:rPr>
          <w:rFonts w:ascii="Times New Roman" w:hAnsi="Times New Roman" w:cs="Times New Roman"/>
          <w:color w:val="000000" w:themeColor="text1"/>
        </w:rPr>
        <w:t>Cross-country scatter of government effectiveness, 2014</w:t>
      </w:r>
      <w:r>
        <w:rPr>
          <w:rFonts w:ascii="Times New Roman" w:hAnsi="Times New Roman" w:cs="Times New Roman"/>
          <w:color w:val="000000" w:themeColor="text1"/>
        </w:rPr>
        <w:t>…………………………………...19</w:t>
      </w:r>
    </w:p>
    <w:p w:rsidR="00A76AFD" w:rsidRPr="009D115A"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9D115A">
        <w:rPr>
          <w:rFonts w:ascii="Times New Roman" w:eastAsiaTheme="minorEastAsia" w:hAnsi="Times New Roman" w:cs="Times New Roman"/>
        </w:rPr>
        <w:t>Growth and change in poverty (since 1990s-2014)</w:t>
      </w:r>
      <w:r>
        <w:rPr>
          <w:rFonts w:ascii="Times New Roman" w:eastAsiaTheme="minorEastAsia" w:hAnsi="Times New Roman" w:cs="Times New Roman"/>
        </w:rPr>
        <w:t xml:space="preserve"> …………………………………………20</w:t>
      </w:r>
    </w:p>
    <w:p w:rsidR="00A76AFD" w:rsidRPr="009D115A"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9D115A">
        <w:rPr>
          <w:rFonts w:ascii="Times New Roman" w:eastAsiaTheme="minorEastAsia" w:hAnsi="Times New Roman" w:cs="Times New Roman"/>
          <w:bCs/>
          <w:noProof/>
          <w:color w:val="000000" w:themeColor="text1"/>
          <w:lang w:bidi="en-US"/>
        </w:rPr>
        <w:lastRenderedPageBreak/>
        <w:t>CPIA economic management cluster average</w:t>
      </w:r>
      <w:r>
        <w:rPr>
          <w:rFonts w:ascii="Times New Roman" w:eastAsiaTheme="minorEastAsia" w:hAnsi="Times New Roman" w:cs="Times New Roman"/>
          <w:bCs/>
          <w:noProof/>
          <w:color w:val="000000" w:themeColor="text1"/>
          <w:lang w:bidi="en-US"/>
        </w:rPr>
        <w:t>……………………………………………….21</w:t>
      </w:r>
    </w:p>
    <w:p w:rsidR="00A76AFD" w:rsidRPr="009D115A"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9D115A">
        <w:rPr>
          <w:rFonts w:ascii="Times New Roman" w:eastAsia="Times New Roman" w:hAnsi="Times New Roman" w:cs="Times New Roman"/>
          <w:bCs/>
          <w:color w:val="000000"/>
        </w:rPr>
        <w:t>Macroeconomic management and debt policy rating</w:t>
      </w:r>
      <w:r>
        <w:rPr>
          <w:rFonts w:ascii="Times New Roman" w:eastAsia="Times New Roman" w:hAnsi="Times New Roman" w:cs="Times New Roman"/>
          <w:bCs/>
          <w:color w:val="000000"/>
        </w:rPr>
        <w:t>…………………………………….….22</w:t>
      </w:r>
    </w:p>
    <w:p w:rsidR="00A76AFD" w:rsidRPr="009D115A"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9D115A">
        <w:rPr>
          <w:rFonts w:ascii="Times New Roman" w:eastAsia="Times New Roman" w:hAnsi="Times New Roman" w:cs="Times New Roman"/>
          <w:bCs/>
          <w:color w:val="000000" w:themeColor="text1"/>
        </w:rPr>
        <w:t>Regulatory environment, revenue mobilization and financial management rating</w:t>
      </w:r>
      <w:r>
        <w:rPr>
          <w:rFonts w:ascii="Times New Roman" w:eastAsia="Times New Roman" w:hAnsi="Times New Roman" w:cs="Times New Roman"/>
          <w:bCs/>
          <w:color w:val="000000" w:themeColor="text1"/>
        </w:rPr>
        <w:t>………….23</w:t>
      </w:r>
    </w:p>
    <w:p w:rsidR="00A76AFD" w:rsidRPr="00CA4563"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CA4563">
        <w:rPr>
          <w:rFonts w:ascii="Times New Roman" w:hAnsi="Times New Roman" w:cs="Times New Roman"/>
        </w:rPr>
        <w:t>Public resource use, fiscal policy and trade rating</w:t>
      </w:r>
      <w:r>
        <w:rPr>
          <w:rFonts w:ascii="Times New Roman" w:hAnsi="Times New Roman" w:cs="Times New Roman"/>
        </w:rPr>
        <w:t>…………………………………………...24</w:t>
      </w:r>
    </w:p>
    <w:p w:rsidR="00A76AFD" w:rsidRPr="003762E0"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6A0454">
        <w:rPr>
          <w:rFonts w:ascii="Times New Roman" w:eastAsia="Times New Roman" w:hAnsi="Times New Roman" w:cs="Times New Roman"/>
          <w:bCs/>
          <w:color w:val="000000"/>
        </w:rPr>
        <w:t>Financial sector, public sector and transparency, accountability</w:t>
      </w:r>
      <w:r w:rsidRPr="00CA4563">
        <w:rPr>
          <w:rFonts w:ascii="Times New Roman" w:eastAsia="Times New Roman" w:hAnsi="Times New Roman" w:cs="Times New Roman"/>
          <w:bCs/>
          <w:color w:val="000000"/>
        </w:rPr>
        <w:t xml:space="preserve"> and corruption rating</w:t>
      </w:r>
      <w:r>
        <w:rPr>
          <w:rFonts w:ascii="Times New Roman" w:eastAsia="Times New Roman" w:hAnsi="Times New Roman" w:cs="Times New Roman"/>
          <w:bCs/>
          <w:color w:val="000000"/>
        </w:rPr>
        <w:t>….….25</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3818ED">
        <w:rPr>
          <w:rFonts w:ascii="Times New Roman" w:eastAsiaTheme="minorEastAsia" w:hAnsi="Times New Roman" w:cs="Times New Roman"/>
          <w:noProof/>
          <w:color w:val="000000" w:themeColor="text1"/>
          <w:lang w:val="en-SG" w:bidi="en-US"/>
        </w:rPr>
        <w:t>Non-performing loans as % of total outstanding loans</w:t>
      </w:r>
      <w:r>
        <w:rPr>
          <w:rFonts w:ascii="Times New Roman" w:eastAsiaTheme="minorEastAsia" w:hAnsi="Times New Roman" w:cs="Times New Roman"/>
          <w:noProof/>
          <w:color w:val="000000" w:themeColor="text1"/>
          <w:lang w:val="en-SG" w:bidi="en-US"/>
        </w:rPr>
        <w:t>………………………………………27</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3818ED">
        <w:rPr>
          <w:rFonts w:ascii="Times New Roman" w:eastAsiaTheme="minorEastAsia" w:hAnsi="Times New Roman" w:cs="Times New Roman"/>
          <w:noProof/>
          <w:color w:val="000000" w:themeColor="text1"/>
          <w:lang w:val="en-SG" w:bidi="en-US"/>
        </w:rPr>
        <w:t>Banks' capital adequacy ratio</w:t>
      </w:r>
      <w:r>
        <w:rPr>
          <w:rFonts w:ascii="Times New Roman" w:eastAsiaTheme="minorEastAsia" w:hAnsi="Times New Roman" w:cs="Times New Roman"/>
          <w:noProof/>
          <w:color w:val="000000" w:themeColor="text1"/>
          <w:lang w:val="en-SG" w:bidi="en-US"/>
        </w:rPr>
        <w:t>………………………………………………………………..28</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3818ED">
        <w:rPr>
          <w:rFonts w:ascii="Times New Roman" w:eastAsiaTheme="minorEastAsia" w:hAnsi="Times New Roman" w:cs="Times New Roman"/>
          <w:noProof/>
          <w:color w:val="000000" w:themeColor="text1"/>
          <w:lang w:val="en-SG" w:bidi="en-US"/>
        </w:rPr>
        <w:t>Rescheduled loans (in crores of taka)</w:t>
      </w:r>
      <w:r>
        <w:rPr>
          <w:rFonts w:ascii="Times New Roman" w:eastAsiaTheme="minorEastAsia" w:hAnsi="Times New Roman" w:cs="Times New Roman"/>
          <w:noProof/>
          <w:color w:val="000000" w:themeColor="text1"/>
          <w:lang w:val="en-SG" w:bidi="en-US"/>
        </w:rPr>
        <w:t>………………………………………………………..28</w:t>
      </w:r>
    </w:p>
    <w:p w:rsidR="00A76AFD" w:rsidRPr="005E3941"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5E3941">
        <w:rPr>
          <w:rFonts w:ascii="Times New Roman" w:eastAsiaTheme="minorEastAsia" w:hAnsi="Times New Roman" w:cs="Times New Roman"/>
          <w:noProof/>
          <w:color w:val="000000" w:themeColor="text1"/>
          <w:lang w:val="en-SG" w:bidi="en-US"/>
        </w:rPr>
        <w:t>Default loans of banks  (in crores of taka)</w:t>
      </w:r>
      <w:r>
        <w:rPr>
          <w:rFonts w:ascii="Times New Roman" w:eastAsiaTheme="minorEastAsia" w:hAnsi="Times New Roman" w:cs="Times New Roman"/>
          <w:noProof/>
          <w:color w:val="000000" w:themeColor="text1"/>
          <w:lang w:val="en-SG" w:bidi="en-US"/>
        </w:rPr>
        <w:t>…………………………………………………...28</w:t>
      </w:r>
    </w:p>
    <w:p w:rsidR="00A76AFD" w:rsidRPr="00EE4029"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EE4029">
        <w:rPr>
          <w:rFonts w:ascii="Times New Roman" w:hAnsi="Times New Roman" w:cs="Times New Roman"/>
          <w:bCs/>
          <w:color w:val="000000" w:themeColor="text1"/>
        </w:rPr>
        <w:t>Doing Business Rankings 2015 (out of 189)</w:t>
      </w:r>
      <w:r>
        <w:rPr>
          <w:rFonts w:ascii="Times New Roman" w:hAnsi="Times New Roman" w:cs="Times New Roman"/>
          <w:bCs/>
          <w:color w:val="000000" w:themeColor="text1"/>
        </w:rPr>
        <w:t xml:space="preserve"> …………………………………………….….29</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BF241A">
        <w:rPr>
          <w:rFonts w:ascii="Times New Roman" w:eastAsiaTheme="minorEastAsia" w:hAnsi="Times New Roman" w:cs="Times New Roman"/>
          <w:noProof/>
          <w:color w:val="000000" w:themeColor="text1"/>
          <w:lang w:bidi="en-US"/>
        </w:rPr>
        <w:t>How Bangladesh and comparator economies rank on the ease of doing business 2016</w:t>
      </w:r>
      <w:r>
        <w:rPr>
          <w:rFonts w:ascii="Times New Roman" w:eastAsiaTheme="minorEastAsia" w:hAnsi="Times New Roman" w:cs="Times New Roman"/>
          <w:noProof/>
          <w:color w:val="000000" w:themeColor="text1"/>
          <w:lang w:bidi="en-US"/>
        </w:rPr>
        <w:t>…….30</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CC56A7">
        <w:rPr>
          <w:rFonts w:ascii="Times New Roman" w:eastAsiaTheme="minorEastAsia" w:hAnsi="Times New Roman" w:cs="Times New Roman"/>
          <w:noProof/>
          <w:color w:val="000000" w:themeColor="text1"/>
          <w:lang w:val="en-SG" w:bidi="en-US"/>
        </w:rPr>
        <w:t>Global competitiveness index</w:t>
      </w:r>
      <w:r>
        <w:rPr>
          <w:rFonts w:ascii="Times New Roman" w:eastAsiaTheme="minorEastAsia" w:hAnsi="Times New Roman" w:cs="Times New Roman"/>
          <w:noProof/>
          <w:color w:val="000000" w:themeColor="text1"/>
          <w:lang w:val="en-SG" w:bidi="en-US"/>
        </w:rPr>
        <w:t>………………………………………………………………..31</w:t>
      </w:r>
    </w:p>
    <w:p w:rsidR="00A76AFD" w:rsidRPr="000B5EDF"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8E2288">
        <w:rPr>
          <w:rFonts w:ascii="Times New Roman" w:hAnsi="Times New Roman" w:cs="Times New Roman"/>
          <w:color w:val="000000" w:themeColor="text1"/>
          <w:kern w:val="24"/>
        </w:rPr>
        <w:t>FDI trend in Bangladesh</w:t>
      </w:r>
      <w:r>
        <w:rPr>
          <w:rFonts w:ascii="Times New Roman" w:hAnsi="Times New Roman" w:cs="Times New Roman"/>
          <w:color w:val="000000" w:themeColor="text1"/>
          <w:kern w:val="24"/>
        </w:rPr>
        <w:t>………………………………………………………………….….32</w:t>
      </w:r>
    </w:p>
    <w:p w:rsidR="00A76AFD" w:rsidRPr="00980138"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6B69A6">
        <w:rPr>
          <w:rFonts w:ascii="Times New Roman" w:eastAsiaTheme="minorEastAsia" w:hAnsi="Times New Roman" w:cs="Times New Roman"/>
          <w:bCs/>
          <w:noProof/>
          <w:color w:val="000000" w:themeColor="text1"/>
          <w:lang w:bidi="en-US"/>
        </w:rPr>
        <w:t>Total FDI flow (in $ million) and components (%)</w:t>
      </w:r>
      <w:r>
        <w:rPr>
          <w:rFonts w:ascii="Times New Roman" w:eastAsiaTheme="minorEastAsia" w:hAnsi="Times New Roman" w:cs="Times New Roman"/>
          <w:bCs/>
          <w:noProof/>
          <w:color w:val="000000" w:themeColor="text1"/>
          <w:lang w:bidi="en-US"/>
        </w:rPr>
        <w:t>………………………………………….32</w:t>
      </w:r>
    </w:p>
    <w:p w:rsidR="00A76AFD" w:rsidRPr="00980138"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980138">
        <w:rPr>
          <w:rFonts w:ascii="Times New Roman" w:eastAsiaTheme="minorEastAsia" w:hAnsi="Times New Roman" w:cs="Times New Roman"/>
          <w:bCs/>
          <w:noProof/>
          <w:color w:val="000000" w:themeColor="text1"/>
          <w:lang w:bidi="en-US"/>
        </w:rPr>
        <w:t>Democracy index 2016, country scatter</w:t>
      </w:r>
      <w:r>
        <w:rPr>
          <w:rFonts w:ascii="Times New Roman" w:eastAsiaTheme="minorEastAsia" w:hAnsi="Times New Roman" w:cs="Times New Roman"/>
          <w:bCs/>
          <w:noProof/>
          <w:color w:val="000000" w:themeColor="text1"/>
          <w:lang w:bidi="en-US"/>
        </w:rPr>
        <w:t>……………………………………………………...33</w:t>
      </w:r>
    </w:p>
    <w:p w:rsidR="00A76AFD" w:rsidRPr="00980138"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980138">
        <w:rPr>
          <w:rFonts w:ascii="Times New Roman" w:eastAsiaTheme="minorEastAsia" w:hAnsi="Times New Roman" w:cs="Times New Roman"/>
          <w:bCs/>
          <w:noProof/>
          <w:color w:val="000000" w:themeColor="text1"/>
          <w:lang w:bidi="en-US"/>
        </w:rPr>
        <w:t>Democracy index 2016, Bangladesh and comparator countries</w:t>
      </w:r>
      <w:r>
        <w:rPr>
          <w:rFonts w:ascii="Times New Roman" w:eastAsiaTheme="minorEastAsia" w:hAnsi="Times New Roman" w:cs="Times New Roman"/>
          <w:bCs/>
          <w:noProof/>
          <w:color w:val="000000" w:themeColor="text1"/>
          <w:lang w:bidi="en-US"/>
        </w:rPr>
        <w:t>……………………………..35</w:t>
      </w:r>
    </w:p>
    <w:p w:rsid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283C13">
        <w:rPr>
          <w:rFonts w:ascii="Times New Roman" w:eastAsiaTheme="minorEastAsia" w:hAnsi="Times New Roman" w:cs="Times New Roman"/>
          <w:noProof/>
          <w:color w:val="000000" w:themeColor="text1"/>
          <w:lang w:val="en-SG" w:bidi="en-US"/>
        </w:rPr>
        <w:t>Money in politics (businessmen as % of parliament members)</w:t>
      </w:r>
      <w:r>
        <w:rPr>
          <w:rFonts w:ascii="Times New Roman" w:eastAsiaTheme="minorEastAsia" w:hAnsi="Times New Roman" w:cs="Times New Roman"/>
          <w:noProof/>
          <w:color w:val="000000" w:themeColor="text1"/>
          <w:lang w:val="en-SG" w:bidi="en-US"/>
        </w:rPr>
        <w:t>……………………………..36</w:t>
      </w:r>
    </w:p>
    <w:p w:rsidR="00A76AFD" w:rsidRPr="003232FB"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3232FB">
        <w:rPr>
          <w:rFonts w:ascii="Times New Roman" w:eastAsiaTheme="minorEastAsia" w:hAnsi="Times New Roman" w:cs="Times New Roman"/>
          <w:bCs/>
          <w:noProof/>
          <w:color w:val="000000" w:themeColor="text1"/>
          <w:lang w:bidi="en-US"/>
        </w:rPr>
        <w:t>Social institutions and gender index (SiGi) score of selected 59 countries with data</w:t>
      </w:r>
      <w:r>
        <w:rPr>
          <w:rFonts w:ascii="Times New Roman" w:eastAsiaTheme="minorEastAsia" w:hAnsi="Times New Roman" w:cs="Times New Roman"/>
          <w:bCs/>
          <w:noProof/>
          <w:color w:val="000000" w:themeColor="text1"/>
          <w:lang w:bidi="en-US"/>
        </w:rPr>
        <w:t>……….40</w:t>
      </w:r>
    </w:p>
    <w:p w:rsidR="00A76AFD" w:rsidRPr="00F768CF"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F768CF">
        <w:rPr>
          <w:rFonts w:ascii="Times New Roman" w:eastAsiaTheme="minorEastAsia" w:hAnsi="Times New Roman" w:cs="Times New Roman"/>
          <w:bCs/>
          <w:noProof/>
          <w:color w:val="000000" w:themeColor="text1"/>
          <w:lang w:bidi="en-US"/>
        </w:rPr>
        <w:t>Levels of gender discrimination in social institutions 2014</w:t>
      </w:r>
      <w:r>
        <w:rPr>
          <w:rFonts w:ascii="Times New Roman" w:eastAsiaTheme="minorEastAsia" w:hAnsi="Times New Roman" w:cs="Times New Roman"/>
          <w:bCs/>
          <w:noProof/>
          <w:color w:val="000000" w:themeColor="text1"/>
          <w:lang w:bidi="en-US"/>
        </w:rPr>
        <w:t>…………………………………41</w:t>
      </w:r>
    </w:p>
    <w:p w:rsidR="00A76AFD" w:rsidRPr="00E31A70"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BE15EE">
        <w:rPr>
          <w:rFonts w:ascii="Times New Roman" w:eastAsiaTheme="minorEastAsia" w:hAnsi="Times New Roman" w:cs="Times New Roman"/>
          <w:bCs/>
          <w:noProof/>
          <w:color w:val="000000" w:themeColor="text1"/>
          <w:lang w:bidi="en-US"/>
        </w:rPr>
        <w:t>Rule of Law 2015</w:t>
      </w:r>
      <w:r>
        <w:rPr>
          <w:rFonts w:ascii="Times New Roman" w:eastAsiaTheme="minorEastAsia" w:hAnsi="Times New Roman" w:cs="Times New Roman"/>
          <w:bCs/>
          <w:noProof/>
          <w:color w:val="000000" w:themeColor="text1"/>
          <w:lang w:bidi="en-US"/>
        </w:rPr>
        <w:t>……………………………………………………………………………45</w:t>
      </w:r>
    </w:p>
    <w:p w:rsidR="00A76AFD" w:rsidRPr="00FB78F5"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FB78F5">
        <w:rPr>
          <w:rFonts w:ascii="Times New Roman" w:hAnsi="Times New Roman" w:cs="Times New Roman"/>
        </w:rPr>
        <w:t>Government expenditure per student, secondary (% of GDP per capita)</w:t>
      </w:r>
      <w:r>
        <w:rPr>
          <w:rFonts w:ascii="Times New Roman" w:hAnsi="Times New Roman" w:cs="Times New Roman"/>
        </w:rPr>
        <w:t xml:space="preserve"> ……………….….52</w:t>
      </w:r>
    </w:p>
    <w:p w:rsidR="00A76AFD" w:rsidRPr="005D59BC"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5D59BC">
        <w:rPr>
          <w:rFonts w:ascii="Times New Roman" w:hAnsi="Times New Roman" w:cs="Times New Roman"/>
        </w:rPr>
        <w:t>Bangladesh 2041 – Path to a developed country with physical capital accumulation and technological progress</w:t>
      </w:r>
      <w:r>
        <w:rPr>
          <w:rFonts w:ascii="Times New Roman" w:hAnsi="Times New Roman" w:cs="Times New Roman"/>
        </w:rPr>
        <w:t>……………………………………………………………………….57</w:t>
      </w:r>
    </w:p>
    <w:p w:rsidR="00A76AFD" w:rsidRPr="005D59BC"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5D59BC">
        <w:rPr>
          <w:rFonts w:ascii="Times New Roman" w:hAnsi="Times New Roman" w:cs="Times New Roman"/>
        </w:rPr>
        <w:t>CPIA building human resources rating</w:t>
      </w:r>
      <w:r>
        <w:rPr>
          <w:rFonts w:ascii="Times New Roman" w:hAnsi="Times New Roman" w:cs="Times New Roman"/>
        </w:rPr>
        <w:t>………………………………………………………58</w:t>
      </w:r>
    </w:p>
    <w:p w:rsidR="00A76AFD" w:rsidRPr="00BC24B7"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BC24B7">
        <w:rPr>
          <w:rFonts w:ascii="Times New Roman" w:hAnsi="Times New Roman" w:cs="Times New Roman"/>
        </w:rPr>
        <w:t>Government expenditure on education, total (as % of GDP)</w:t>
      </w:r>
      <w:r>
        <w:rPr>
          <w:rFonts w:ascii="Times New Roman" w:hAnsi="Times New Roman" w:cs="Times New Roman"/>
        </w:rPr>
        <w:t xml:space="preserve"> ……………………………….58</w:t>
      </w:r>
    </w:p>
    <w:p w:rsidR="00A76AFD" w:rsidRPr="00E31A70"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E31A70">
        <w:rPr>
          <w:rFonts w:ascii="Times New Roman" w:hAnsi="Times New Roman" w:cs="Times New Roman"/>
        </w:rPr>
        <w:t>GDP Growth and skill development</w:t>
      </w:r>
      <w:r>
        <w:rPr>
          <w:rFonts w:ascii="Times New Roman" w:hAnsi="Times New Roman" w:cs="Times New Roman"/>
        </w:rPr>
        <w:t>…………………………………………………………60</w:t>
      </w:r>
    </w:p>
    <w:p w:rsidR="00A76AFD" w:rsidRPr="00CA39A6"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CA39A6">
        <w:rPr>
          <w:rFonts w:ascii="Times New Roman" w:hAnsi="Times New Roman" w:cs="Times New Roman"/>
          <w:color w:val="000000" w:themeColor="text1"/>
        </w:rPr>
        <w:t>Impact of high-level skill development on growth</w:t>
      </w:r>
      <w:r>
        <w:rPr>
          <w:rFonts w:ascii="Times New Roman" w:hAnsi="Times New Roman" w:cs="Times New Roman"/>
          <w:color w:val="000000" w:themeColor="text1"/>
        </w:rPr>
        <w:t>……………………………………….….64</w:t>
      </w:r>
    </w:p>
    <w:p w:rsidR="00A76AFD" w:rsidRPr="00C907F4"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973D3D">
        <w:rPr>
          <w:rFonts w:ascii="Times New Roman" w:hAnsi="Times New Roman" w:cs="Times New Roman"/>
          <w:bCs/>
        </w:rPr>
        <w:t>Shifting production possibility frontier with EDP</w:t>
      </w:r>
      <w:r>
        <w:rPr>
          <w:rFonts w:ascii="Times New Roman" w:hAnsi="Times New Roman" w:cs="Times New Roman"/>
          <w:bCs/>
        </w:rPr>
        <w:t>…………………………………………...65</w:t>
      </w:r>
    </w:p>
    <w:p w:rsidR="00A76AFD" w:rsidRPr="00C907F4"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C907F4">
        <w:rPr>
          <w:rFonts w:ascii="Times New Roman" w:hAnsi="Times New Roman" w:cs="Times New Roman"/>
          <w:bCs/>
        </w:rPr>
        <w:t>Approach to the development of new world class industrial leadership</w:t>
      </w:r>
      <w:r>
        <w:rPr>
          <w:rFonts w:ascii="Times New Roman" w:hAnsi="Times New Roman" w:cs="Times New Roman"/>
          <w:bCs/>
        </w:rPr>
        <w:t>…………………….66</w:t>
      </w:r>
    </w:p>
    <w:p w:rsidR="00A76AFD" w:rsidRPr="00BD2AC7"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C907F4">
        <w:rPr>
          <w:rFonts w:ascii="Times New Roman" w:hAnsi="Times New Roman" w:cs="Times New Roman"/>
          <w:color w:val="000000" w:themeColor="text1"/>
        </w:rPr>
        <w:t>The Problem: policy formulation and growth</w:t>
      </w:r>
      <w:r>
        <w:rPr>
          <w:rFonts w:ascii="Times New Roman" w:hAnsi="Times New Roman" w:cs="Times New Roman"/>
          <w:color w:val="000000" w:themeColor="text1"/>
        </w:rPr>
        <w:t>……………………………………………….67</w:t>
      </w:r>
    </w:p>
    <w:p w:rsidR="00A76AFD" w:rsidRPr="00B04149"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BD2AC7">
        <w:rPr>
          <w:rFonts w:ascii="Times New Roman" w:hAnsi="Times New Roman" w:cs="Times New Roman"/>
        </w:rPr>
        <w:t>Why is sound policy analysis important?</w:t>
      </w:r>
      <w:r>
        <w:rPr>
          <w:rFonts w:ascii="Times New Roman" w:hAnsi="Times New Roman" w:cs="Times New Roman"/>
        </w:rPr>
        <w:t>................................................................................69</w:t>
      </w:r>
    </w:p>
    <w:p w:rsidR="00A76AFD" w:rsidRPr="005A6654"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B04149">
        <w:rPr>
          <w:rFonts w:ascii="Times New Roman" w:hAnsi="Times New Roman" w:cs="Times New Roman"/>
        </w:rPr>
        <w:t>Develop, adapt and implement technology of the future</w:t>
      </w:r>
      <w:r>
        <w:rPr>
          <w:rFonts w:ascii="Times New Roman" w:hAnsi="Times New Roman" w:cs="Times New Roman"/>
        </w:rPr>
        <w:t>……………………………………70</w:t>
      </w:r>
    </w:p>
    <w:p w:rsidR="00A76AFD" w:rsidRPr="005A6654"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5A6654">
        <w:rPr>
          <w:rFonts w:ascii="Times New Roman" w:hAnsi="Times New Roman" w:cs="Times New Roman"/>
        </w:rPr>
        <w:t>IT Parks Development and Vision 2041</w:t>
      </w:r>
      <w:r>
        <w:rPr>
          <w:rFonts w:ascii="Times New Roman" w:hAnsi="Times New Roman" w:cs="Times New Roman"/>
        </w:rPr>
        <w:t>…………………………………………………….78</w:t>
      </w:r>
    </w:p>
    <w:p w:rsidR="00A76AFD" w:rsidRPr="000A51A3"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5A6654">
        <w:rPr>
          <w:rFonts w:ascii="Times New Roman" w:hAnsi="Times New Roman" w:cs="Times New Roman"/>
        </w:rPr>
        <w:t>IT Education and skill development in Bangladesh</w:t>
      </w:r>
      <w:r>
        <w:rPr>
          <w:rFonts w:ascii="Times New Roman" w:hAnsi="Times New Roman" w:cs="Times New Roman"/>
        </w:rPr>
        <w:t>…………………………………………79</w:t>
      </w:r>
    </w:p>
    <w:p w:rsidR="00A76AFD" w:rsidRPr="000A51A3"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0A51A3">
        <w:rPr>
          <w:rFonts w:ascii="Times New Roman" w:eastAsiaTheme="minorEastAsia" w:hAnsi="Times New Roman" w:cs="Times New Roman"/>
          <w:bCs/>
          <w:noProof/>
          <w:color w:val="000000" w:themeColor="text1"/>
          <w:lang w:bidi="en-US"/>
        </w:rPr>
        <w:t>Governance effectiveness 2015</w:t>
      </w:r>
      <w:r>
        <w:rPr>
          <w:rFonts w:ascii="Times New Roman" w:eastAsiaTheme="minorEastAsia" w:hAnsi="Times New Roman" w:cs="Times New Roman"/>
          <w:bCs/>
          <w:noProof/>
          <w:color w:val="000000" w:themeColor="text1"/>
          <w:lang w:bidi="en-US"/>
        </w:rPr>
        <w:t>……………………………………………………………...90</w:t>
      </w:r>
    </w:p>
    <w:p w:rsidR="00A76AFD" w:rsidRPr="00C80868"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696DB6">
        <w:rPr>
          <w:rFonts w:ascii="Times New Roman" w:eastAsiaTheme="minorEastAsia" w:hAnsi="Times New Roman" w:cs="Times New Roman"/>
          <w:bCs/>
          <w:noProof/>
          <w:color w:val="000000" w:themeColor="text1"/>
          <w:lang w:bidi="en-US"/>
        </w:rPr>
        <w:t>CPIA economic management cluster average for selected countries 2015</w:t>
      </w:r>
      <w:r>
        <w:rPr>
          <w:rFonts w:ascii="Times New Roman" w:eastAsiaTheme="minorEastAsia" w:hAnsi="Times New Roman" w:cs="Times New Roman"/>
          <w:bCs/>
          <w:noProof/>
          <w:color w:val="000000" w:themeColor="text1"/>
          <w:lang w:bidi="en-US"/>
        </w:rPr>
        <w:t>………………….92</w:t>
      </w:r>
    </w:p>
    <w:p w:rsidR="00A76AFD" w:rsidRPr="0057471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C80868">
        <w:rPr>
          <w:rFonts w:ascii="Times New Roman" w:eastAsiaTheme="minorEastAsia" w:hAnsi="Times New Roman" w:cs="Times New Roman"/>
          <w:bCs/>
          <w:noProof/>
          <w:color w:val="000000" w:themeColor="text1"/>
          <w:lang w:bidi="en-US"/>
        </w:rPr>
        <w:t>Colonial history and modern growth (5-year compound growth) performance</w:t>
      </w:r>
      <w:r>
        <w:rPr>
          <w:rFonts w:ascii="Times New Roman" w:eastAsiaTheme="minorEastAsia" w:hAnsi="Times New Roman" w:cs="Times New Roman"/>
          <w:bCs/>
          <w:noProof/>
          <w:color w:val="000000" w:themeColor="text1"/>
          <w:lang w:bidi="en-US"/>
        </w:rPr>
        <w:t>……………..93</w:t>
      </w:r>
    </w:p>
    <w:p w:rsidR="00A76AFD" w:rsidRPr="006133E0"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Pr>
          <w:rFonts w:ascii="Times New Roman" w:eastAsiaTheme="minorEastAsia" w:hAnsi="Times New Roman" w:cs="Times New Roman"/>
          <w:bCs/>
          <w:noProof/>
          <w:color w:val="000000" w:themeColor="text1"/>
          <w:lang w:bidi="en-US"/>
        </w:rPr>
        <w:t>Ciivl war and growth………………………………………………………………………...93</w:t>
      </w:r>
    </w:p>
    <w:p w:rsidR="00A76AFD" w:rsidRPr="006133E0"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6133E0">
        <w:rPr>
          <w:rFonts w:ascii="Times New Roman" w:eastAsiaTheme="minorEastAsia" w:hAnsi="Times New Roman" w:cs="Times New Roman"/>
          <w:bCs/>
          <w:noProof/>
          <w:color w:val="000000" w:themeColor="text1"/>
          <w:lang w:bidi="en-US"/>
        </w:rPr>
        <w:t>Number and % of countries by growth and strengthening of democratic institutions</w:t>
      </w:r>
      <w:r>
        <w:rPr>
          <w:rFonts w:ascii="Times New Roman" w:eastAsiaTheme="minorEastAsia" w:hAnsi="Times New Roman" w:cs="Times New Roman"/>
          <w:bCs/>
          <w:noProof/>
          <w:color w:val="000000" w:themeColor="text1"/>
          <w:lang w:bidi="en-US"/>
        </w:rPr>
        <w:t>………94</w:t>
      </w:r>
    </w:p>
    <w:p w:rsidR="00A76AFD" w:rsidRPr="006133E0"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6133E0">
        <w:rPr>
          <w:rFonts w:ascii="Times New Roman" w:hAnsi="Times New Roman" w:cs="Times New Roman"/>
        </w:rPr>
        <w:t>Country analysis by growth and global rights index</w:t>
      </w:r>
      <w:r>
        <w:rPr>
          <w:rFonts w:ascii="Times New Roman" w:hAnsi="Times New Roman" w:cs="Times New Roman"/>
        </w:rPr>
        <w:t>………………………………………...95</w:t>
      </w:r>
    </w:p>
    <w:p w:rsidR="00A76AFD" w:rsidRPr="000D42E9"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6133E0">
        <w:rPr>
          <w:rFonts w:ascii="Times New Roman" w:eastAsiaTheme="minorEastAsia" w:hAnsi="Times New Roman" w:cs="Times New Roman"/>
          <w:bCs/>
          <w:noProof/>
          <w:color w:val="000000" w:themeColor="text1"/>
          <w:lang w:bidi="en-US"/>
        </w:rPr>
        <w:t>ITUC Global rights index 2017</w:t>
      </w:r>
      <w:r>
        <w:rPr>
          <w:rFonts w:ascii="Times New Roman" w:eastAsiaTheme="minorEastAsia" w:hAnsi="Times New Roman" w:cs="Times New Roman"/>
          <w:bCs/>
          <w:noProof/>
          <w:color w:val="000000" w:themeColor="text1"/>
          <w:lang w:bidi="en-US"/>
        </w:rPr>
        <w:t>……………………………………………………………...95</w:t>
      </w:r>
    </w:p>
    <w:p w:rsidR="00A76AFD" w:rsidRPr="000D42E9"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0D42E9">
        <w:rPr>
          <w:rFonts w:ascii="Times New Roman" w:eastAsiaTheme="minorEastAsia" w:hAnsi="Times New Roman" w:cs="Times New Roman"/>
          <w:bCs/>
          <w:noProof/>
          <w:color w:val="000000" w:themeColor="text1"/>
          <w:lang w:bidi="en-US"/>
        </w:rPr>
        <w:t>Global Freedom score</w:t>
      </w:r>
      <w:r w:rsidRPr="000D42E9">
        <w:rPr>
          <w:rFonts w:ascii="Times New Roman" w:eastAsiaTheme="minorEastAsia" w:hAnsi="Times New Roman" w:cs="Times New Roman"/>
          <w:noProof/>
          <w:color w:val="000000" w:themeColor="text1"/>
          <w:lang w:bidi="en-US"/>
        </w:rPr>
        <w:t xml:space="preserve"> (1-100)</w:t>
      </w:r>
      <w:r>
        <w:rPr>
          <w:rFonts w:ascii="Times New Roman" w:eastAsiaTheme="minorEastAsia" w:hAnsi="Times New Roman" w:cs="Times New Roman"/>
          <w:noProof/>
          <w:color w:val="000000" w:themeColor="text1"/>
          <w:lang w:bidi="en-US"/>
        </w:rPr>
        <w:t>……………………………………………………………….96</w:t>
      </w:r>
    </w:p>
    <w:p w:rsidR="00A76AFD" w:rsidRPr="000D42E9"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0D42E9">
        <w:rPr>
          <w:rFonts w:ascii="Times New Roman" w:eastAsiaTheme="minorEastAsia" w:hAnsi="Times New Roman" w:cs="Times New Roman"/>
          <w:bCs/>
          <w:noProof/>
          <w:color w:val="000000" w:themeColor="text1"/>
          <w:lang w:bidi="en-US"/>
        </w:rPr>
        <w:t>Index of economic freedom 2017</w:t>
      </w:r>
      <w:r>
        <w:rPr>
          <w:rFonts w:ascii="Times New Roman" w:eastAsiaTheme="minorEastAsia" w:hAnsi="Times New Roman" w:cs="Times New Roman"/>
          <w:bCs/>
          <w:noProof/>
          <w:color w:val="000000" w:themeColor="text1"/>
          <w:lang w:bidi="en-US"/>
        </w:rPr>
        <w:t>……………………………………………………………96</w:t>
      </w:r>
    </w:p>
    <w:p w:rsidR="00A76AFD" w:rsidRPr="00DF075C"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0D42E9">
        <w:rPr>
          <w:rFonts w:ascii="Times New Roman" w:eastAsiaTheme="minorEastAsia" w:hAnsi="Times New Roman" w:cs="Times New Roman"/>
          <w:noProof/>
          <w:color w:val="000000" w:themeColor="text1"/>
          <w:lang w:bidi="en-US"/>
        </w:rPr>
        <w:t>Freedom score of Bangladesh and Comparator Countries 2016</w:t>
      </w:r>
      <w:r>
        <w:rPr>
          <w:rFonts w:ascii="Times New Roman" w:eastAsiaTheme="minorEastAsia" w:hAnsi="Times New Roman" w:cs="Times New Roman"/>
          <w:noProof/>
          <w:color w:val="000000" w:themeColor="text1"/>
          <w:lang w:bidi="en-US"/>
        </w:rPr>
        <w:t>…………………………….96</w:t>
      </w:r>
    </w:p>
    <w:p w:rsidR="00A76AFD" w:rsidRPr="00DF075C"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DF075C">
        <w:rPr>
          <w:rFonts w:ascii="Times New Roman" w:eastAsiaTheme="minorEastAsia" w:hAnsi="Times New Roman" w:cs="Times New Roman"/>
          <w:bCs/>
          <w:noProof/>
          <w:color w:val="000000" w:themeColor="text1"/>
          <w:lang w:bidi="en-US"/>
        </w:rPr>
        <w:t>Number and % of countries by growth and country risk level</w:t>
      </w:r>
      <w:r>
        <w:rPr>
          <w:rFonts w:ascii="Times New Roman" w:eastAsiaTheme="minorEastAsia" w:hAnsi="Times New Roman" w:cs="Times New Roman"/>
          <w:bCs/>
          <w:noProof/>
          <w:color w:val="000000" w:themeColor="text1"/>
          <w:lang w:bidi="en-US"/>
        </w:rPr>
        <w:t>………………………………97</w:t>
      </w:r>
    </w:p>
    <w:p w:rsidR="00A76AFD" w:rsidRPr="004626F3"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DF075C">
        <w:rPr>
          <w:rFonts w:ascii="Times New Roman" w:eastAsiaTheme="minorEastAsia" w:hAnsi="Times New Roman" w:cs="Times New Roman"/>
          <w:bCs/>
          <w:noProof/>
          <w:color w:val="000000" w:themeColor="text1"/>
          <w:lang w:bidi="en-US"/>
        </w:rPr>
        <w:t>Country analysis by growth and structural reforms</w:t>
      </w:r>
      <w:r>
        <w:rPr>
          <w:rFonts w:ascii="Times New Roman" w:eastAsiaTheme="minorEastAsia" w:hAnsi="Times New Roman" w:cs="Times New Roman"/>
          <w:bCs/>
          <w:noProof/>
          <w:color w:val="000000" w:themeColor="text1"/>
          <w:lang w:bidi="en-US"/>
        </w:rPr>
        <w:t>………………………………………….98</w:t>
      </w:r>
    </w:p>
    <w:p w:rsidR="00A76AFD" w:rsidRPr="00670EB7"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4626F3">
        <w:rPr>
          <w:rFonts w:ascii="Times New Roman" w:eastAsiaTheme="minorEastAsia" w:hAnsi="Times New Roman" w:cs="Times New Roman"/>
          <w:noProof/>
          <w:color w:val="000000" w:themeColor="text1"/>
          <w:lang w:bidi="en-US"/>
        </w:rPr>
        <w:lastRenderedPageBreak/>
        <w:t>Country analysis by growth, reforms and aspiration</w:t>
      </w:r>
      <w:r>
        <w:rPr>
          <w:rFonts w:ascii="Times New Roman" w:eastAsiaTheme="minorEastAsia" w:hAnsi="Times New Roman" w:cs="Times New Roman"/>
          <w:noProof/>
          <w:color w:val="000000" w:themeColor="text1"/>
          <w:lang w:bidi="en-US"/>
        </w:rPr>
        <w:t>………………………………………...98</w:t>
      </w:r>
    </w:p>
    <w:p w:rsidR="00A76AFD" w:rsidRP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670EB7">
        <w:rPr>
          <w:rFonts w:ascii="Times New Roman" w:eastAsiaTheme="minorEastAsia" w:hAnsi="Times New Roman" w:cs="Times New Roman"/>
          <w:bCs/>
          <w:noProof/>
          <w:color w:val="000000" w:themeColor="text1"/>
          <w:lang w:bidi="en-US"/>
        </w:rPr>
        <w:t>Investor environment and growth</w:t>
      </w:r>
      <w:r>
        <w:rPr>
          <w:rFonts w:ascii="Times New Roman" w:eastAsiaTheme="minorEastAsia" w:hAnsi="Times New Roman" w:cs="Times New Roman"/>
          <w:bCs/>
          <w:noProof/>
          <w:color w:val="000000" w:themeColor="text1"/>
          <w:lang w:bidi="en-US"/>
        </w:rPr>
        <w:t>……………………………………………………………99</w:t>
      </w:r>
    </w:p>
    <w:p w:rsidR="00670EB7" w:rsidRPr="00A76AFD" w:rsidRDefault="00A76AFD" w:rsidP="00A76AFD">
      <w:pPr>
        <w:pStyle w:val="ListParagraph"/>
        <w:numPr>
          <w:ilvl w:val="0"/>
          <w:numId w:val="15"/>
        </w:numPr>
        <w:rPr>
          <w:rFonts w:ascii="Times New Roman" w:eastAsiaTheme="minorEastAsia" w:hAnsi="Times New Roman" w:cs="Times New Roman"/>
          <w:noProof/>
          <w:color w:val="000000" w:themeColor="text1"/>
          <w:lang w:val="en-SG" w:bidi="en-US"/>
        </w:rPr>
      </w:pPr>
      <w:r w:rsidRPr="00A76AFD">
        <w:rPr>
          <w:rFonts w:ascii="Times New Roman" w:eastAsiaTheme="minorEastAsia" w:hAnsi="Times New Roman" w:cs="Times New Roman"/>
          <w:bCs/>
          <w:noProof/>
          <w:color w:val="000000" w:themeColor="text1"/>
          <w:lang w:bidi="en-US"/>
        </w:rPr>
        <w:t>Property rights index - Bangladesh compared to continent………………………………...107</w:t>
      </w:r>
    </w:p>
    <w:p w:rsidR="009D115A" w:rsidRDefault="009D115A" w:rsidP="00BD2AC7">
      <w:pPr>
        <w:pStyle w:val="Title"/>
        <w:rPr>
          <w:b/>
          <w:sz w:val="40"/>
          <w:szCs w:val="40"/>
        </w:rPr>
        <w:sectPr w:rsidR="009D115A" w:rsidSect="00E17547">
          <w:footerReference w:type="default" r:id="rId21"/>
          <w:footerReference w:type="first" r:id="rId22"/>
          <w:pgSz w:w="12240" w:h="15840"/>
          <w:pgMar w:top="1440" w:right="1440" w:bottom="1440" w:left="1440" w:header="720" w:footer="720" w:gutter="0"/>
          <w:pgNumType w:fmt="lowerRoman"/>
          <w:cols w:space="720"/>
          <w:titlePg/>
          <w:docGrid w:linePitch="360"/>
        </w:sectPr>
      </w:pPr>
    </w:p>
    <w:p w:rsidR="003A6035" w:rsidRPr="0027428A" w:rsidRDefault="0057034C" w:rsidP="0027428A">
      <w:pPr>
        <w:pStyle w:val="Title"/>
        <w:rPr>
          <w:b/>
          <w:sz w:val="40"/>
          <w:szCs w:val="40"/>
        </w:rPr>
      </w:pPr>
      <w:r w:rsidRPr="0027428A">
        <w:rPr>
          <w:b/>
          <w:sz w:val="40"/>
          <w:szCs w:val="40"/>
        </w:rPr>
        <w:lastRenderedPageBreak/>
        <w:t>Good governance, democratization, decentralization of power and capacity building for institutions compatible with a transforming economy</w:t>
      </w:r>
    </w:p>
    <w:p w:rsidR="0057034C" w:rsidRPr="0027428A" w:rsidRDefault="00C212DD" w:rsidP="00397FED">
      <w:pPr>
        <w:pStyle w:val="ListParagraph"/>
        <w:numPr>
          <w:ilvl w:val="0"/>
          <w:numId w:val="1"/>
        </w:numPr>
        <w:spacing w:before="0" w:after="200" w:line="276" w:lineRule="auto"/>
        <w:contextualSpacing w:val="0"/>
        <w:rPr>
          <w:rFonts w:ascii="Times New Roman" w:hAnsi="Times New Roman" w:cs="Times New Roman"/>
          <w:b/>
        </w:rPr>
      </w:pPr>
      <w:r w:rsidRPr="006C0984">
        <w:rPr>
          <w:rFonts w:ascii="Times New Roman" w:hAnsi="Times New Roman" w:cs="Times New Roman"/>
          <w:b/>
          <w:caps/>
          <w:color w:val="2B5A6F"/>
        </w:rPr>
        <w:t>Overview</w:t>
      </w:r>
    </w:p>
    <w:p w:rsidR="006244FE" w:rsidRPr="00B2074B" w:rsidRDefault="006244FE" w:rsidP="006244FE">
      <w:pPr>
        <w:spacing w:before="0" w:after="200" w:line="276" w:lineRule="auto"/>
      </w:pPr>
      <w:r w:rsidRPr="00B2074B">
        <w:t>The Father of the nation declared on 7</w:t>
      </w:r>
      <w:r w:rsidRPr="00B2074B">
        <w:rPr>
          <w:vertAlign w:val="superscript"/>
        </w:rPr>
        <w:t>th</w:t>
      </w:r>
      <w:r w:rsidRPr="00B2074B">
        <w:t xml:space="preserve"> March 1971, “…</w:t>
      </w:r>
      <w:proofErr w:type="spellStart"/>
      <w:r w:rsidRPr="00B2074B">
        <w:t>Ebarer</w:t>
      </w:r>
      <w:proofErr w:type="spellEnd"/>
      <w:r w:rsidRPr="00B2074B">
        <w:t xml:space="preserve"> Sangram </w:t>
      </w:r>
      <w:proofErr w:type="spellStart"/>
      <w:r w:rsidRPr="00B2074B">
        <w:t>Muktir</w:t>
      </w:r>
      <w:proofErr w:type="spellEnd"/>
      <w:r w:rsidRPr="00B2074B">
        <w:t xml:space="preserve"> Sangram, </w:t>
      </w:r>
      <w:proofErr w:type="spellStart"/>
      <w:r w:rsidRPr="00B2074B">
        <w:t>Ebarer</w:t>
      </w:r>
      <w:proofErr w:type="spellEnd"/>
      <w:r w:rsidRPr="00B2074B">
        <w:t xml:space="preserve"> Sangram </w:t>
      </w:r>
      <w:proofErr w:type="spellStart"/>
      <w:r w:rsidRPr="00B2074B">
        <w:t>Shadhinotar</w:t>
      </w:r>
      <w:proofErr w:type="spellEnd"/>
      <w:r w:rsidRPr="00B2074B">
        <w:t xml:space="preserve"> Sangram. …”. For all practical purposes, from that moment onwards Bangladesh had declared its independence and became an independent sovereign state founded in principles of democracy. This declaration came in front of millions of Bangladeshis in Dhaka, around the country and around the world. The formal takeover of power came on December 16, 1971 when the Bangladesh </w:t>
      </w:r>
      <w:r w:rsidRPr="00B2074B">
        <w:rPr>
          <w:i/>
        </w:rPr>
        <w:t xml:space="preserve">Mukti </w:t>
      </w:r>
      <w:proofErr w:type="spellStart"/>
      <w:r w:rsidRPr="00B2074B">
        <w:rPr>
          <w:i/>
        </w:rPr>
        <w:t>Bahini</w:t>
      </w:r>
      <w:proofErr w:type="spellEnd"/>
      <w:r w:rsidRPr="00B2074B">
        <w:t xml:space="preserve"> comprehensively defeated the infamous occupation armed forces of Pakistan. The War of Liberation and the victory that followed was an act of good governance as the government of the day guided the nation through trying times in a transparent, accountable and incorruptible way; it was a democratic act, as people’s aspiration was imbued by a democratic spirit which led to an overwhelming verdict in the 1970 general election to rule their own destiny on the basis of six points later expanded to full independence; it was an act of successful decentralization of power as the civilian authority and the </w:t>
      </w:r>
      <w:r w:rsidRPr="00B2074B">
        <w:rPr>
          <w:i/>
        </w:rPr>
        <w:t xml:space="preserve">Mukti </w:t>
      </w:r>
      <w:proofErr w:type="spellStart"/>
      <w:r w:rsidRPr="00B2074B">
        <w:rPr>
          <w:i/>
        </w:rPr>
        <w:t>Bahini</w:t>
      </w:r>
      <w:proofErr w:type="spellEnd"/>
      <w:r w:rsidRPr="00B2074B">
        <w:t xml:space="preserve"> sector command structure fought side by side with the people of Bangladesh in a decentralized but coordinated way to cause the demise of the Pakistani army; and finally, it was an act of capacity building from scratch for institutions compatible with a transforming post-liberation economy. No wonder, a fully functioning and operational government and economy was in place in virtually no time following liberation to carry on the task of nation building. </w:t>
      </w:r>
    </w:p>
    <w:p w:rsidR="00FF02AA" w:rsidRDefault="006244FE" w:rsidP="006244FE">
      <w:pPr>
        <w:spacing w:before="0" w:after="200" w:line="276" w:lineRule="auto"/>
        <w:rPr>
          <w:rFonts w:eastAsia="Times New Roman"/>
          <w:color w:val="000000"/>
        </w:rPr>
      </w:pPr>
      <w:r w:rsidRPr="00B2074B">
        <w:rPr>
          <w:rFonts w:eastAsia="Times New Roman"/>
          <w:color w:val="000000"/>
        </w:rPr>
        <w:t>Today’s Bangladesh is defined by institutional weaknesses and gaps. Vision 2041 will define Bangladesh in terms of institutional maturity and leadership giving credence to the statement that making impossible possible is what Bangladesh is all about and Bangladesh is good at. Bangladesh needs something big to lift its spirit. The SPPB is the right dose of medicine at the right time.</w:t>
      </w:r>
    </w:p>
    <w:p w:rsidR="00FF02AA" w:rsidRDefault="00FF02AA" w:rsidP="00FF02AA">
      <w:pPr>
        <w:spacing w:line="276" w:lineRule="auto"/>
      </w:pPr>
      <w:r>
        <w:t xml:space="preserve">The challenge is to devise technical means to enhance the capital base with population growing as projected and land being fixed and raise factor productivity while opening the economy for export led growth in conjunction with the expansion of domestic demand support by population, income and urban growth. More important is the challenge of institutional transformation to go along with socioeconomic transformation. </w:t>
      </w:r>
    </w:p>
    <w:p w:rsidR="00FF02AA" w:rsidRDefault="00FF02AA" w:rsidP="00FF02AA">
      <w:pPr>
        <w:spacing w:before="0" w:after="200" w:line="276" w:lineRule="auto"/>
      </w:pPr>
      <w:r w:rsidRPr="00B2074B">
        <w:t xml:space="preserve">The issues of governance, democratization, decentralization and institution building that Bangladesh is confronted with today are the results of wrong turns at various points of the nation’s history. With quality leadership that Bangladesh has, faith in democracy that </w:t>
      </w:r>
      <w:r w:rsidRPr="00B2074B">
        <w:lastRenderedPageBreak/>
        <w:t>Bangladesh carries under the constitutional umbrella and above all the untiring aspiration of people to do better against all odds, the shortcomings will be on the mend. Patience and perseverance aided by sound polices and institutions will win the day with the Second Perspective Plan of Bangladesh (SPPB) providing the much needed framework for reaching the bold target of attaining a developed country status by 2041 with a per capita income of $12,000 as laid down by the Honorable Prime Minister.</w:t>
      </w:r>
    </w:p>
    <w:p w:rsidR="00FF02AA" w:rsidRDefault="00FF02AA" w:rsidP="00FF02AA">
      <w:pPr>
        <w:spacing w:before="0" w:after="200" w:line="276" w:lineRule="auto"/>
        <w:rPr>
          <w:rFonts w:eastAsia="Times New Roman"/>
          <w:color w:val="000000"/>
        </w:rPr>
      </w:pPr>
      <w:r>
        <w:t xml:space="preserve">The bold Vision 2041 laid out by the honorable Prime Minister will require bold policy measures dealing with issues and challenges for institutions of good governance, democratization, decentralization of power and </w:t>
      </w:r>
      <w:r w:rsidRPr="002A10FE">
        <w:rPr>
          <w:bCs/>
          <w:color w:val="000000"/>
        </w:rPr>
        <w:t>capacity building compatible with a transforming economy</w:t>
      </w:r>
      <w:r>
        <w:t>.</w:t>
      </w:r>
      <w:r w:rsidR="006244FE" w:rsidRPr="00B2074B">
        <w:rPr>
          <w:rFonts w:eastAsia="Times New Roman"/>
          <w:color w:val="000000"/>
        </w:rPr>
        <w:t xml:space="preserve"> </w:t>
      </w:r>
    </w:p>
    <w:p w:rsidR="00FF02AA" w:rsidRPr="003762E0" w:rsidRDefault="00FF02AA" w:rsidP="00FF02AA">
      <w:pPr>
        <w:spacing w:before="0" w:after="200" w:line="276" w:lineRule="auto"/>
        <w:rPr>
          <w:color w:val="000000"/>
        </w:rPr>
      </w:pPr>
      <w:r w:rsidRPr="003762E0">
        <w:rPr>
          <w:bCs/>
          <w:color w:val="000000"/>
        </w:rPr>
        <w:t>Good governance</w:t>
      </w:r>
      <w:r w:rsidRPr="003762E0">
        <w:rPr>
          <w:color w:val="000000"/>
        </w:rPr>
        <w:t xml:space="preserve"> is the launch pad for longer term perspective development of Bangladesh. </w:t>
      </w:r>
    </w:p>
    <w:p w:rsidR="00FF02AA" w:rsidRPr="003762E0" w:rsidRDefault="00FF02AA" w:rsidP="00FF02AA">
      <w:pPr>
        <w:spacing w:before="0" w:after="200" w:line="276" w:lineRule="auto"/>
        <w:rPr>
          <w:color w:val="000000"/>
        </w:rPr>
      </w:pPr>
      <w:r w:rsidRPr="003762E0">
        <w:rPr>
          <w:bCs/>
          <w:color w:val="000000"/>
        </w:rPr>
        <w:t xml:space="preserve">Democratization </w:t>
      </w:r>
      <w:r w:rsidRPr="003762E0">
        <w:rPr>
          <w:color w:val="000000"/>
        </w:rPr>
        <w:t xml:space="preserve">is a process which can be slow, flawed, hybrid, full and pluralistic. Bangladesh will strive for pluralistic democracy. </w:t>
      </w:r>
    </w:p>
    <w:p w:rsidR="006244FE" w:rsidRPr="003762E0" w:rsidRDefault="00FF02AA" w:rsidP="00FF02AA">
      <w:pPr>
        <w:spacing w:before="0" w:after="200" w:line="276" w:lineRule="auto"/>
        <w:rPr>
          <w:color w:val="000000"/>
        </w:rPr>
      </w:pPr>
      <w:r w:rsidRPr="003762E0">
        <w:rPr>
          <w:bCs/>
          <w:color w:val="000000" w:themeColor="text1"/>
        </w:rPr>
        <w:t xml:space="preserve">Decentralization of power </w:t>
      </w:r>
      <w:r w:rsidRPr="003762E0">
        <w:rPr>
          <w:color w:val="000000" w:themeColor="text1"/>
        </w:rPr>
        <w:t xml:space="preserve">is paramount to pluralistic democracy and good governance. Bangladesh cannot go forward and be a developed country by 2041 as desired by the Honorable Prime Minister unless administrative, financial (including revenue) and political power is decentralized </w:t>
      </w:r>
      <w:r w:rsidRPr="003762E0">
        <w:rPr>
          <w:color w:val="000000"/>
        </w:rPr>
        <w:t>to the grassroots level, more formally to the lowest hierarchical level of government structure.</w:t>
      </w:r>
    </w:p>
    <w:p w:rsidR="00FF02AA" w:rsidRDefault="00FF02AA" w:rsidP="00FF02AA">
      <w:pPr>
        <w:spacing w:before="0" w:after="200" w:line="276" w:lineRule="auto"/>
        <w:rPr>
          <w:color w:val="000000"/>
        </w:rPr>
      </w:pPr>
      <w:r w:rsidRPr="003762E0">
        <w:rPr>
          <w:bCs/>
          <w:color w:val="000000"/>
        </w:rPr>
        <w:t>Capacity building for institutions</w:t>
      </w:r>
      <w:r w:rsidRPr="00B2074B">
        <w:rPr>
          <w:b/>
          <w:bCs/>
          <w:color w:val="000000"/>
        </w:rPr>
        <w:t xml:space="preserve"> </w:t>
      </w:r>
      <w:r w:rsidRPr="00B2074B">
        <w:rPr>
          <w:bCs/>
          <w:color w:val="000000"/>
        </w:rPr>
        <w:t>compatible with a transforming economy is important for</w:t>
      </w:r>
      <w:r w:rsidRPr="00B2074B">
        <w:rPr>
          <w:b/>
          <w:bCs/>
          <w:color w:val="000000"/>
        </w:rPr>
        <w:t xml:space="preserve"> </w:t>
      </w:r>
      <w:r w:rsidRPr="00B2074B">
        <w:rPr>
          <w:color w:val="000000"/>
        </w:rPr>
        <w:t>pluralistic democracy, decentralization of power and good governance. The critical elements are: right type of institutions for right task, strengthening of institutions to function effectively in delivering assigned tasks, developing capacity to manage institutional transition during socioeconomic transformation and finally, making sure that institutions remain dynamic not trapped in mediocrity and conformity.</w:t>
      </w:r>
    </w:p>
    <w:p w:rsidR="00F77DF4" w:rsidRPr="005C6FC5" w:rsidRDefault="00F77DF4" w:rsidP="00FF02AA">
      <w:pPr>
        <w:spacing w:before="0" w:after="200" w:line="276" w:lineRule="auto"/>
        <w:rPr>
          <w:rFonts w:eastAsia="Times New Roman"/>
          <w:color w:val="000000"/>
        </w:rPr>
      </w:pPr>
      <w:r>
        <w:rPr>
          <w:color w:val="000000"/>
        </w:rPr>
        <w:t xml:space="preserve">This paper will examine the role of institutions in Bangladesh’s road to 2041 in terms of measurable targets, analyze issues and challenges related to the targets and </w:t>
      </w:r>
      <w:r w:rsidR="005C6FC5">
        <w:rPr>
          <w:color w:val="000000"/>
        </w:rPr>
        <w:t xml:space="preserve">discuss strategies </w:t>
      </w:r>
      <w:r w:rsidR="005C6FC5" w:rsidRPr="005C6FC5">
        <w:rPr>
          <w:rFonts w:eastAsia="Times New Roman"/>
          <w:color w:val="000000"/>
        </w:rPr>
        <w:t>to attain the targets overcoming the challenges</w:t>
      </w:r>
      <w:r w:rsidR="005C6FC5">
        <w:rPr>
          <w:rFonts w:eastAsia="Times New Roman"/>
          <w:color w:val="000000"/>
        </w:rPr>
        <w:t>.</w:t>
      </w:r>
      <w:r w:rsidR="005C6FC5" w:rsidRPr="005C6FC5">
        <w:rPr>
          <w:color w:val="000000"/>
        </w:rPr>
        <w:t xml:space="preserve"> </w:t>
      </w:r>
    </w:p>
    <w:p w:rsidR="002B67C2" w:rsidRPr="002B67C2" w:rsidRDefault="00B63CA5" w:rsidP="00397FED">
      <w:pPr>
        <w:pStyle w:val="ListParagraph"/>
        <w:numPr>
          <w:ilvl w:val="0"/>
          <w:numId w:val="1"/>
        </w:numPr>
        <w:spacing w:before="0" w:after="200" w:line="276" w:lineRule="auto"/>
        <w:contextualSpacing w:val="0"/>
        <w:rPr>
          <w:rFonts w:ascii="Times New Roman" w:hAnsi="Times New Roman" w:cs="Times New Roman"/>
          <w:bCs/>
          <w:color w:val="000000"/>
        </w:rPr>
      </w:pPr>
      <w:r w:rsidRPr="00CF3ED5">
        <w:rPr>
          <w:rFonts w:ascii="Times New Roman" w:hAnsi="Times New Roman" w:cs="Times New Roman"/>
          <w:b/>
          <w:color w:val="365F91" w:themeColor="accent1" w:themeShade="BF"/>
        </w:rPr>
        <w:t>INTRODUCTION</w:t>
      </w:r>
    </w:p>
    <w:p w:rsidR="002B67C2" w:rsidRDefault="002B67C2" w:rsidP="002B67C2">
      <w:pPr>
        <w:spacing w:before="0" w:after="200" w:line="276" w:lineRule="auto"/>
      </w:pPr>
      <w:r>
        <w:rPr>
          <w:rFonts w:eastAsia="Times New Roman"/>
          <w:color w:val="000000"/>
        </w:rPr>
        <w:t>The Government of Bangladesh is in the process of formulating the Second Perspective Plan of Bangladesh (SPPB) covering the period 20</w:t>
      </w:r>
      <w:r w:rsidR="00FB03E1">
        <w:rPr>
          <w:rFonts w:eastAsia="Times New Roman"/>
          <w:color w:val="000000"/>
        </w:rPr>
        <w:t>21</w:t>
      </w:r>
      <w:r>
        <w:rPr>
          <w:rFonts w:eastAsia="Times New Roman"/>
          <w:color w:val="000000"/>
        </w:rPr>
        <w:t xml:space="preserve">-2041. </w:t>
      </w:r>
      <w:r>
        <w:t xml:space="preserve">Bangladesh is at crossroads of its development journey. Bangladesh may by default continue on a relatively ‘low-level equilibrium growth path trap’ oscillating in a band between 7% annual growth on the high and 5% on the low. This will happen with continuation of current policies and institutions. Alternatively, Bangladesh could very well escape the ‘low-level equilibrium growth path trap’ and accelerate asymptotically towards a ‘higher-level equilibrium 10-11% annual growth path’ which will take </w:t>
      </w:r>
      <w:r>
        <w:lastRenderedPageBreak/>
        <w:t xml:space="preserve">it to a per capita income of $12,000 by 2041 as declared recently (June 20, 2017) by the honorable Prime Minister and possibly exceed $20,000 in 2050 both at today’s prices. </w:t>
      </w:r>
    </w:p>
    <w:p w:rsidR="002B67C2" w:rsidRDefault="002B67C2" w:rsidP="00BA5159">
      <w:pPr>
        <w:spacing w:before="0" w:after="200" w:line="276" w:lineRule="auto"/>
      </w:pPr>
      <w:r>
        <w:t xml:space="preserve">Given the 2041 per capita income target, one would have to </w:t>
      </w:r>
      <w:r w:rsidRPr="00E3656A">
        <w:rPr>
          <w:rFonts w:eastAsia="Times New Roman"/>
          <w:color w:val="000000"/>
        </w:rPr>
        <w:t>work backwards to spell out policy, strategic</w:t>
      </w:r>
      <w:r>
        <w:rPr>
          <w:rFonts w:eastAsia="Times New Roman"/>
          <w:color w:val="000000"/>
        </w:rPr>
        <w:t>, institutional</w:t>
      </w:r>
      <w:r w:rsidRPr="00E3656A">
        <w:rPr>
          <w:rFonts w:eastAsia="Times New Roman"/>
          <w:color w:val="000000"/>
        </w:rPr>
        <w:t xml:space="preserve"> and sectoral implications.</w:t>
      </w:r>
      <w:r w:rsidRPr="002A10FE">
        <w:t xml:space="preserve"> </w:t>
      </w:r>
      <w:r>
        <w:t>Since a nation’s life cycle clock does not stop at 2041, the SPPB would of necessity have to present a vision, however sketchy it might be, of 2050 and the turn of century in 2100.</w:t>
      </w:r>
    </w:p>
    <w:p w:rsidR="009762C0" w:rsidRDefault="002B67C2" w:rsidP="002B67C2">
      <w:pPr>
        <w:spacing w:before="0" w:after="200" w:line="276" w:lineRule="auto"/>
        <w:rPr>
          <w:rFonts w:eastAsia="Times New Roman"/>
          <w:color w:val="000000"/>
        </w:rPr>
      </w:pPr>
      <w:r>
        <w:rPr>
          <w:rFonts w:eastAsia="Times New Roman"/>
          <w:color w:val="000000"/>
        </w:rPr>
        <w:t xml:space="preserve">The </w:t>
      </w:r>
      <w:r w:rsidRPr="00E3656A">
        <w:rPr>
          <w:rFonts w:eastAsia="Times New Roman"/>
          <w:color w:val="000000"/>
        </w:rPr>
        <w:t xml:space="preserve">SPPB </w:t>
      </w:r>
      <w:r>
        <w:rPr>
          <w:rFonts w:eastAsia="Times New Roman"/>
          <w:color w:val="000000"/>
        </w:rPr>
        <w:t xml:space="preserve">is first and foremost </w:t>
      </w:r>
      <w:r w:rsidRPr="00E3656A">
        <w:rPr>
          <w:rFonts w:eastAsia="Times New Roman"/>
          <w:color w:val="000000"/>
        </w:rPr>
        <w:t xml:space="preserve">a vision statement. </w:t>
      </w:r>
      <w:r w:rsidRPr="00CC2428">
        <w:rPr>
          <w:rFonts w:eastAsia="Times New Roman"/>
          <w:color w:val="000000"/>
        </w:rPr>
        <w:t xml:space="preserve">Vision 2041 </w:t>
      </w:r>
      <w:r>
        <w:rPr>
          <w:rFonts w:eastAsia="Times New Roman"/>
          <w:color w:val="000000"/>
        </w:rPr>
        <w:t xml:space="preserve">is in principle </w:t>
      </w:r>
      <w:r w:rsidRPr="003762E0">
        <w:rPr>
          <w:rFonts w:eastAsia="Times New Roman"/>
          <w:color w:val="000000"/>
        </w:rPr>
        <w:t>a </w:t>
      </w:r>
      <w:r w:rsidRPr="003762E0">
        <w:rPr>
          <w:rFonts w:eastAsia="Times New Roman"/>
          <w:bCs/>
          <w:color w:val="000000"/>
        </w:rPr>
        <w:t>political manifesto</w:t>
      </w:r>
      <w:r w:rsidRPr="003762E0">
        <w:rPr>
          <w:rFonts w:eastAsia="Times New Roman"/>
          <w:color w:val="000000"/>
        </w:rPr>
        <w:t> reflecting quality of leadership and aspiration of </w:t>
      </w:r>
      <w:r w:rsidRPr="003762E0">
        <w:rPr>
          <w:rFonts w:eastAsia="Times New Roman"/>
          <w:bCs/>
          <w:color w:val="000000"/>
        </w:rPr>
        <w:t>all</w:t>
      </w:r>
      <w:r w:rsidRPr="003762E0">
        <w:rPr>
          <w:rFonts w:eastAsia="Times New Roman"/>
          <w:color w:val="000000"/>
        </w:rPr>
        <w:t> Bangladeshis. </w:t>
      </w:r>
      <w:r w:rsidRPr="003762E0">
        <w:rPr>
          <w:rFonts w:eastAsia="Times New Roman"/>
          <w:iCs/>
          <w:color w:val="000000"/>
        </w:rPr>
        <w:t xml:space="preserve"> </w:t>
      </w:r>
      <w:r w:rsidRPr="003762E0">
        <w:rPr>
          <w:rFonts w:eastAsia="Times New Roman"/>
          <w:color w:val="000000"/>
        </w:rPr>
        <w:t>T</w:t>
      </w:r>
      <w:r w:rsidRPr="00CC2428">
        <w:rPr>
          <w:rFonts w:eastAsia="Times New Roman"/>
          <w:color w:val="000000"/>
        </w:rPr>
        <w:t>he</w:t>
      </w:r>
      <w:r w:rsidRPr="00E3656A">
        <w:rPr>
          <w:rFonts w:eastAsia="Times New Roman"/>
          <w:color w:val="000000"/>
        </w:rPr>
        <w:t xml:space="preserve"> </w:t>
      </w:r>
      <w:r>
        <w:rPr>
          <w:rFonts w:eastAsia="Times New Roman"/>
          <w:color w:val="000000"/>
        </w:rPr>
        <w:t>manifesto</w:t>
      </w:r>
      <w:r w:rsidRPr="00E3656A">
        <w:rPr>
          <w:rFonts w:eastAsia="Times New Roman"/>
          <w:color w:val="000000"/>
        </w:rPr>
        <w:t xml:space="preserve"> visualize</w:t>
      </w:r>
      <w:r>
        <w:rPr>
          <w:rFonts w:eastAsia="Times New Roman"/>
          <w:color w:val="000000"/>
        </w:rPr>
        <w:t>s</w:t>
      </w:r>
      <w:r w:rsidRPr="00E3656A">
        <w:rPr>
          <w:rFonts w:eastAsia="Times New Roman"/>
          <w:color w:val="000000"/>
        </w:rPr>
        <w:t xml:space="preserve"> the global stage/setting in 2041</w:t>
      </w:r>
      <w:r>
        <w:rPr>
          <w:rFonts w:eastAsia="Times New Roman"/>
          <w:color w:val="000000"/>
        </w:rPr>
        <w:t>,</w:t>
      </w:r>
      <w:r w:rsidRPr="00E3656A">
        <w:rPr>
          <w:rFonts w:eastAsia="Times New Roman"/>
          <w:color w:val="000000"/>
        </w:rPr>
        <w:t xml:space="preserve"> 2050 and </w:t>
      </w:r>
      <w:r>
        <w:rPr>
          <w:rFonts w:eastAsia="Times New Roman"/>
          <w:color w:val="000000"/>
        </w:rPr>
        <w:t xml:space="preserve">2100, and </w:t>
      </w:r>
      <w:r w:rsidRPr="00E3656A">
        <w:rPr>
          <w:rFonts w:eastAsia="Times New Roman"/>
          <w:color w:val="000000"/>
        </w:rPr>
        <w:t>placing Bangladesh in it</w:t>
      </w:r>
      <w:r>
        <w:rPr>
          <w:rFonts w:eastAsia="Times New Roman"/>
          <w:color w:val="000000"/>
        </w:rPr>
        <w:t xml:space="preserve"> as the honorable Prime Minister has done by putting Bangladesh in the comity of developed nations in 2041</w:t>
      </w:r>
      <w:r w:rsidRPr="00E3656A">
        <w:rPr>
          <w:rFonts w:eastAsia="Times New Roman"/>
          <w:color w:val="000000"/>
        </w:rPr>
        <w:t>.</w:t>
      </w:r>
      <w:r>
        <w:rPr>
          <w:rFonts w:eastAsia="Times New Roman"/>
          <w:color w:val="000000"/>
        </w:rPr>
        <w:t xml:space="preserve"> This means Bangladesh will not only match or exceed a mechanically determined income cut-off line to be called a developed country, but it will also match or do better than its future comparator countries in terms of leadership, life and institutions.</w:t>
      </w:r>
    </w:p>
    <w:p w:rsidR="00483DCD" w:rsidRDefault="009762C0" w:rsidP="009762C0">
      <w:pPr>
        <w:spacing w:before="0" w:after="200" w:line="276" w:lineRule="auto"/>
        <w:jc w:val="both"/>
      </w:pPr>
      <w:r w:rsidRPr="009762C0">
        <w:t>This paper is approached on the clear understanding that the Second Perspective Plan of Bangladesh (SPPB) is not an ordinary plan. It comes on the heels of what appears to be a very successfully implemented First Perspective Plan of Bangladesh (2010-2021). There are yet four years to go to fill up the gaps in implementation. Much experience has been gained in terms of raising the growth trajectory, initiating game changing policy and institutional reforms resulting in macroeconomic stability and double digit export growth along with healthy flow of remittances and making growth more inclusive as reflected in steadily declining poverty rate (percentage of population living below the official poverty line) faster than many comparator countries (Figure</w:t>
      </w:r>
      <w:r w:rsidR="00F02AD7">
        <w:t>s</w:t>
      </w:r>
      <w:r w:rsidRPr="009762C0">
        <w:t xml:space="preserve"> 1</w:t>
      </w:r>
      <w:r w:rsidR="00F02AD7">
        <w:t xml:space="preserve"> and 2</w:t>
      </w:r>
      <w:r w:rsidRPr="009762C0">
        <w:t>). According to the Planning Minister, poverty rate further declined to 24.7% in 2014.</w:t>
      </w:r>
      <w:r w:rsidRPr="009762C0">
        <w:rPr>
          <w:rStyle w:val="FootnoteReference"/>
        </w:rPr>
        <w:footnoteReference w:id="1"/>
      </w:r>
      <w:r w:rsidRPr="009762C0">
        <w:t xml:space="preserve"> Concern remains with slow pick up of investments especially due to shortfall in ADP and mega projects implementation, unfinished agenda of policy and institutional reforms, slower than expected pace of economic and export diversification, anemic inflow of foreign direct investment and weak governance. </w:t>
      </w:r>
    </w:p>
    <w:p w:rsidR="009762C0" w:rsidRPr="009762C0" w:rsidRDefault="009762C0" w:rsidP="009762C0">
      <w:pPr>
        <w:spacing w:before="0" w:after="200" w:line="276" w:lineRule="auto"/>
        <w:jc w:val="both"/>
        <w:rPr>
          <w:b/>
        </w:rPr>
      </w:pPr>
      <w:r w:rsidRPr="009762C0">
        <w:t xml:space="preserve">The SPPB is designed to assist Bangladesh to make a break through from the current state of unfulfilled promises, revealed inertia and development gaps in order to bring about a significant shift in the aggregate production function riding on technology, ICT, skill, governance and diversification. The country will be poised to break the so called “single digit” growth barrier to hover around the double digit growth envelope making Bangladesh to graduate out of LDC by 2021 to become an upper middle income status by 2030 and a developed country by 2041. Bangladesh will have to </w:t>
      </w:r>
      <w:r w:rsidRPr="009762C0">
        <w:rPr>
          <w:bCs/>
        </w:rPr>
        <w:t>move onto a transformational path of economic development</w:t>
      </w:r>
      <w:r w:rsidRPr="009762C0">
        <w:t xml:space="preserve"> undergoing </w:t>
      </w:r>
      <w:r w:rsidRPr="009762C0">
        <w:rPr>
          <w:bCs/>
        </w:rPr>
        <w:t>political transitions and deep seated reforms of many of its institutions.</w:t>
      </w:r>
      <w:r w:rsidRPr="009762C0">
        <w:t xml:space="preserve"> Given that democracy has been a harbinger of struc</w:t>
      </w:r>
      <w:r w:rsidR="00914F6D">
        <w:t>tural gain in poverty reduction (Ahmed, Alamgir and Mujeri 2016)</w:t>
      </w:r>
      <w:r w:rsidRPr="009762C0">
        <w:t xml:space="preserve">, continuation of the reform process to strengthen democratic institutions including effective </w:t>
      </w:r>
      <w:r w:rsidRPr="009762C0">
        <w:lastRenderedPageBreak/>
        <w:t xml:space="preserve">decentralization of political, fiscal and administrative power to the lowest echelon of the government will push Bangladesh faster along the transformational path sought by the SPPB. Solution to every short term challenge has to be approached from a longer-term perspective. Short-term trouble shooting is well and good and necessary but all actions must be pursued within the framework of a longer-term perspective plan. Given this the SPPB is a welcome move by the political leadership of Bangladesh.  </w:t>
      </w:r>
    </w:p>
    <w:p w:rsidR="009762C0" w:rsidRPr="00B829AE" w:rsidRDefault="009762C0" w:rsidP="00BA5159">
      <w:pPr>
        <w:spacing w:before="0" w:after="0" w:line="276" w:lineRule="auto"/>
        <w:rPr>
          <w:b/>
          <w:color w:val="000000" w:themeColor="text1"/>
        </w:rPr>
      </w:pPr>
      <w:r w:rsidRPr="00B829AE">
        <w:rPr>
          <w:b/>
        </w:rPr>
        <w:t xml:space="preserve">Figure 1: Poverty </w:t>
      </w:r>
      <w:r w:rsidR="00FB03E1" w:rsidRPr="00B829AE">
        <w:rPr>
          <w:b/>
        </w:rPr>
        <w:t>trend</w:t>
      </w:r>
      <w:r w:rsidRPr="00B829AE">
        <w:rPr>
          <w:b/>
        </w:rPr>
        <w:t xml:space="preserve"> in Bangladesh </w:t>
      </w:r>
      <w:r w:rsidRPr="00B829AE">
        <w:rPr>
          <w:b/>
          <w:color w:val="000000" w:themeColor="text1"/>
        </w:rPr>
        <w:t>(% of population)</w:t>
      </w:r>
    </w:p>
    <w:p w:rsidR="00BA5159" w:rsidRDefault="00BA5159" w:rsidP="00BA5159">
      <w:pPr>
        <w:spacing w:before="0" w:after="0" w:line="276" w:lineRule="auto"/>
        <w:rPr>
          <w:color w:val="000000" w:themeColor="text1"/>
        </w:rPr>
      </w:pPr>
      <w:r>
        <w:rPr>
          <w:noProof/>
        </w:rPr>
        <w:drawing>
          <wp:inline distT="0" distB="0" distL="0" distR="0" wp14:anchorId="734B75AA" wp14:editId="727B4C1A">
            <wp:extent cx="5943600" cy="50063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006340"/>
                    </a:xfrm>
                    <a:prstGeom prst="rect">
                      <a:avLst/>
                    </a:prstGeom>
                  </pic:spPr>
                </pic:pic>
              </a:graphicData>
            </a:graphic>
          </wp:inline>
        </w:drawing>
      </w:r>
    </w:p>
    <w:p w:rsidR="009762C0" w:rsidRPr="009762C0" w:rsidRDefault="00FF1D04" w:rsidP="009762C0">
      <w:pPr>
        <w:spacing w:before="0" w:after="200" w:line="276" w:lineRule="auto"/>
        <w:rPr>
          <w:color w:val="000000" w:themeColor="text1"/>
        </w:rPr>
      </w:pPr>
      <w:r>
        <w:rPr>
          <w:color w:val="000000" w:themeColor="text1"/>
        </w:rPr>
        <w:t>Th</w:t>
      </w:r>
      <w:r w:rsidR="00F02AD7">
        <w:rPr>
          <w:color w:val="000000" w:themeColor="text1"/>
        </w:rPr>
        <w:t xml:space="preserve">e process of growth as envisaged in SPPB is inclusive </w:t>
      </w:r>
      <w:r w:rsidR="00286A7D">
        <w:rPr>
          <w:color w:val="000000" w:themeColor="text1"/>
        </w:rPr>
        <w:t xml:space="preserve">ensuring substantial reduction in poverty and inequality. Pushed to the extreme it is a vision of poverty free egalitarian Bangladesh recognizing though that frictional poverty and structural inequality are hard nuts to crack and will remain so. </w:t>
      </w:r>
      <w:r w:rsidR="006D23CB">
        <w:rPr>
          <w:color w:val="000000" w:themeColor="text1"/>
        </w:rPr>
        <w:t xml:space="preserve">Inclusion in SPPB shall have important operational significance. Each individual member of the society irrespective of gender, color, creed, ethnicity, religious or any other dimension of differentiation will, unless otherwise incapacitated, be a source of growth and as such will have effort-based claim on production, consumption, saving and investment. Such a </w:t>
      </w:r>
      <w:r w:rsidR="006D23CB">
        <w:rPr>
          <w:color w:val="000000" w:themeColor="text1"/>
        </w:rPr>
        <w:lastRenderedPageBreak/>
        <w:t>concept of inclusion needs to be institutionalized through good governance, democracy, decentralization and capacity building</w:t>
      </w:r>
      <w:r w:rsidR="00A97674">
        <w:rPr>
          <w:color w:val="000000" w:themeColor="text1"/>
        </w:rPr>
        <w:t>, the undisputed four pillars of prosperity.</w:t>
      </w:r>
    </w:p>
    <w:p w:rsidR="009762C0" w:rsidRDefault="00483DCD" w:rsidP="00483DCD">
      <w:pPr>
        <w:spacing w:before="0" w:after="200" w:line="276" w:lineRule="auto"/>
      </w:pPr>
      <w:r w:rsidRPr="00B829AE">
        <w:rPr>
          <w:b/>
          <w:color w:val="000000" w:themeColor="text1"/>
        </w:rPr>
        <w:t>Figure 2: Annual % Change in Poverty (between 1990s and 2014)</w:t>
      </w:r>
      <w:r>
        <w:rPr>
          <w:noProof/>
        </w:rPr>
        <w:drawing>
          <wp:inline distT="0" distB="0" distL="0" distR="0" wp14:anchorId="10B7E381" wp14:editId="6E2018AB">
            <wp:extent cx="5760720" cy="426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267200"/>
                    </a:xfrm>
                    <a:prstGeom prst="rect">
                      <a:avLst/>
                    </a:prstGeom>
                  </pic:spPr>
                </pic:pic>
              </a:graphicData>
            </a:graphic>
          </wp:inline>
        </w:drawing>
      </w:r>
      <w:r w:rsidR="009762C0" w:rsidRPr="009762C0">
        <w:t xml:space="preserve"> </w:t>
      </w:r>
    </w:p>
    <w:p w:rsidR="0030010D" w:rsidRDefault="0030010D">
      <w:r>
        <w:br w:type="page"/>
      </w:r>
    </w:p>
    <w:p w:rsidR="00E22527" w:rsidRPr="00A97674" w:rsidRDefault="00B63CA5" w:rsidP="00397FED">
      <w:pPr>
        <w:pStyle w:val="ListParagraph"/>
        <w:numPr>
          <w:ilvl w:val="0"/>
          <w:numId w:val="1"/>
        </w:numPr>
        <w:spacing w:before="0" w:after="200" w:line="276" w:lineRule="auto"/>
        <w:contextualSpacing w:val="0"/>
      </w:pPr>
      <w:r w:rsidRPr="002B67C2">
        <w:lastRenderedPageBreak/>
        <w:t xml:space="preserve"> </w:t>
      </w:r>
      <w:r w:rsidR="00A97674" w:rsidRPr="00CF3ED5">
        <w:rPr>
          <w:rFonts w:ascii="Times New Roman" w:hAnsi="Times New Roman" w:cs="Times New Roman"/>
          <w:b/>
          <w:caps/>
          <w:color w:val="365F91" w:themeColor="accent1" w:themeShade="BF"/>
        </w:rPr>
        <w:t>The Conceptual Framework – Setting Parameters for Four Pillars</w:t>
      </w:r>
    </w:p>
    <w:p w:rsidR="00687AAB" w:rsidRPr="00687AAB" w:rsidRDefault="00687AAB" w:rsidP="00724616">
      <w:pPr>
        <w:spacing w:before="0" w:after="200" w:line="276" w:lineRule="auto"/>
        <w:ind w:left="360" w:firstLine="360"/>
        <w:rPr>
          <w:b/>
        </w:rPr>
      </w:pPr>
      <w:r>
        <w:rPr>
          <w:b/>
        </w:rPr>
        <w:t>Overall framework</w:t>
      </w:r>
    </w:p>
    <w:p w:rsidR="00E22527" w:rsidRDefault="00F03856" w:rsidP="002B67C2">
      <w:pPr>
        <w:spacing w:before="0" w:after="200" w:line="276" w:lineRule="auto"/>
      </w:pPr>
      <w:r>
        <w:rPr>
          <w:noProof/>
        </w:rPr>
        <w:drawing>
          <wp:anchor distT="0" distB="0" distL="114300" distR="114300" simplePos="0" relativeHeight="251806720" behindDoc="0" locked="0" layoutInCell="1" allowOverlap="1" wp14:anchorId="28DDF0B9" wp14:editId="6568BDF3">
            <wp:simplePos x="0" y="0"/>
            <wp:positionH relativeFrom="margin">
              <wp:align>left</wp:align>
            </wp:positionH>
            <wp:positionV relativeFrom="paragraph">
              <wp:posOffset>520700</wp:posOffset>
            </wp:positionV>
            <wp:extent cx="3429000" cy="26822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0" cy="2682240"/>
                    </a:xfrm>
                    <a:prstGeom prst="rect">
                      <a:avLst/>
                    </a:prstGeom>
                  </pic:spPr>
                </pic:pic>
              </a:graphicData>
            </a:graphic>
            <wp14:sizeRelH relativeFrom="page">
              <wp14:pctWidth>0</wp14:pctWidth>
            </wp14:sizeRelH>
            <wp14:sizeRelV relativeFrom="page">
              <wp14:pctHeight>0</wp14:pctHeight>
            </wp14:sizeRelV>
          </wp:anchor>
        </w:drawing>
      </w:r>
      <w:r w:rsidR="00A97674" w:rsidRPr="002B17C3">
        <w:t>The title of the study with its emphasis on good governance, democratization, decentralization and capacity building</w:t>
      </w:r>
      <w:r w:rsidR="00B2556E">
        <w:t xml:space="preserve"> clearly recognizes that Bangladesh’s path to prosperity as a developed nation with a per capita income of $12,500 by 2041 has to be founded in these four pillars. In order to understand how each of these pillars will contribute to </w:t>
      </w:r>
      <w:r w:rsidR="004F6DBB">
        <w:t xml:space="preserve">the </w:t>
      </w:r>
      <w:r w:rsidR="00B2556E">
        <w:t xml:space="preserve">inclusive growth path </w:t>
      </w:r>
      <w:r w:rsidR="004F6DBB" w:rsidRPr="002B17C3">
        <w:t>(20</w:t>
      </w:r>
      <w:r w:rsidR="004F6DBB">
        <w:t>21</w:t>
      </w:r>
      <w:r w:rsidR="004F6DBB" w:rsidRPr="002B17C3">
        <w:t>-2041)</w:t>
      </w:r>
      <w:r w:rsidR="004F6DBB">
        <w:t xml:space="preserve"> </w:t>
      </w:r>
      <w:r w:rsidR="00B2556E">
        <w:t xml:space="preserve">leading to a developed country status for Bangladesh, </w:t>
      </w:r>
      <w:r w:rsidR="004F6DBB">
        <w:t xml:space="preserve">a framework is developed for each showing underlying processes driving each pillar. </w:t>
      </w:r>
      <w:r w:rsidR="00A97674" w:rsidRPr="002B17C3">
        <w:t>The study naturally treat</w:t>
      </w:r>
      <w:r w:rsidR="004F6DBB">
        <w:t>s</w:t>
      </w:r>
      <w:r w:rsidR="00A97674" w:rsidRPr="002B17C3">
        <w:t xml:space="preserve"> these concepts as the four pillars of economic transformation over the perspective plan period. The study will elaborate these concepts in considerable detail drawing </w:t>
      </w:r>
      <w:r w:rsidR="004F6DBB">
        <w:t xml:space="preserve">on the </w:t>
      </w:r>
      <w:r w:rsidR="00A97674" w:rsidRPr="002B17C3">
        <w:t xml:space="preserve">framework for each. This will constitute the conceptual framework of the study. </w:t>
      </w:r>
      <w:r w:rsidR="004F6DBB">
        <w:t xml:space="preserve">The overall framework for achieving Vision 2041 shows the pivotal role played by people as the principal driver of growth pooling together the four pillars in an interactive way to move towards the </w:t>
      </w:r>
      <w:r w:rsidR="00B14E96">
        <w:t xml:space="preserve">environmentally sustainable and climate resilient </w:t>
      </w:r>
      <w:r w:rsidR="004F6DBB">
        <w:t xml:space="preserve">inclusive growth path </w:t>
      </w:r>
      <w:r w:rsidR="00B14E96">
        <w:t>which will lead the country to the target set by the Honorable Prime Minister (Figure 3).</w:t>
      </w:r>
      <w:r w:rsidR="00687AAB">
        <w:t xml:space="preserve"> People drive with their labor, skill, capital and management.</w:t>
      </w:r>
    </w:p>
    <w:p w:rsidR="00724616" w:rsidRPr="0003703D" w:rsidRDefault="00724616" w:rsidP="00724616">
      <w:pPr>
        <w:spacing w:before="0" w:after="200" w:line="276" w:lineRule="auto"/>
        <w:ind w:left="720"/>
        <w:rPr>
          <w:b/>
          <w:bCs/>
          <w:color w:val="000000"/>
        </w:rPr>
      </w:pPr>
      <w:r w:rsidRPr="0003703D">
        <w:rPr>
          <w:b/>
          <w:bCs/>
          <w:color w:val="000000"/>
        </w:rPr>
        <w:t>Good governance framework</w:t>
      </w:r>
    </w:p>
    <w:p w:rsidR="004F2B01" w:rsidRDefault="00724616" w:rsidP="004F2B01">
      <w:pPr>
        <w:spacing w:before="0" w:after="200" w:line="276" w:lineRule="auto"/>
        <w:rPr>
          <w:rFonts w:eastAsia="Times New Roman"/>
          <w:color w:val="000000"/>
        </w:rPr>
      </w:pPr>
      <w:r w:rsidRPr="002B17C3">
        <w:rPr>
          <w:rFonts w:eastAsia="Times New Roman"/>
          <w:color w:val="000000"/>
        </w:rPr>
        <w:t>For longer term perspective development of Bangladesh, </w:t>
      </w:r>
      <w:r w:rsidRPr="002B17C3">
        <w:rPr>
          <w:rFonts w:eastAsia="Times New Roman"/>
          <w:bCs/>
          <w:color w:val="000000"/>
        </w:rPr>
        <w:t>good governance</w:t>
      </w:r>
      <w:r w:rsidRPr="002B17C3">
        <w:rPr>
          <w:rFonts w:eastAsia="Times New Roman"/>
          <w:color w:val="000000"/>
        </w:rPr>
        <w:t> can never be</w:t>
      </w:r>
      <w:r w:rsidR="003355AE">
        <w:rPr>
          <w:rFonts w:eastAsia="Times New Roman"/>
          <w:color w:val="000000"/>
        </w:rPr>
        <w:t xml:space="preserve"> overemphasized as all donor partner review of Bangladesh highlights this concern</w:t>
      </w:r>
      <w:r w:rsidRPr="002B17C3">
        <w:rPr>
          <w:rFonts w:eastAsia="Times New Roman"/>
          <w:color w:val="000000"/>
        </w:rPr>
        <w:t>. The challenge is how you build it as a foundation for the future when everyone directly or indirectly practices bad governance</w:t>
      </w:r>
      <w:r w:rsidRPr="004F2B01">
        <w:rPr>
          <w:rFonts w:eastAsia="Times New Roman"/>
          <w:color w:val="000000" w:themeColor="text1"/>
        </w:rPr>
        <w:t xml:space="preserve">!!! </w:t>
      </w:r>
      <w:r w:rsidR="004F2B01" w:rsidRPr="004F2B01">
        <w:rPr>
          <w:bCs/>
          <w:color w:val="000000" w:themeColor="text1"/>
        </w:rPr>
        <w:t>Good governance</w:t>
      </w:r>
      <w:r w:rsidR="004F2B01" w:rsidRPr="004F2B01">
        <w:rPr>
          <w:color w:val="000000" w:themeColor="text1"/>
        </w:rPr>
        <w:t xml:space="preserve"> is the launch pad for longer term perspective development of Bangladesh. </w:t>
      </w:r>
      <w:r w:rsidR="004F2B01" w:rsidRPr="004F2B01">
        <w:rPr>
          <w:rFonts w:eastAsia="Times New Roman"/>
          <w:color w:val="000000" w:themeColor="text1"/>
        </w:rPr>
        <w:t>Good governance is defined by institutional quantity, quality, maturity, effectiveness, efficiency</w:t>
      </w:r>
      <w:r w:rsidR="004F2B01" w:rsidRPr="00283613">
        <w:rPr>
          <w:rFonts w:eastAsia="Times New Roman"/>
          <w:color w:val="000000"/>
        </w:rPr>
        <w:t>, transparency and accountability, incorruptibility, diversity, equity, inclusion and cultural competence.</w:t>
      </w:r>
    </w:p>
    <w:p w:rsidR="00724616" w:rsidRDefault="00724616" w:rsidP="00724616">
      <w:pPr>
        <w:spacing w:before="0" w:after="200" w:line="276" w:lineRule="auto"/>
        <w:rPr>
          <w:color w:val="000000" w:themeColor="text1"/>
        </w:rPr>
      </w:pPr>
      <w:r w:rsidRPr="002B17C3">
        <w:rPr>
          <w:rFonts w:eastAsia="Times New Roman"/>
          <w:color w:val="000000"/>
        </w:rPr>
        <w:t xml:space="preserve">We need a framework for good governance which all stakeholders should be adhering to. The framework comprises the principles of good governance, elements of good governance (main and others) and implications of good governance (Figure </w:t>
      </w:r>
      <w:r w:rsidR="00CC687E">
        <w:rPr>
          <w:rFonts w:eastAsia="Times New Roman"/>
          <w:color w:val="000000"/>
        </w:rPr>
        <w:t>4</w:t>
      </w:r>
      <w:r w:rsidRPr="002B17C3">
        <w:rPr>
          <w:rFonts w:eastAsia="Times New Roman"/>
          <w:color w:val="000000"/>
        </w:rPr>
        <w:t xml:space="preserve">). With the principles followed and elements established, implications will be realized achieving Bangladesh’s Perspective Plan </w:t>
      </w:r>
      <w:r w:rsidRPr="002B17C3">
        <w:rPr>
          <w:rFonts w:eastAsia="Times New Roman"/>
          <w:color w:val="000000"/>
        </w:rPr>
        <w:lastRenderedPageBreak/>
        <w:t xml:space="preserve">targets and milestones will be almost automatic with minor or major course corrections if the evolving circumstances demand. Seven key principles of good governance are </w:t>
      </w:r>
      <w:r>
        <w:rPr>
          <w:rFonts w:eastAsia="Times New Roman"/>
          <w:color w:val="000000"/>
        </w:rPr>
        <w:t>i</w:t>
      </w:r>
      <w:r w:rsidRPr="002B17C3">
        <w:rPr>
          <w:color w:val="000000" w:themeColor="text1"/>
        </w:rPr>
        <w:t xml:space="preserve">nclusive, gender sensitive, equitable, accountable, transparent, and participatory and corruption free (according to UNESCAP </w:t>
      </w:r>
      <w:r w:rsidRPr="002B17C3">
        <w:t xml:space="preserve">Good governance has 8 major characteristics: participatory, consensus oriented, </w:t>
      </w:r>
      <w:r w:rsidR="0087048F">
        <w:rPr>
          <w:noProof/>
        </w:rPr>
        <w:drawing>
          <wp:anchor distT="0" distB="0" distL="114300" distR="114300" simplePos="0" relativeHeight="251807744" behindDoc="0" locked="0" layoutInCell="1" allowOverlap="1" wp14:anchorId="4DBC6222" wp14:editId="4F0D89CB">
            <wp:simplePos x="0" y="0"/>
            <wp:positionH relativeFrom="margin">
              <wp:posOffset>45720</wp:posOffset>
            </wp:positionH>
            <wp:positionV relativeFrom="paragraph">
              <wp:posOffset>845820</wp:posOffset>
            </wp:positionV>
            <wp:extent cx="3787140" cy="3749040"/>
            <wp:effectExtent l="0" t="0" r="381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787140" cy="3749040"/>
                    </a:xfrm>
                    <a:prstGeom prst="rect">
                      <a:avLst/>
                    </a:prstGeom>
                  </pic:spPr>
                </pic:pic>
              </a:graphicData>
            </a:graphic>
            <wp14:sizeRelH relativeFrom="page">
              <wp14:pctWidth>0</wp14:pctWidth>
            </wp14:sizeRelH>
            <wp14:sizeRelV relativeFrom="page">
              <wp14:pctHeight>0</wp14:pctHeight>
            </wp14:sizeRelV>
          </wp:anchor>
        </w:drawing>
      </w:r>
      <w:r w:rsidRPr="002B17C3">
        <w:t>accountable, transparent, responsive, effective and efficient, equitable and inclusive and follows the rule of law).</w:t>
      </w:r>
      <w:r w:rsidRPr="002B17C3">
        <w:rPr>
          <w:color w:val="000000" w:themeColor="text1"/>
        </w:rPr>
        <w:t xml:space="preserve"> Eight founding elements of good governance are the judiciary, public administration, political governance, democracy, Deconcentration and decentralization, economic governance, financial governance and the rule of law. The study make</w:t>
      </w:r>
      <w:r w:rsidR="004F2B01">
        <w:rPr>
          <w:color w:val="000000" w:themeColor="text1"/>
        </w:rPr>
        <w:t>s</w:t>
      </w:r>
      <w:r w:rsidRPr="002B17C3">
        <w:rPr>
          <w:color w:val="000000" w:themeColor="text1"/>
        </w:rPr>
        <w:t xml:space="preserve"> the point that in Bangladesh, the lack of adherence to the key principles of good governance as described above has created a situation in which </w:t>
      </w:r>
      <w:r w:rsidR="004F2B01">
        <w:rPr>
          <w:color w:val="000000" w:themeColor="text1"/>
        </w:rPr>
        <w:t>judicial independence</w:t>
      </w:r>
      <w:r w:rsidR="00E34303">
        <w:rPr>
          <w:bCs/>
          <w:noProof/>
          <w:color w:val="FF0000"/>
        </w:rPr>
        <w:t xml:space="preserve"> </w:t>
      </w:r>
      <w:r w:rsidRPr="002B17C3">
        <w:rPr>
          <w:color w:val="000000" w:themeColor="text1"/>
        </w:rPr>
        <w:t xml:space="preserve">and integrity is not beyond question, public administration is unquestionably wanting, political governance is abusive of power, democratic institutions are </w:t>
      </w:r>
      <w:r w:rsidRPr="005B5E37">
        <w:rPr>
          <w:color w:val="000000" w:themeColor="text1"/>
        </w:rPr>
        <w:t xml:space="preserve">weak, power is concentrated at the center, economic governance can claim slight edge over financial governance which is mired in anomalies and the rule of law is nearly non-existent. The </w:t>
      </w:r>
      <w:r w:rsidR="004F2B01">
        <w:rPr>
          <w:color w:val="000000" w:themeColor="text1"/>
        </w:rPr>
        <w:t xml:space="preserve">study will bring out the </w:t>
      </w:r>
      <w:r w:rsidRPr="005B5E37">
        <w:rPr>
          <w:color w:val="000000" w:themeColor="text1"/>
        </w:rPr>
        <w:t xml:space="preserve">silver lining amidst this depressing scenario and recommend measures consistent with the emerging development aspiration of the people. The study </w:t>
      </w:r>
      <w:r w:rsidR="004F2B01">
        <w:rPr>
          <w:color w:val="000000" w:themeColor="text1"/>
        </w:rPr>
        <w:t xml:space="preserve">makes the point </w:t>
      </w:r>
      <w:r w:rsidRPr="005B5E37">
        <w:rPr>
          <w:color w:val="000000" w:themeColor="text1"/>
        </w:rPr>
        <w:t>that governance issues in Bangladesh should be looked at not exclusively through the World Bank perspective but through Bangladeshi native prism. Bangladesh is a country that survives and thrives through contradictions. Bangladesh came into existence without resolving many internal contradictions. What appears to be so called bad governance is actually manifestation of these contradictions that over time get resolved by first taking turn to the extremes and then settling down for reason, logic and goodwill. The study will carry out an in-depth analysis showing the path towards 2041</w:t>
      </w:r>
      <w:r w:rsidRPr="002B17C3">
        <w:rPr>
          <w:color w:val="000000" w:themeColor="text1"/>
        </w:rPr>
        <w:t>.</w:t>
      </w:r>
    </w:p>
    <w:p w:rsidR="00F179C3" w:rsidRDefault="00F179C3">
      <w:pPr>
        <w:rPr>
          <w:b/>
          <w:color w:val="000000" w:themeColor="text1"/>
        </w:rPr>
      </w:pPr>
      <w:r>
        <w:rPr>
          <w:b/>
          <w:color w:val="000000" w:themeColor="text1"/>
        </w:rPr>
        <w:br w:type="page"/>
      </w:r>
    </w:p>
    <w:p w:rsidR="009A32C3" w:rsidRDefault="00855467" w:rsidP="009A32C3">
      <w:pPr>
        <w:spacing w:before="0" w:after="200" w:line="276" w:lineRule="auto"/>
        <w:rPr>
          <w:b/>
          <w:color w:val="000000" w:themeColor="text1"/>
        </w:rPr>
      </w:pPr>
      <w:r w:rsidRPr="0003703D">
        <w:rPr>
          <w:b/>
          <w:color w:val="000000" w:themeColor="text1"/>
        </w:rPr>
        <w:lastRenderedPageBreak/>
        <w:t>Democratization framework</w:t>
      </w:r>
      <w:r w:rsidR="009A32C3">
        <w:rPr>
          <w:b/>
          <w:color w:val="000000" w:themeColor="text1"/>
        </w:rPr>
        <w:t xml:space="preserve"> </w:t>
      </w:r>
    </w:p>
    <w:p w:rsidR="000F60C9" w:rsidRPr="002B17C3" w:rsidRDefault="009A32C3" w:rsidP="009A32C3">
      <w:pPr>
        <w:spacing w:before="0" w:after="200" w:line="276" w:lineRule="auto"/>
        <w:rPr>
          <w:b/>
        </w:rPr>
      </w:pPr>
      <w:r>
        <w:rPr>
          <w:noProof/>
        </w:rPr>
        <w:drawing>
          <wp:anchor distT="0" distB="0" distL="114300" distR="114300" simplePos="0" relativeHeight="251808768" behindDoc="0" locked="0" layoutInCell="1" allowOverlap="1" wp14:anchorId="0AA0B88B" wp14:editId="52D46F8E">
            <wp:simplePos x="0" y="0"/>
            <wp:positionH relativeFrom="margin">
              <wp:align>left</wp:align>
            </wp:positionH>
            <wp:positionV relativeFrom="paragraph">
              <wp:posOffset>1210945</wp:posOffset>
            </wp:positionV>
            <wp:extent cx="3855720" cy="3200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55720" cy="3200400"/>
                    </a:xfrm>
                    <a:prstGeom prst="rect">
                      <a:avLst/>
                    </a:prstGeom>
                  </pic:spPr>
                </pic:pic>
              </a:graphicData>
            </a:graphic>
            <wp14:sizeRelH relativeFrom="page">
              <wp14:pctWidth>0</wp14:pctWidth>
            </wp14:sizeRelH>
            <wp14:sizeRelV relativeFrom="page">
              <wp14:pctHeight>0</wp14:pctHeight>
            </wp14:sizeRelV>
          </wp:anchor>
        </w:drawing>
      </w:r>
      <w:r w:rsidRPr="00B2074B">
        <w:rPr>
          <w:rFonts w:eastAsia="Times New Roman"/>
          <w:color w:val="000000"/>
        </w:rPr>
        <w:t>Bangladesh could escape the hybrid democracy trap defined as nations where consequential irregularities exist in elections regularly preventing them from being fair and free</w:t>
      </w:r>
      <w:r>
        <w:rPr>
          <w:rStyle w:val="FootnoteReference"/>
          <w:rFonts w:eastAsia="Times New Roman"/>
          <w:color w:val="000000"/>
        </w:rPr>
        <w:footnoteReference w:id="2"/>
      </w:r>
      <w:r w:rsidRPr="00B2074B">
        <w:rPr>
          <w:rFonts w:eastAsia="Times New Roman"/>
          <w:color w:val="000000"/>
        </w:rPr>
        <w:t xml:space="preserve"> </w:t>
      </w:r>
      <w:r w:rsidRPr="00B2074B">
        <w:rPr>
          <w:rStyle w:val="Hyperlink"/>
          <w:rFonts w:eastAsia="Times New Roman"/>
        </w:rPr>
        <w:t xml:space="preserve"> </w:t>
      </w:r>
      <w:r w:rsidRPr="00B2074B">
        <w:rPr>
          <w:color w:val="000000"/>
        </w:rPr>
        <w:t>to move to full pluralistic democracy which should be the democratic perspective of Bangladesh Vision 2041</w:t>
      </w:r>
      <w:r>
        <w:rPr>
          <w:color w:val="000000"/>
        </w:rPr>
        <w:t xml:space="preserve"> </w:t>
      </w:r>
      <w:r w:rsidRPr="002B17C3">
        <w:rPr>
          <w:rFonts w:eastAsia="Times New Roman"/>
          <w:color w:val="000000"/>
        </w:rPr>
        <w:t xml:space="preserve">(Figure </w:t>
      </w:r>
      <w:r>
        <w:rPr>
          <w:rFonts w:eastAsia="Times New Roman"/>
          <w:color w:val="000000"/>
        </w:rPr>
        <w:t>5</w:t>
      </w:r>
      <w:r w:rsidRPr="002B17C3">
        <w:rPr>
          <w:rFonts w:eastAsia="Times New Roman"/>
          <w:color w:val="000000"/>
        </w:rPr>
        <w:t>)</w:t>
      </w:r>
      <w:r w:rsidRPr="00B2074B">
        <w:rPr>
          <w:color w:val="000000"/>
        </w:rPr>
        <w:t xml:space="preserve">. Full democracies are nations where civil liberties and basic political freedoms are not only respected, but also reinforced by a political culture and leadership conducive to the thriving of democratic principles. Pluralistic democracy is full democracy plus full guarantee for the democratic process to be inclusive, representative, consultative, equitable, sensitive, bold, patriotic, secular, hands of friendship to all at home and abroad but prepared to defend freedom at all costs. In a pluralistic democracy, leadership will emerge out of multiple choice within the framework of the Constitution. Important power will continue to be vested in one chosen leader. There is no scope for dual authority at any point in time. </w:t>
      </w:r>
      <w:r w:rsidRPr="00324B67">
        <w:rPr>
          <w:color w:val="000000"/>
        </w:rPr>
        <w:t>One democratic leadership will guide power transition to another through normal electoral process without intervention from any non-elective body. All stakeholders will stand by the concept of pluralistic democracy.</w:t>
      </w:r>
      <w:r>
        <w:rPr>
          <w:color w:val="000000"/>
        </w:rPr>
        <w:t xml:space="preserve"> </w:t>
      </w:r>
      <w:r w:rsidR="000F60C9" w:rsidRPr="002B17C3">
        <w:rPr>
          <w:rFonts w:eastAsia="Times New Roman"/>
          <w:color w:val="000000"/>
        </w:rPr>
        <w:t>Historical experience suggests democracy is a necessary (if not sufficient) condition for growth acceleration and poverty reduction. This study will argue for institutionalization of democracy in Bangladesh. For one i</w:t>
      </w:r>
      <w:r w:rsidR="000F60C9" w:rsidRPr="002B17C3">
        <w:t xml:space="preserve">f Bangladesh is to go forward with its aspiration to achieve high income country status by 2041, then everything possible must be done to restore parliamentary effectiveness through cooperation among contending parties. In the same breadth the credibility of the Election Commission </w:t>
      </w:r>
      <w:r w:rsidR="00224304">
        <w:t xml:space="preserve">(EC) </w:t>
      </w:r>
      <w:r w:rsidR="000F60C9" w:rsidRPr="002B17C3">
        <w:t>and other bodies of democracy will have to be restored. Bangladeshis do not want to sit in one place any more, nor do they want to remain in poverty. Aspiration is driving people and people are driving the economy enabled by democracy. The drive will be stronger under a pluralistic democracy.</w:t>
      </w:r>
    </w:p>
    <w:p w:rsidR="00EC3147" w:rsidRDefault="000F60C9" w:rsidP="00183818">
      <w:pPr>
        <w:spacing w:before="0" w:after="200" w:line="276" w:lineRule="auto"/>
        <w:rPr>
          <w:rFonts w:eastAsia="Times New Roman"/>
          <w:color w:val="000000"/>
        </w:rPr>
      </w:pPr>
      <w:r>
        <w:rPr>
          <w:rFonts w:eastAsia="Times New Roman"/>
          <w:color w:val="000000"/>
        </w:rPr>
        <w:t xml:space="preserve">The path towards full pluralistic democracy by 2041 has to be founded on a strong and fair election commission, credible election, effective parliament, periodic election with participation of all and consensus on broad outline of economic, political and social agenda so that continuity </w:t>
      </w:r>
      <w:r>
        <w:rPr>
          <w:rFonts w:eastAsia="Times New Roman"/>
          <w:color w:val="000000"/>
        </w:rPr>
        <w:lastRenderedPageBreak/>
        <w:t>is assured and a turnover of power would not lead to dead halt of existing programs and starting from scratch. That will be waste of time and resources that Bangladesh ill affords. Pluralistic democracy is achievable with adherence to a ‘respect matrix’</w:t>
      </w:r>
      <w:r w:rsidR="00C30936">
        <w:rPr>
          <w:rFonts w:eastAsia="Times New Roman"/>
          <w:color w:val="000000"/>
        </w:rPr>
        <w:t xml:space="preserve"> (Figure 5) -</w:t>
      </w:r>
      <w:r>
        <w:rPr>
          <w:rFonts w:eastAsia="Times New Roman"/>
          <w:color w:val="000000"/>
        </w:rPr>
        <w:t xml:space="preserve"> respect for</w:t>
      </w:r>
      <w:r w:rsidR="00C30936">
        <w:rPr>
          <w:rFonts w:eastAsia="Times New Roman"/>
          <w:color w:val="000000"/>
        </w:rPr>
        <w:t xml:space="preserve"> inclusion, representation, consultation, equity, rule of law, human dignity, </w:t>
      </w:r>
      <w:r w:rsidR="00675A73">
        <w:rPr>
          <w:rFonts w:eastAsia="Times New Roman"/>
          <w:color w:val="000000"/>
        </w:rPr>
        <w:t>religious beliefs, social and political views, fair and honest polling, electoral participation, freedom of assembly and association</w:t>
      </w:r>
      <w:r>
        <w:rPr>
          <w:rFonts w:eastAsia="Times New Roman"/>
          <w:color w:val="000000"/>
        </w:rPr>
        <w:t>.</w:t>
      </w:r>
      <w:r w:rsidR="005D43DC">
        <w:rPr>
          <w:rFonts w:eastAsia="Times New Roman"/>
          <w:color w:val="000000"/>
        </w:rPr>
        <w:t xml:space="preserve"> </w:t>
      </w:r>
    </w:p>
    <w:p w:rsidR="0003703D" w:rsidRDefault="005D43DC" w:rsidP="00183818">
      <w:pPr>
        <w:spacing w:before="0" w:after="200" w:line="276" w:lineRule="auto"/>
        <w:rPr>
          <w:rFonts w:eastAsia="Times New Roman"/>
          <w:color w:val="000000"/>
        </w:rPr>
      </w:pPr>
      <w:r>
        <w:rPr>
          <w:rFonts w:eastAsia="Times New Roman"/>
          <w:color w:val="000000"/>
        </w:rPr>
        <w:t xml:space="preserve">What comes out this framework is a stable political system safeguarding democratic values and freedom which will unleash the latent potential of the people to drive the growth process. IN the ultimate analysis all power is vested in people secured by pluralistic democracy. There will be winners and losers in the short term electoral process, but there will be no losers in the longer term human development process. </w:t>
      </w:r>
      <w:r w:rsidR="00F179C3">
        <w:rPr>
          <w:rFonts w:eastAsia="Times New Roman"/>
          <w:color w:val="000000"/>
        </w:rPr>
        <w:t>It is submitted that for Bangladesh, as in all democracy loving world, pluralistic democracy is an end and mean</w:t>
      </w:r>
      <w:r w:rsidR="002B792A">
        <w:rPr>
          <w:rFonts w:eastAsia="Times New Roman"/>
          <w:color w:val="000000"/>
        </w:rPr>
        <w:t>s</w:t>
      </w:r>
      <w:r w:rsidR="00F179C3">
        <w:rPr>
          <w:rFonts w:eastAsia="Times New Roman"/>
          <w:color w:val="000000"/>
        </w:rPr>
        <w:t xml:space="preserve"> to an end as well.</w:t>
      </w:r>
      <w:r w:rsidR="002B792A">
        <w:rPr>
          <w:rFonts w:eastAsia="Times New Roman"/>
          <w:color w:val="000000"/>
        </w:rPr>
        <w:t xml:space="preserve"> The per capita income target of $12,500 by 2041 is enshrined in pluralistic democracy and pluralistic democracy is indispensable for attaining the declared income target. The Honorable Prime Minister will steer the country towards this cherished goal within the framework of pluralistic democracy. The Prime minister will lead on two fronts</w:t>
      </w:r>
      <w:r w:rsidR="00EC47F8">
        <w:rPr>
          <w:rFonts w:eastAsia="Times New Roman"/>
          <w:color w:val="000000"/>
        </w:rPr>
        <w:t>, the economic front and also the political front. Both are integral components of Vision 2041.</w:t>
      </w:r>
    </w:p>
    <w:p w:rsidR="00EC3147" w:rsidRPr="0003703D" w:rsidRDefault="00EC3147" w:rsidP="00183818">
      <w:pPr>
        <w:spacing w:before="0" w:after="200" w:line="276" w:lineRule="auto"/>
        <w:rPr>
          <w:color w:val="000000" w:themeColor="text1"/>
        </w:rPr>
      </w:pPr>
      <w:r w:rsidRPr="00EC1A42">
        <w:t>Pluralistic democracy represents the overriding umbrella for the Bangladesh society to operate under. The disparate forces representing different institutions, interest groups and people’s need to be brought into an interactive decision making process that will work through</w:t>
      </w:r>
      <w:r w:rsidRPr="00475094">
        <w:t xml:space="preserve"> multiple sources of power. Conflicts will arise but conflict resolution mechanism shall be put in place so that disagreements do not get out of hand undermining national aspirations improving the quality of life with dignity and harmony. The strength is in diversity with the government constitutionally entrusted to protect and promote diversity for all citizens</w:t>
      </w:r>
      <w:r>
        <w:t xml:space="preserve"> (Ahmed, Alamgir and Mujeri 2016)</w:t>
      </w:r>
      <w:r w:rsidRPr="00475094">
        <w:t>.</w:t>
      </w:r>
    </w:p>
    <w:p w:rsidR="009F0B62" w:rsidRDefault="00855467" w:rsidP="009F0B62">
      <w:pPr>
        <w:spacing w:before="0" w:after="200" w:line="276" w:lineRule="auto"/>
        <w:rPr>
          <w:b/>
          <w:color w:val="000000" w:themeColor="text1"/>
        </w:rPr>
      </w:pPr>
      <w:r w:rsidRPr="0003703D">
        <w:rPr>
          <w:b/>
          <w:color w:val="000000" w:themeColor="text1"/>
        </w:rPr>
        <w:t>Decentralization framework</w:t>
      </w:r>
    </w:p>
    <w:p w:rsidR="00BF5862" w:rsidRPr="009109D7" w:rsidRDefault="009F0B62" w:rsidP="009F0B62">
      <w:pPr>
        <w:spacing w:before="0" w:after="200" w:line="276" w:lineRule="auto"/>
        <w:rPr>
          <w:rFonts w:eastAsia="Times New Roman"/>
          <w:bCs/>
          <w:color w:val="000000" w:themeColor="text1"/>
        </w:rPr>
      </w:pPr>
      <w:r>
        <w:rPr>
          <w:rFonts w:eastAsia="Times New Roman"/>
          <w:bCs/>
          <w:color w:val="000000" w:themeColor="text1"/>
        </w:rPr>
        <w:t>D</w:t>
      </w:r>
      <w:r w:rsidR="00ED41C0" w:rsidRPr="009109D7">
        <w:rPr>
          <w:rFonts w:eastAsia="Times New Roman"/>
          <w:bCs/>
          <w:color w:val="000000" w:themeColor="text1"/>
        </w:rPr>
        <w:t>ecentralization in theory is decomposition of power into elements that can be exercised by agents at various levels in accordance with agreed principles in order to achieve agreed targets. From the theoretical perspective, Vision 2041 is anchored in a balance between centralized and decomposed structure of power. Support comes from the constitution</w:t>
      </w:r>
      <w:r w:rsidR="00BF5862" w:rsidRPr="009109D7">
        <w:rPr>
          <w:rFonts w:eastAsia="Times New Roman"/>
          <w:bCs/>
          <w:color w:val="000000" w:themeColor="text1"/>
        </w:rPr>
        <w:t xml:space="preserve"> (articles 59 and 60)</w:t>
      </w:r>
      <w:r w:rsidR="00ED41C0" w:rsidRPr="009109D7">
        <w:rPr>
          <w:rFonts w:eastAsia="Times New Roman"/>
          <w:bCs/>
          <w:color w:val="000000" w:themeColor="text1"/>
        </w:rPr>
        <w:t>.</w:t>
      </w:r>
      <w:r w:rsidR="00BF5862" w:rsidRPr="009109D7">
        <w:rPr>
          <w:rFonts w:eastAsia="Times New Roman"/>
          <w:bCs/>
          <w:color w:val="000000" w:themeColor="text1"/>
        </w:rPr>
        <w:t xml:space="preserve"> Various definitions exist for decentralization in practice which is simply delegation</w:t>
      </w:r>
      <w:r w:rsidR="0044393C" w:rsidRPr="009109D7">
        <w:rPr>
          <w:rFonts w:eastAsia="Times New Roman"/>
          <w:bCs/>
          <w:color w:val="000000" w:themeColor="text1"/>
        </w:rPr>
        <w:t xml:space="preserve"> (transfer </w:t>
      </w:r>
      <w:r w:rsidR="004A4EF8" w:rsidRPr="009109D7">
        <w:rPr>
          <w:rFonts w:eastAsia="Times New Roman"/>
          <w:bCs/>
          <w:color w:val="000000" w:themeColor="text1"/>
        </w:rPr>
        <w:t>of power</w:t>
      </w:r>
      <w:r w:rsidR="0044393C" w:rsidRPr="009109D7">
        <w:rPr>
          <w:rFonts w:eastAsia="Times New Roman"/>
          <w:bCs/>
          <w:color w:val="000000" w:themeColor="text1"/>
        </w:rPr>
        <w:t xml:space="preserve"> from superior authority to subordinate one)</w:t>
      </w:r>
      <w:r w:rsidR="00BF5862" w:rsidRPr="009109D7">
        <w:rPr>
          <w:rFonts w:eastAsia="Times New Roman"/>
          <w:bCs/>
          <w:color w:val="000000" w:themeColor="text1"/>
        </w:rPr>
        <w:t>, devolution</w:t>
      </w:r>
      <w:r w:rsidR="0044393C" w:rsidRPr="009109D7">
        <w:rPr>
          <w:rFonts w:eastAsia="Times New Roman"/>
          <w:bCs/>
          <w:color w:val="000000" w:themeColor="text1"/>
        </w:rPr>
        <w:t xml:space="preserve"> (transfer of power to locally constituted political bodies)</w:t>
      </w:r>
      <w:r w:rsidR="00BF5862" w:rsidRPr="009109D7">
        <w:rPr>
          <w:rFonts w:eastAsia="Times New Roman"/>
          <w:bCs/>
          <w:color w:val="000000" w:themeColor="text1"/>
        </w:rPr>
        <w:t xml:space="preserve">, </w:t>
      </w:r>
      <w:r w:rsidR="0044393C" w:rsidRPr="009109D7">
        <w:rPr>
          <w:rFonts w:eastAsia="Times New Roman"/>
          <w:bCs/>
          <w:color w:val="000000" w:themeColor="text1"/>
        </w:rPr>
        <w:t>Deconcentration (transfer of specific responsibilities from center to subordinate bodies)</w:t>
      </w:r>
      <w:r w:rsidR="00BF5862" w:rsidRPr="009109D7">
        <w:rPr>
          <w:rFonts w:eastAsia="Times New Roman"/>
          <w:bCs/>
          <w:color w:val="000000" w:themeColor="text1"/>
        </w:rPr>
        <w:t xml:space="preserve"> </w:t>
      </w:r>
      <w:r w:rsidR="009109D7" w:rsidRPr="009109D7">
        <w:rPr>
          <w:rFonts w:eastAsia="Times New Roman"/>
          <w:bCs/>
          <w:color w:val="000000" w:themeColor="text1"/>
        </w:rPr>
        <w:t>or</w:t>
      </w:r>
      <w:r w:rsidR="00BF5862" w:rsidRPr="009109D7">
        <w:rPr>
          <w:rFonts w:eastAsia="Times New Roman"/>
          <w:bCs/>
          <w:color w:val="000000" w:themeColor="text1"/>
        </w:rPr>
        <w:t xml:space="preserve"> dispersal </w:t>
      </w:r>
      <w:r w:rsidR="0044393C" w:rsidRPr="009109D7">
        <w:rPr>
          <w:rFonts w:eastAsia="Times New Roman"/>
          <w:bCs/>
          <w:color w:val="000000" w:themeColor="text1"/>
        </w:rPr>
        <w:t>(</w:t>
      </w:r>
      <w:r w:rsidR="009109D7" w:rsidRPr="009109D7">
        <w:rPr>
          <w:rFonts w:eastAsia="Times New Roman"/>
          <w:bCs/>
          <w:color w:val="000000" w:themeColor="text1"/>
        </w:rPr>
        <w:t xml:space="preserve">posting of officials outside capital without substantial transfer of power) </w:t>
      </w:r>
      <w:r w:rsidR="00BF5862" w:rsidRPr="009109D7">
        <w:rPr>
          <w:rFonts w:eastAsia="Times New Roman"/>
          <w:bCs/>
          <w:color w:val="000000" w:themeColor="text1"/>
        </w:rPr>
        <w:t xml:space="preserve">to carefully defined entities with specific areas of responsibility. </w:t>
      </w:r>
    </w:p>
    <w:p w:rsidR="00183818" w:rsidRDefault="00EC3147" w:rsidP="00183818">
      <w:pPr>
        <w:spacing w:before="0" w:after="200" w:line="276" w:lineRule="auto"/>
        <w:rPr>
          <w:rFonts w:eastAsia="Times New Roman"/>
          <w:color w:val="000000"/>
        </w:rPr>
      </w:pPr>
      <w:r>
        <w:rPr>
          <w:noProof/>
        </w:rPr>
        <w:lastRenderedPageBreak/>
        <w:drawing>
          <wp:anchor distT="0" distB="0" distL="114300" distR="114300" simplePos="0" relativeHeight="251810816" behindDoc="0" locked="0" layoutInCell="1" allowOverlap="1" wp14:anchorId="4A251259" wp14:editId="0B3DCC15">
            <wp:simplePos x="0" y="0"/>
            <wp:positionH relativeFrom="margin">
              <wp:align>left</wp:align>
            </wp:positionH>
            <wp:positionV relativeFrom="paragraph">
              <wp:posOffset>624840</wp:posOffset>
            </wp:positionV>
            <wp:extent cx="3512820" cy="33070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12820" cy="3307080"/>
                    </a:xfrm>
                    <a:prstGeom prst="rect">
                      <a:avLst/>
                    </a:prstGeom>
                  </pic:spPr>
                </pic:pic>
              </a:graphicData>
            </a:graphic>
            <wp14:sizeRelH relativeFrom="page">
              <wp14:pctWidth>0</wp14:pctWidth>
            </wp14:sizeRelH>
            <wp14:sizeRelV relativeFrom="page">
              <wp14:pctHeight>0</wp14:pctHeight>
            </wp14:sizeRelV>
          </wp:anchor>
        </w:drawing>
      </w:r>
      <w:r w:rsidR="00183818" w:rsidRPr="009109D7">
        <w:rPr>
          <w:rFonts w:eastAsia="Times New Roman"/>
          <w:bCs/>
          <w:color w:val="000000" w:themeColor="text1"/>
        </w:rPr>
        <w:t>Decentralization of power</w:t>
      </w:r>
      <w:r w:rsidR="00183818" w:rsidRPr="009109D7">
        <w:rPr>
          <w:rFonts w:eastAsia="Times New Roman"/>
          <w:color w:val="000000" w:themeColor="text1"/>
        </w:rPr>
        <w:t xml:space="preserve"> is paramount to pluralistic democracy and good governance. Bangladesh cannot go forward and be a developed country by 2041 as desired by the Honorable Prime Minister unless </w:t>
      </w:r>
      <w:r w:rsidR="00183818" w:rsidRPr="002B17C3">
        <w:rPr>
          <w:rFonts w:eastAsia="Times New Roman"/>
          <w:color w:val="000000"/>
        </w:rPr>
        <w:t xml:space="preserve">administrative, financial (including revenue) and political power is decentralized to the grassroots level, more formally to the lowest hierarchical level of government structure. The study will make the case for Deconcentration and decentralization in Bangladesh which currently falls far short of the optimal given that all decision making power is located </w:t>
      </w:r>
      <w:r w:rsidR="0044393C">
        <w:rPr>
          <w:rFonts w:eastAsia="Times New Roman"/>
          <w:color w:val="000000"/>
        </w:rPr>
        <w:t xml:space="preserve">in </w:t>
      </w:r>
      <w:r w:rsidR="00183818" w:rsidRPr="002B17C3">
        <w:rPr>
          <w:rFonts w:eastAsia="Times New Roman"/>
          <w:color w:val="000000"/>
        </w:rPr>
        <w:t xml:space="preserve">Dhaka. For a change the planning process </w:t>
      </w:r>
      <w:r w:rsidR="002359DE">
        <w:rPr>
          <w:rFonts w:eastAsia="Times New Roman"/>
          <w:color w:val="000000"/>
        </w:rPr>
        <w:t xml:space="preserve">too </w:t>
      </w:r>
      <w:r w:rsidR="00183818" w:rsidRPr="002B17C3">
        <w:rPr>
          <w:rFonts w:eastAsia="Times New Roman"/>
          <w:color w:val="000000"/>
        </w:rPr>
        <w:t>has to be decentralized.</w:t>
      </w:r>
    </w:p>
    <w:p w:rsidR="00121026" w:rsidRDefault="00183818" w:rsidP="00D05116">
      <w:pPr>
        <w:spacing w:before="0" w:after="200" w:line="276" w:lineRule="auto"/>
      </w:pPr>
      <w:r w:rsidRPr="005D423D">
        <w:t xml:space="preserve">The framework for decentralization (Figure </w:t>
      </w:r>
      <w:r>
        <w:t>6</w:t>
      </w:r>
      <w:r w:rsidRPr="005D423D">
        <w:t>) suggests target of completing the process of Deconcentration and decentralization by 2041 under six concepts: (</w:t>
      </w:r>
      <w:proofErr w:type="spellStart"/>
      <w:r w:rsidRPr="005D423D">
        <w:t>i</w:t>
      </w:r>
      <w:proofErr w:type="spellEnd"/>
      <w:r w:rsidRPr="005D423D">
        <w:t>) fiscal and planning decentralization, (ii) political and decision-making decentralization, (iii) vertical and judicial decentralization, (iv) administrative and personnel decentralization, (v) electoral decentralization. This will have implication for urban and land use planning and shifting power away from Dhaka in favor of other nodes.</w:t>
      </w:r>
    </w:p>
    <w:p w:rsidR="00D05116" w:rsidRPr="00121026" w:rsidRDefault="00D05116" w:rsidP="00D05116">
      <w:pPr>
        <w:spacing w:before="0" w:after="200" w:line="276" w:lineRule="auto"/>
        <w:rPr>
          <w:color w:val="000000" w:themeColor="text1"/>
        </w:rPr>
      </w:pPr>
      <w:r w:rsidRPr="00B2074B">
        <w:t>The power of decentralization is exerted through democratic good governance. Cross-country analysis shows significant correlation between decentralization and democracy. The latter has brought accelerated growth in Bangladesh implying that decentralization may contribute to growth by strengthening democracy.</w:t>
      </w:r>
      <w:r w:rsidRPr="00B2074B">
        <w:rPr>
          <w:color w:val="000000"/>
        </w:rPr>
        <w:t xml:space="preserve"> Decentralization unleashes people’s power so crucial to win victory against all odds. </w:t>
      </w:r>
    </w:p>
    <w:p w:rsidR="00855467" w:rsidRPr="0003703D" w:rsidRDefault="00855467" w:rsidP="00855467">
      <w:pPr>
        <w:spacing w:before="0" w:after="200" w:line="276" w:lineRule="auto"/>
        <w:ind w:left="720"/>
        <w:rPr>
          <w:b/>
          <w:color w:val="000000" w:themeColor="text1"/>
        </w:rPr>
      </w:pPr>
      <w:r w:rsidRPr="0003703D">
        <w:rPr>
          <w:b/>
          <w:color w:val="000000" w:themeColor="text1"/>
        </w:rPr>
        <w:t>Capacity building framework</w:t>
      </w:r>
    </w:p>
    <w:p w:rsidR="00EC3147" w:rsidRDefault="005F3DD6" w:rsidP="0027428A">
      <w:pPr>
        <w:spacing w:before="0" w:after="200" w:line="276" w:lineRule="auto"/>
        <w:rPr>
          <w:color w:val="000000" w:themeColor="text1"/>
        </w:rPr>
      </w:pPr>
      <w:r w:rsidRPr="002B17C3">
        <w:rPr>
          <w:rFonts w:eastAsia="Times New Roman"/>
          <w:bCs/>
          <w:color w:val="000000"/>
        </w:rPr>
        <w:t>Capacity building for institutions compatible with a transforming economy is important for </w:t>
      </w:r>
      <w:r w:rsidRPr="002B17C3">
        <w:rPr>
          <w:rFonts w:eastAsia="Times New Roman"/>
          <w:color w:val="000000"/>
        </w:rPr>
        <w:t xml:space="preserve">pluralistic democracy, decentralization of power and good governance. Governance and leadership and its mission, vision and strategy will define institutional capacity </w:t>
      </w:r>
      <w:r w:rsidRPr="002B17C3">
        <w:rPr>
          <w:rFonts w:eastAsia="Times New Roman"/>
          <w:bCs/>
          <w:color w:val="000000"/>
        </w:rPr>
        <w:t>focused on strategic relationship, resource development and internal management and operations</w:t>
      </w:r>
      <w:r w:rsidRPr="002B17C3">
        <w:rPr>
          <w:rFonts w:eastAsia="Times New Roman"/>
          <w:color w:val="000000"/>
        </w:rPr>
        <w:t xml:space="preserve">. The critical elements are: right type of institutions for right task, strengthening of institutions to function effectively in delivering assigned tasks, developing capacity to manage institutional transition during economic transformation and finally, make sure that institutions remain dynamic not trapped in mediocrity and conformity. Strong institutions are founded on strong </w:t>
      </w:r>
      <w:r w:rsidRPr="002B17C3">
        <w:rPr>
          <w:rFonts w:eastAsia="Times New Roman"/>
          <w:color w:val="000000"/>
        </w:rPr>
        <w:lastRenderedPageBreak/>
        <w:t xml:space="preserve">inputs; operate through effective processes to produce the desired output (Figure </w:t>
      </w:r>
      <w:r w:rsidR="007649B7">
        <w:rPr>
          <w:rFonts w:eastAsia="Times New Roman"/>
          <w:color w:val="000000"/>
        </w:rPr>
        <w:t>7</w:t>
      </w:r>
      <w:r w:rsidRPr="002B17C3">
        <w:rPr>
          <w:rFonts w:eastAsia="Times New Roman"/>
          <w:color w:val="000000"/>
        </w:rPr>
        <w:t>). Bangladesh faces challenge at every step that will be elaborated in the paper along with remedies.</w:t>
      </w:r>
    </w:p>
    <w:p w:rsidR="003C1650" w:rsidRDefault="007649B7" w:rsidP="003C1650">
      <w:pPr>
        <w:spacing w:before="0" w:after="200" w:line="276" w:lineRule="auto"/>
      </w:pPr>
      <w:r>
        <w:rPr>
          <w:noProof/>
        </w:rPr>
        <w:drawing>
          <wp:anchor distT="0" distB="0" distL="114300" distR="114300" simplePos="0" relativeHeight="251811840" behindDoc="0" locked="0" layoutInCell="1" allowOverlap="1" wp14:anchorId="7C264B14" wp14:editId="641B35C6">
            <wp:simplePos x="0" y="0"/>
            <wp:positionH relativeFrom="margin">
              <wp:align>left</wp:align>
            </wp:positionH>
            <wp:positionV relativeFrom="paragraph">
              <wp:posOffset>403860</wp:posOffset>
            </wp:positionV>
            <wp:extent cx="3543300" cy="29870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43300" cy="2987040"/>
                    </a:xfrm>
                    <a:prstGeom prst="rect">
                      <a:avLst/>
                    </a:prstGeom>
                  </pic:spPr>
                </pic:pic>
              </a:graphicData>
            </a:graphic>
            <wp14:sizeRelH relativeFrom="page">
              <wp14:pctWidth>0</wp14:pctWidth>
            </wp14:sizeRelH>
            <wp14:sizeRelV relativeFrom="page">
              <wp14:pctHeight>0</wp14:pctHeight>
            </wp14:sizeRelV>
          </wp:anchor>
        </w:drawing>
      </w:r>
      <w:r w:rsidRPr="00B2074B">
        <w:t>Institutions properly designed and managed shall provide the stimulus for building human capital, physical capital, and technological progress. Policy and institutional reforms will have to play a vital catalytic role. These are deep seated game changing reforms which will have its natural enemies whose perceived interest may be hurt. Prompt legislative actions will be crucial but this cannot be guaranteed without well-functioning legislature in which voices of the position and opposition are equally heard and respected and accommodated. This implies a smoothly functioning participatory and pluralistic democracy. At the same time an impartial, honest, independent and separate judiciary must be functioning to consolidate legal foundation and adjudicate conflicts. Fundamental reforms of economic and social institutions will lay the foundation for physical and human capital accumulation and technological progress. Financial (fiscal and monetary), banking, trade and capital market reforms combined with market liberalization measures, incentive and legal and regulatory framework and internal and external security shall pave the way for physical capital accumulation.</w:t>
      </w:r>
    </w:p>
    <w:p w:rsidR="00931DAE" w:rsidRDefault="00931DAE" w:rsidP="00397FED">
      <w:pPr>
        <w:pStyle w:val="ListParagraph"/>
        <w:numPr>
          <w:ilvl w:val="0"/>
          <w:numId w:val="1"/>
        </w:numPr>
        <w:spacing w:before="0" w:after="200" w:line="276" w:lineRule="auto"/>
        <w:contextualSpacing w:val="0"/>
        <w:rPr>
          <w:rFonts w:ascii="Times New Roman" w:hAnsi="Times New Roman" w:cs="Times New Roman"/>
        </w:rPr>
      </w:pPr>
      <w:r w:rsidRPr="00BD14C5">
        <w:rPr>
          <w:rFonts w:ascii="Times New Roman" w:hAnsi="Times New Roman" w:cs="Times New Roman"/>
          <w:b/>
          <w:color w:val="365F91" w:themeColor="accent1" w:themeShade="BF"/>
        </w:rPr>
        <w:t>THE CURRENT STATE OF INSTITUTIONS</w:t>
      </w:r>
    </w:p>
    <w:p w:rsidR="00931DAE" w:rsidRDefault="00931DAE" w:rsidP="00931DAE">
      <w:pPr>
        <w:spacing w:before="0" w:after="200" w:line="276" w:lineRule="auto"/>
        <w:rPr>
          <w:b/>
          <w:color w:val="000000" w:themeColor="text1"/>
        </w:rPr>
      </w:pPr>
      <w:r>
        <w:rPr>
          <w:b/>
          <w:color w:val="000000" w:themeColor="text1"/>
        </w:rPr>
        <w:t>Planning</w:t>
      </w:r>
    </w:p>
    <w:p w:rsidR="00584B32" w:rsidRPr="0057173F" w:rsidRDefault="00584B32" w:rsidP="00584B32">
      <w:pPr>
        <w:spacing w:before="0" w:after="200" w:line="276" w:lineRule="auto"/>
      </w:pPr>
      <w:r w:rsidRPr="00F66CA8">
        <w:t xml:space="preserve">Bangladesh did not do well in early years either in plan formulation or achievement of targets. The First Five Year Plan (1973-78) died before it was born, so to speak. This has changed dramatically in recent years. The Two-Year Plan (1978–80) was an attempt to glide through a period of internal and external uncertainties. </w:t>
      </w:r>
      <w:r>
        <w:t>Political uncertainties and the democracy movement doomed the Second (1980-85) and the Third Five Year Plan (1985-90). T</w:t>
      </w:r>
      <w:r w:rsidRPr="00F66CA8">
        <w:t xml:space="preserve">he Fourth Five Year Plan (1990-1995) an experiment in </w:t>
      </w:r>
      <w:r w:rsidRPr="004F6D7A">
        <w:t>participatory planning whose implementation actually started in 1995. The private sector oriented Fifth Five Year Plan (1997-2002) was launched in 1997</w:t>
      </w:r>
      <w:r>
        <w:t xml:space="preserve"> </w:t>
      </w:r>
      <w:r w:rsidRPr="004F6D7A">
        <w:t>calling for 7% growth rate of GDP</w:t>
      </w:r>
      <w:r>
        <w:t>. Through the five plans the planning process improved with increasing high-level inputs from domestic and foreign experts. As a result, t</w:t>
      </w:r>
      <w:r w:rsidRPr="004F6D7A">
        <w:t>he Perspective Plan and the Sixth Plan are</w:t>
      </w:r>
      <w:r w:rsidRPr="00F66CA8">
        <w:t xml:space="preserve"> simply master pieces of strategic thinking anchored in Vision</w:t>
      </w:r>
      <w:r w:rsidRPr="00E93817">
        <w:t xml:space="preserve"> 2021, seventh </w:t>
      </w:r>
      <w:r>
        <w:t xml:space="preserve">is </w:t>
      </w:r>
      <w:r w:rsidRPr="00E93817">
        <w:t>no different</w:t>
      </w:r>
      <w:r>
        <w:t xml:space="preserve">. </w:t>
      </w:r>
      <w:r w:rsidRPr="00E93817">
        <w:t xml:space="preserve">Achievements under sixth plan are behind target but pace is picking up so </w:t>
      </w:r>
      <w:r w:rsidRPr="00E93817">
        <w:lastRenderedPageBreak/>
        <w:t>that an asymptotic convergence with the perspective plan target by 2021 is conceivable</w:t>
      </w:r>
      <w:r>
        <w:t xml:space="preserve">. </w:t>
      </w:r>
      <w:r w:rsidRPr="00E93817">
        <w:t>No wonder world bodies are lauding Bangladesh’s performance and competing with one another to up projected growth rate for few years down the road</w:t>
      </w:r>
      <w:r>
        <w:t xml:space="preserve"> </w:t>
      </w:r>
      <w:r w:rsidRPr="00E93817">
        <w:t>-World Bank, IMF and ADB</w:t>
      </w:r>
      <w:r>
        <w:t xml:space="preserve">. </w:t>
      </w:r>
      <w:r w:rsidRPr="00E93817">
        <w:t>So all is well with planning as an institution</w:t>
      </w:r>
      <w:r>
        <w:t xml:space="preserve">. Bangladesh compares favorably with comparator countries in terms of planning </w:t>
      </w:r>
      <w:r w:rsidRPr="0057173F">
        <w:t xml:space="preserve">framework and link with budget </w:t>
      </w:r>
      <w:r w:rsidRPr="00E849A6">
        <w:rPr>
          <w:color w:val="000000" w:themeColor="text1"/>
        </w:rPr>
        <w:t xml:space="preserve">(Table </w:t>
      </w:r>
      <w:r w:rsidR="00A30402" w:rsidRPr="00E849A6">
        <w:rPr>
          <w:color w:val="000000" w:themeColor="text1"/>
        </w:rPr>
        <w:t>1</w:t>
      </w:r>
      <w:r w:rsidRPr="00E849A6">
        <w:rPr>
          <w:color w:val="000000" w:themeColor="text1"/>
        </w:rPr>
        <w:t xml:space="preserve">), </w:t>
      </w:r>
      <w:r w:rsidRPr="0057173F">
        <w:t>but la</w:t>
      </w:r>
      <w:r>
        <w:t>gs</w:t>
      </w:r>
      <w:r w:rsidRPr="0057173F">
        <w:t xml:space="preserve"> behind in synchronization with budget and results achievement in which Korea is an outstanding example </w:t>
      </w:r>
      <w:r w:rsidRPr="00E849A6">
        <w:rPr>
          <w:color w:val="000000" w:themeColor="text1"/>
        </w:rPr>
        <w:t xml:space="preserve">(Figures </w:t>
      </w:r>
      <w:r w:rsidR="00A30402" w:rsidRPr="00E849A6">
        <w:rPr>
          <w:color w:val="000000" w:themeColor="text1"/>
        </w:rPr>
        <w:t>8</w:t>
      </w:r>
      <w:r w:rsidRPr="00E849A6">
        <w:rPr>
          <w:color w:val="000000" w:themeColor="text1"/>
        </w:rPr>
        <w:t xml:space="preserve">, </w:t>
      </w:r>
      <w:r w:rsidR="00A30402" w:rsidRPr="00E849A6">
        <w:rPr>
          <w:color w:val="000000" w:themeColor="text1"/>
        </w:rPr>
        <w:t>9</w:t>
      </w:r>
      <w:r w:rsidRPr="00E849A6">
        <w:rPr>
          <w:color w:val="000000" w:themeColor="text1"/>
        </w:rPr>
        <w:t xml:space="preserve"> and </w:t>
      </w:r>
      <w:r w:rsidR="00A30402" w:rsidRPr="00E849A6">
        <w:rPr>
          <w:color w:val="000000" w:themeColor="text1"/>
        </w:rPr>
        <w:t>10</w:t>
      </w:r>
      <w:r w:rsidRPr="00E849A6">
        <w:rPr>
          <w:color w:val="000000" w:themeColor="text1"/>
        </w:rPr>
        <w:t>). Evidently, Bangladesh has some way to go in planning and learn from lea</w:t>
      </w:r>
      <w:r>
        <w:t>ding Asian countries like the Republic of Korea.</w:t>
      </w:r>
    </w:p>
    <w:p w:rsidR="00584B32" w:rsidRPr="0057173F" w:rsidRDefault="00584B32" w:rsidP="00584B32">
      <w:pPr>
        <w:spacing w:before="0" w:after="200" w:line="276" w:lineRule="auto"/>
      </w:pPr>
      <w:r w:rsidRPr="0057173F">
        <w:t>Plan</w:t>
      </w:r>
      <w:r>
        <w:t>ning in Bangladesh faces t</w:t>
      </w:r>
      <w:r w:rsidRPr="0057173F">
        <w:t>wo major challenges</w:t>
      </w:r>
      <w:r>
        <w:t xml:space="preserve">, namely, </w:t>
      </w:r>
      <w:r w:rsidRPr="0057173F">
        <w:t xml:space="preserve">synchronization with the medium-term expenditure framework and the annual budget, especially in fiscal projection and project/program implementation capacity. Planning capacity is overtaxed between tasks of strategy formulation and policy development and </w:t>
      </w:r>
      <w:r w:rsidRPr="00D10DCF">
        <w:t>sectoral planning, project planning, resource planning and evaluation</w:t>
      </w:r>
      <w:r>
        <w:t>.</w:t>
      </w:r>
      <w:r w:rsidRPr="0057173F">
        <w:t xml:space="preserve"> With the preparation and inputs it will have had the SPPB will be different from the past will hopefully exceed expectation in terms of realized outcome once coordination with the Ministry of Finance improves and the planning body repositions itself to focus primarily on strategy formulation as with </w:t>
      </w:r>
      <w:proofErr w:type="spellStart"/>
      <w:r w:rsidRPr="0057173F">
        <w:t>Niti</w:t>
      </w:r>
      <w:proofErr w:type="spellEnd"/>
      <w:r w:rsidRPr="0057173F">
        <w:t xml:space="preserve"> </w:t>
      </w:r>
      <w:proofErr w:type="spellStart"/>
      <w:r w:rsidRPr="0057173F">
        <w:t>Aayuog</w:t>
      </w:r>
      <w:proofErr w:type="spellEnd"/>
      <w:r w:rsidRPr="0057173F">
        <w:t xml:space="preserve"> (National Institution for Transforming India).</w:t>
      </w:r>
    </w:p>
    <w:p w:rsidR="00584B32" w:rsidRDefault="00584B32" w:rsidP="00584B32">
      <w:pPr>
        <w:spacing w:before="0" w:after="0"/>
        <w:rPr>
          <w:noProof/>
        </w:rPr>
      </w:pPr>
      <w:r>
        <w:rPr>
          <w:b/>
        </w:rPr>
        <w:t xml:space="preserve">Table </w:t>
      </w:r>
      <w:r w:rsidR="0062735D">
        <w:rPr>
          <w:b/>
        </w:rPr>
        <w:t>1: Planning</w:t>
      </w:r>
      <w:r>
        <w:rPr>
          <w:b/>
        </w:rPr>
        <w:t xml:space="preserve"> and budget link</w:t>
      </w:r>
    </w:p>
    <w:p w:rsidR="00584B32" w:rsidRDefault="00584B32" w:rsidP="00584B32">
      <w:pPr>
        <w:spacing w:before="0" w:after="0"/>
        <w:rPr>
          <w:b/>
        </w:rPr>
      </w:pPr>
      <w:r>
        <w:rPr>
          <w:noProof/>
        </w:rPr>
        <w:drawing>
          <wp:inline distT="0" distB="0" distL="0" distR="0" wp14:anchorId="184ED291" wp14:editId="22F0D227">
            <wp:extent cx="5943600" cy="2529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29840"/>
                    </a:xfrm>
                    <a:prstGeom prst="rect">
                      <a:avLst/>
                    </a:prstGeom>
                  </pic:spPr>
                </pic:pic>
              </a:graphicData>
            </a:graphic>
          </wp:inline>
        </w:drawing>
      </w:r>
    </w:p>
    <w:p w:rsidR="00584B32" w:rsidRDefault="00584B32" w:rsidP="00584B32">
      <w:pPr>
        <w:spacing w:before="0"/>
        <w:rPr>
          <w:sz w:val="18"/>
          <w:szCs w:val="18"/>
          <w:lang w:val="en-PH"/>
        </w:rPr>
      </w:pPr>
      <w:r w:rsidRPr="00E00574">
        <w:rPr>
          <w:sz w:val="18"/>
          <w:szCs w:val="18"/>
          <w:lang w:val="en-PH"/>
        </w:rPr>
        <w:t>Source: Country references</w:t>
      </w:r>
    </w:p>
    <w:p w:rsidR="00584B32" w:rsidRDefault="00584B32" w:rsidP="00584B32">
      <w:pPr>
        <w:rPr>
          <w:b/>
          <w:lang w:val="en-PH"/>
        </w:rPr>
      </w:pPr>
      <w:r>
        <w:rPr>
          <w:b/>
          <w:lang w:val="en-PH"/>
        </w:rPr>
        <w:br w:type="page"/>
      </w:r>
    </w:p>
    <w:p w:rsidR="00584B32" w:rsidRDefault="00584B32" w:rsidP="00584B32">
      <w:pPr>
        <w:spacing w:before="0" w:after="0"/>
        <w:rPr>
          <w:b/>
          <w:lang w:val="en-PH"/>
        </w:rPr>
      </w:pPr>
      <w:r>
        <w:rPr>
          <w:b/>
          <w:lang w:val="en-PH"/>
        </w:rPr>
        <w:lastRenderedPageBreak/>
        <w:t>Figure</w:t>
      </w:r>
      <w:r w:rsidR="0062735D">
        <w:rPr>
          <w:b/>
          <w:lang w:val="en-PH"/>
        </w:rPr>
        <w:t xml:space="preserve"> 8</w:t>
      </w:r>
      <w:r>
        <w:rPr>
          <w:b/>
          <w:lang w:val="en-PH"/>
        </w:rPr>
        <w:t>: The comparative planning framework in Korea and Thailand</w:t>
      </w:r>
    </w:p>
    <w:p w:rsidR="00584B32" w:rsidRDefault="00584B32" w:rsidP="00584B32">
      <w:pPr>
        <w:spacing w:before="0" w:after="0"/>
        <w:rPr>
          <w:b/>
          <w:lang w:val="en-PH"/>
        </w:rPr>
      </w:pPr>
      <w:r>
        <w:rPr>
          <w:noProof/>
        </w:rPr>
        <w:drawing>
          <wp:inline distT="0" distB="0" distL="0" distR="0" wp14:anchorId="0BBAF4F8" wp14:editId="1E54768F">
            <wp:extent cx="5654040" cy="32004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4114"/>
                    <a:stretch/>
                  </pic:blipFill>
                  <pic:spPr bwMode="auto">
                    <a:xfrm>
                      <a:off x="0" y="0"/>
                      <a:ext cx="5654040" cy="3200400"/>
                    </a:xfrm>
                    <a:prstGeom prst="rect">
                      <a:avLst/>
                    </a:prstGeom>
                    <a:ln>
                      <a:noFill/>
                    </a:ln>
                    <a:extLst>
                      <a:ext uri="{53640926-AAD7-44D8-BBD7-CCE9431645EC}">
                        <a14:shadowObscured xmlns:a14="http://schemas.microsoft.com/office/drawing/2010/main"/>
                      </a:ext>
                    </a:extLst>
                  </pic:spPr>
                </pic:pic>
              </a:graphicData>
            </a:graphic>
          </wp:inline>
        </w:drawing>
      </w:r>
    </w:p>
    <w:p w:rsidR="00584B32" w:rsidRPr="001576BF" w:rsidRDefault="00584B32" w:rsidP="00584B32">
      <w:pPr>
        <w:spacing w:before="0" w:after="0"/>
        <w:rPr>
          <w:sz w:val="18"/>
          <w:szCs w:val="18"/>
          <w:lang w:val="en-PH"/>
        </w:rPr>
      </w:pPr>
      <w:r>
        <w:rPr>
          <w:sz w:val="18"/>
          <w:szCs w:val="18"/>
          <w:lang w:val="en-PH"/>
        </w:rPr>
        <w:t>Source: ADB TA 7706.</w:t>
      </w:r>
      <w:r w:rsidR="003F59C7">
        <w:rPr>
          <w:sz w:val="18"/>
          <w:szCs w:val="18"/>
          <w:lang w:val="en-PH"/>
        </w:rPr>
        <w:t xml:space="preserve"> Comparative infrastructure Assessment of Kingdom of Thailand and Republic of Korea.</w:t>
      </w:r>
    </w:p>
    <w:p w:rsidR="00584B32" w:rsidRDefault="00584B32" w:rsidP="00584B32">
      <w:pPr>
        <w:spacing w:after="0"/>
        <w:rPr>
          <w:b/>
          <w:lang w:val="en-PH"/>
        </w:rPr>
      </w:pPr>
      <w:r>
        <w:rPr>
          <w:b/>
          <w:lang w:val="en-PH"/>
        </w:rPr>
        <w:t xml:space="preserve">Figure </w:t>
      </w:r>
      <w:r w:rsidR="0062735D">
        <w:rPr>
          <w:b/>
          <w:lang w:val="en-PH"/>
        </w:rPr>
        <w:t>9</w:t>
      </w:r>
      <w:r>
        <w:rPr>
          <w:b/>
          <w:lang w:val="en-PH"/>
        </w:rPr>
        <w:t>: Synchronized planning and budgeting – Republic of Korea</w:t>
      </w:r>
    </w:p>
    <w:p w:rsidR="00584B32" w:rsidRDefault="00584B32" w:rsidP="00584B32">
      <w:pPr>
        <w:spacing w:before="0" w:after="0"/>
        <w:rPr>
          <w:b/>
          <w:lang w:val="en-PH"/>
        </w:rPr>
      </w:pPr>
      <w:r>
        <w:rPr>
          <w:noProof/>
        </w:rPr>
        <w:drawing>
          <wp:inline distT="0" distB="0" distL="0" distR="0" wp14:anchorId="295502B9" wp14:editId="3D564494">
            <wp:extent cx="5715000" cy="399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15000" cy="3992880"/>
                    </a:xfrm>
                    <a:prstGeom prst="rect">
                      <a:avLst/>
                    </a:prstGeom>
                  </pic:spPr>
                </pic:pic>
              </a:graphicData>
            </a:graphic>
          </wp:inline>
        </w:drawing>
      </w:r>
    </w:p>
    <w:p w:rsidR="003F59C7" w:rsidRDefault="003F59C7" w:rsidP="00584B32">
      <w:pPr>
        <w:spacing w:before="0" w:after="0"/>
        <w:rPr>
          <w:b/>
          <w:lang w:val="en-PH"/>
        </w:rPr>
      </w:pPr>
      <w:r>
        <w:rPr>
          <w:sz w:val="18"/>
          <w:szCs w:val="18"/>
          <w:lang w:val="en-PH"/>
        </w:rPr>
        <w:t>Source: ADB TA 7706. Comparative infrastructure Assessment of Kingdom of Thailand and Republic of Korea</w:t>
      </w:r>
    </w:p>
    <w:p w:rsidR="00584B32" w:rsidRDefault="00584B32" w:rsidP="00584B32">
      <w:pPr>
        <w:rPr>
          <w:b/>
        </w:rPr>
      </w:pPr>
      <w:r>
        <w:rPr>
          <w:b/>
        </w:rPr>
        <w:br w:type="page"/>
      </w:r>
    </w:p>
    <w:p w:rsidR="00584B32" w:rsidRDefault="00584B32" w:rsidP="00584B32">
      <w:pPr>
        <w:rPr>
          <w:sz w:val="18"/>
          <w:szCs w:val="18"/>
          <w:lang w:val="en-PH"/>
        </w:rPr>
      </w:pPr>
      <w:r>
        <w:rPr>
          <w:b/>
        </w:rPr>
        <w:lastRenderedPageBreak/>
        <w:t>Figure</w:t>
      </w:r>
      <w:r w:rsidR="0062735D">
        <w:rPr>
          <w:b/>
        </w:rPr>
        <w:t xml:space="preserve"> 10:</w:t>
      </w:r>
      <w:r w:rsidR="0062735D" w:rsidRPr="003C534A">
        <w:rPr>
          <w:b/>
        </w:rPr>
        <w:t xml:space="preserve"> Transport</w:t>
      </w:r>
      <w:r w:rsidRPr="003C534A">
        <w:rPr>
          <w:b/>
        </w:rPr>
        <w:t xml:space="preserve"> </w:t>
      </w:r>
      <w:r>
        <w:rPr>
          <w:b/>
        </w:rPr>
        <w:t>s</w:t>
      </w:r>
      <w:r w:rsidRPr="003C534A">
        <w:rPr>
          <w:b/>
        </w:rPr>
        <w:t xml:space="preserve">ector </w:t>
      </w:r>
      <w:r>
        <w:rPr>
          <w:b/>
        </w:rPr>
        <w:t>i</w:t>
      </w:r>
      <w:r w:rsidRPr="003C534A">
        <w:rPr>
          <w:b/>
        </w:rPr>
        <w:t xml:space="preserve">nvestment </w:t>
      </w:r>
      <w:r>
        <w:rPr>
          <w:b/>
        </w:rPr>
        <w:t>o</w:t>
      </w:r>
      <w:r w:rsidRPr="003C534A">
        <w:rPr>
          <w:b/>
        </w:rPr>
        <w:t>utcome in Korea</w:t>
      </w:r>
      <w:r>
        <w:rPr>
          <w:sz w:val="18"/>
          <w:szCs w:val="18"/>
          <w:lang w:val="en-PH"/>
        </w:rPr>
        <w:t xml:space="preserve"> </w:t>
      </w:r>
    </w:p>
    <w:p w:rsidR="00584B32" w:rsidRDefault="00584B32" w:rsidP="00584B32">
      <w:pPr>
        <w:spacing w:before="0" w:after="0"/>
        <w:rPr>
          <w:sz w:val="18"/>
          <w:szCs w:val="18"/>
          <w:lang w:val="en-PH"/>
        </w:rPr>
      </w:pPr>
      <w:r>
        <w:rPr>
          <w:noProof/>
        </w:rPr>
        <w:drawing>
          <wp:inline distT="0" distB="0" distL="0" distR="0" wp14:anchorId="3191C5A5" wp14:editId="405829A7">
            <wp:extent cx="4572000" cy="4552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000" cy="4552950"/>
                    </a:xfrm>
                    <a:prstGeom prst="rect">
                      <a:avLst/>
                    </a:prstGeom>
                  </pic:spPr>
                </pic:pic>
              </a:graphicData>
            </a:graphic>
          </wp:inline>
        </w:drawing>
      </w:r>
    </w:p>
    <w:p w:rsidR="00584B32" w:rsidRDefault="00584B32" w:rsidP="00584B32">
      <w:pPr>
        <w:spacing w:before="0" w:after="200" w:line="276" w:lineRule="auto"/>
        <w:rPr>
          <w:b/>
          <w:color w:val="000000" w:themeColor="text1"/>
        </w:rPr>
      </w:pPr>
      <w:r>
        <w:rPr>
          <w:sz w:val="18"/>
          <w:szCs w:val="18"/>
          <w:lang w:val="en-PH"/>
        </w:rPr>
        <w:t>Source: Republic of Korea Transport authorities.</w:t>
      </w:r>
    </w:p>
    <w:p w:rsidR="00931DAE" w:rsidRDefault="00931DAE" w:rsidP="00931DAE">
      <w:pPr>
        <w:spacing w:before="0" w:after="200" w:line="276" w:lineRule="auto"/>
        <w:rPr>
          <w:b/>
          <w:color w:val="000000" w:themeColor="text1"/>
        </w:rPr>
      </w:pPr>
      <w:r>
        <w:rPr>
          <w:b/>
          <w:color w:val="000000" w:themeColor="text1"/>
        </w:rPr>
        <w:t>Governance</w:t>
      </w:r>
    </w:p>
    <w:p w:rsidR="00497BD9" w:rsidRPr="002B17C3" w:rsidRDefault="00497BD9" w:rsidP="00497BD9">
      <w:pPr>
        <w:pStyle w:val="ListParagraph"/>
        <w:spacing w:before="0" w:after="200" w:line="276" w:lineRule="auto"/>
        <w:ind w:left="0"/>
        <w:contextualSpacing w:val="0"/>
        <w:rPr>
          <w:rFonts w:ascii="Times New Roman" w:hAnsi="Times New Roman" w:cs="Times New Roman"/>
          <w:b/>
        </w:rPr>
      </w:pPr>
      <w:r>
        <w:rPr>
          <w:rFonts w:ascii="Times New Roman" w:hAnsi="Times New Roman" w:cs="Times New Roman"/>
        </w:rPr>
        <w:t xml:space="preserve">Sound </w:t>
      </w:r>
      <w:r w:rsidRPr="008617EE">
        <w:rPr>
          <w:rFonts w:ascii="Times New Roman" w:hAnsi="Times New Roman" w:cs="Times New Roman"/>
        </w:rPr>
        <w:t xml:space="preserve">institutions </w:t>
      </w:r>
      <w:r>
        <w:rPr>
          <w:rFonts w:ascii="Times New Roman" w:hAnsi="Times New Roman" w:cs="Times New Roman"/>
        </w:rPr>
        <w:t xml:space="preserve">are required </w:t>
      </w:r>
      <w:r w:rsidRPr="008617EE">
        <w:rPr>
          <w:rFonts w:ascii="Times New Roman" w:hAnsi="Times New Roman" w:cs="Times New Roman"/>
        </w:rPr>
        <w:t>to sustain income growth</w:t>
      </w:r>
      <w:r>
        <w:rPr>
          <w:rFonts w:ascii="Times New Roman" w:hAnsi="Times New Roman" w:cs="Times New Roman"/>
        </w:rPr>
        <w:t xml:space="preserve">, </w:t>
      </w:r>
      <w:r w:rsidRPr="008617EE">
        <w:rPr>
          <w:rFonts w:ascii="Times New Roman" w:hAnsi="Times New Roman" w:cs="Times New Roman"/>
        </w:rPr>
        <w:t>lowering of poverty</w:t>
      </w:r>
      <w:r>
        <w:rPr>
          <w:rFonts w:ascii="Times New Roman" w:hAnsi="Times New Roman" w:cs="Times New Roman"/>
        </w:rPr>
        <w:t xml:space="preserve"> and </w:t>
      </w:r>
      <w:r w:rsidRPr="008617EE">
        <w:rPr>
          <w:rFonts w:ascii="Times New Roman" w:eastAsiaTheme="minorEastAsia" w:hAnsi="Times New Roman" w:cs="Times New Roman"/>
        </w:rPr>
        <w:t>to sustain sustainability</w:t>
      </w:r>
      <w:r>
        <w:rPr>
          <w:rFonts w:ascii="Times New Roman" w:eastAsiaTheme="minorEastAsia" w:hAnsi="Times New Roman" w:cs="Times New Roman"/>
        </w:rPr>
        <w:t xml:space="preserve"> as GDP growth pressure will be heavy on the environment. </w:t>
      </w:r>
      <w:r w:rsidRPr="002B17C3">
        <w:rPr>
          <w:rFonts w:ascii="Times New Roman" w:hAnsi="Times New Roman" w:cs="Times New Roman"/>
        </w:rPr>
        <w:t>This section will analyze the current state of institutions of governance and economic management, their weaknesses and strengths in steering Bangladesh towards a developed economy and society. The section will start with defining institutions and describing types of institutions. For the purpose of current study institutions are systems of established and prevalent social rules that structure social interactions. Institutions are also intermediaries through which laws and regulations are made and implemented, decisions are agreed upon and carried out and rules are made and enforced. Institutions also provide the setting for individuals and groups to benefit from development interventions. Institutions are carpets for individuals and society to operate on and receive services.</w:t>
      </w:r>
    </w:p>
    <w:p w:rsidR="00497BD9" w:rsidRPr="002B17C3" w:rsidRDefault="00497BD9" w:rsidP="00497BD9">
      <w:pPr>
        <w:pStyle w:val="ListParagraph"/>
        <w:spacing w:before="0" w:after="200" w:line="276" w:lineRule="auto"/>
        <w:ind w:left="0"/>
        <w:contextualSpacing w:val="0"/>
        <w:rPr>
          <w:rFonts w:ascii="Times New Roman" w:hAnsi="Times New Roman" w:cs="Times New Roman"/>
          <w:b/>
          <w:bCs/>
        </w:rPr>
      </w:pPr>
      <w:r w:rsidRPr="002B17C3">
        <w:rPr>
          <w:rFonts w:ascii="Times New Roman" w:hAnsi="Times New Roman" w:cs="Times New Roman"/>
          <w:bCs/>
        </w:rPr>
        <w:t xml:space="preserve">According to Wikipedia, Governance refers to all of the processes of governing by a government, market or any other entity working through laws, norms, power or language of an </w:t>
      </w:r>
      <w:r w:rsidRPr="002B17C3">
        <w:rPr>
          <w:rFonts w:ascii="Times New Roman" w:hAnsi="Times New Roman" w:cs="Times New Roman"/>
          <w:bCs/>
        </w:rPr>
        <w:lastRenderedPageBreak/>
        <w:t xml:space="preserve">organized society. Governance relates to processes of interaction among actors that lead to formation of social norms and institutions defining how these are structured, sustained, regulated and held accountable. </w:t>
      </w:r>
    </w:p>
    <w:p w:rsidR="00497BD9" w:rsidRPr="002B17C3" w:rsidRDefault="00497BD9" w:rsidP="00497BD9">
      <w:pPr>
        <w:pStyle w:val="ListParagraph"/>
        <w:spacing w:before="0" w:after="200" w:line="276" w:lineRule="auto"/>
        <w:ind w:left="0"/>
        <w:contextualSpacing w:val="0"/>
        <w:rPr>
          <w:rFonts w:ascii="Times New Roman" w:hAnsi="Times New Roman" w:cs="Times New Roman"/>
          <w:b/>
        </w:rPr>
      </w:pPr>
      <w:r w:rsidRPr="002B17C3">
        <w:rPr>
          <w:rFonts w:ascii="Times New Roman" w:hAnsi="Times New Roman" w:cs="Times New Roman"/>
          <w:bCs/>
        </w:rPr>
        <w:t>In Bangladesh, the relevant institutions of governance and economic management are the following:</w:t>
      </w:r>
      <w:r w:rsidRPr="002B17C3">
        <w:rPr>
          <w:rFonts w:ascii="Times New Roman" w:hAnsi="Times New Roman" w:cs="Times New Roman"/>
        </w:rPr>
        <w:t xml:space="preserve"> the government including the executive, public administration and law and order; market; corporation; judiciary; financial governance dealing with planning and budgeting, finance, banking, financial stability, financial inclusion, capital market, micro financial institutions and regulatory regime for the private sector; resource management including management of the land market; urban governance and political governance comprising democracy, democratic institutions, legislature and the electoral process.</w:t>
      </w:r>
      <w:r w:rsidRPr="002B17C3">
        <w:rPr>
          <w:rFonts w:ascii="Times New Roman" w:hAnsi="Times New Roman" w:cs="Times New Roman"/>
          <w:bCs/>
        </w:rPr>
        <w:t xml:space="preserve"> </w:t>
      </w:r>
      <w:r w:rsidRPr="002B17C3">
        <w:rPr>
          <w:rFonts w:ascii="Times New Roman" w:hAnsi="Times New Roman" w:cs="Times New Roman"/>
        </w:rPr>
        <w:t xml:space="preserve">According to Khalid Shams (2015), </w:t>
      </w:r>
      <w:r w:rsidRPr="002B17C3">
        <w:rPr>
          <w:rFonts w:ascii="Times New Roman" w:hAnsi="Times New Roman" w:cs="Times New Roman"/>
          <w:color w:val="000000"/>
        </w:rPr>
        <w:t>Future growth and its sustainability will be contingent upon a peaceful and productive society which has to be based on effective, but at the same time a generally accountable system of public governance. There exists in Bangladesh a broad social mandate for public governance that is incorporated in Part II of our constitution laying down the ‘Fundamental Principles of State Policy’. Then there are more specific provisions which outline numerous functions of the various organs of the government, the parliament, the executive and the judiciary.</w:t>
      </w:r>
    </w:p>
    <w:p w:rsidR="00497BD9" w:rsidRPr="002B17C3" w:rsidRDefault="00497BD9" w:rsidP="00497BD9">
      <w:pPr>
        <w:pStyle w:val="ListParagraph"/>
        <w:spacing w:before="0" w:after="200" w:line="276" w:lineRule="auto"/>
        <w:ind w:left="0"/>
        <w:contextualSpacing w:val="0"/>
        <w:rPr>
          <w:rFonts w:ascii="Times New Roman" w:hAnsi="Times New Roman" w:cs="Times New Roman"/>
          <w:b/>
        </w:rPr>
      </w:pPr>
      <w:r w:rsidRPr="002B17C3">
        <w:rPr>
          <w:rFonts w:ascii="Times New Roman" w:hAnsi="Times New Roman" w:cs="Times New Roman"/>
        </w:rPr>
        <w:t xml:space="preserve">The study will argue that the state of governance and economic management in Bangladesh presents a mixed picture calling for corrective measures going forward with transformation into a developed country. </w:t>
      </w:r>
    </w:p>
    <w:p w:rsidR="00094C7B" w:rsidRDefault="00094C7B" w:rsidP="00497BD9">
      <w:pPr>
        <w:pStyle w:val="ListParagraph"/>
        <w:spacing w:before="0" w:after="200" w:line="276" w:lineRule="auto"/>
        <w:ind w:left="0"/>
        <w:contextualSpacing w:val="0"/>
        <w:rPr>
          <w:rFonts w:ascii="Times New Roman" w:hAnsi="Times New Roman" w:cs="Times New Roman"/>
        </w:rPr>
      </w:pPr>
      <w:r w:rsidRPr="00283613">
        <w:rPr>
          <w:rFonts w:ascii="Times New Roman" w:hAnsi="Times New Roman" w:cs="Times New Roman"/>
          <w:color w:val="000000" w:themeColor="text1"/>
        </w:rPr>
        <w:t xml:space="preserve">The challenge </w:t>
      </w:r>
      <w:r>
        <w:rPr>
          <w:rFonts w:ascii="Times New Roman" w:hAnsi="Times New Roman" w:cs="Times New Roman"/>
          <w:color w:val="000000" w:themeColor="text1"/>
        </w:rPr>
        <w:t xml:space="preserve">of good governance in Bangladesh </w:t>
      </w:r>
      <w:r w:rsidRPr="00283613">
        <w:rPr>
          <w:rFonts w:ascii="Times New Roman" w:hAnsi="Times New Roman" w:cs="Times New Roman"/>
          <w:color w:val="000000" w:themeColor="text1"/>
        </w:rPr>
        <w:t>is, how to fill the gap when Bangladesh is lagging behind many other countries in the components of the world bank composite indicator for governance</w:t>
      </w:r>
      <w:r>
        <w:rPr>
          <w:rStyle w:val="FootnoteReference"/>
          <w:rFonts w:ascii="Times New Roman" w:hAnsi="Times New Roman" w:cs="Times New Roman"/>
          <w:color w:val="000000" w:themeColor="text1"/>
        </w:rPr>
        <w:footnoteReference w:id="3"/>
      </w:r>
      <w:r w:rsidRPr="00283613">
        <w:rPr>
          <w:rFonts w:ascii="Times New Roman" w:hAnsi="Times New Roman" w:cs="Times New Roman"/>
          <w:color w:val="000000" w:themeColor="text1"/>
        </w:rPr>
        <w:t xml:space="preserve">. Bangladesh has done well in terms of GDP growth and poverty reduction despite falling short in governance but it could do better with good governance. Accelerated growth in the future required to reach the GDP per capita target of SPPB has to be anchored in good governance. </w:t>
      </w:r>
    </w:p>
    <w:p w:rsidR="00362FE0" w:rsidRDefault="00497BD9" w:rsidP="00497BD9">
      <w:pPr>
        <w:pStyle w:val="ListParagraph"/>
        <w:spacing w:before="0" w:after="200" w:line="276" w:lineRule="auto"/>
        <w:ind w:left="0"/>
        <w:contextualSpacing w:val="0"/>
        <w:rPr>
          <w:noProof/>
        </w:rPr>
      </w:pPr>
      <w:r w:rsidRPr="002B17C3">
        <w:rPr>
          <w:rFonts w:ascii="Times New Roman" w:hAnsi="Times New Roman" w:cs="Times New Roman"/>
        </w:rPr>
        <w:t xml:space="preserve">Bangladesh is in many ways a unique case in which one has to be cautious in determining how far one goes to make corrections consistent with a developed country aspirant as Bangladesh is in a matter of less than three decades. Currently, according to the World Bank data on the status of government effectiveness, Bangladesh is among the weak (Table 2 and Figure </w:t>
      </w:r>
      <w:r w:rsidR="00345741">
        <w:rPr>
          <w:rFonts w:ascii="Times New Roman" w:hAnsi="Times New Roman" w:cs="Times New Roman"/>
        </w:rPr>
        <w:t>11</w:t>
      </w:r>
      <w:r w:rsidRPr="002B17C3">
        <w:rPr>
          <w:rFonts w:ascii="Times New Roman" w:hAnsi="Times New Roman" w:cs="Times New Roman"/>
        </w:rPr>
        <w:t xml:space="preserve">). </w:t>
      </w:r>
      <w:r w:rsidR="00A30402">
        <w:rPr>
          <w:rFonts w:ascii="Times New Roman" w:hAnsi="Times New Roman" w:cs="Times New Roman"/>
        </w:rPr>
        <w:t>Similarly,</w:t>
      </w:r>
      <w:r>
        <w:rPr>
          <w:rFonts w:ascii="Times New Roman" w:hAnsi="Times New Roman" w:cs="Times New Roman"/>
        </w:rPr>
        <w:t xml:space="preserve"> Bangladesh lags behind other countries in terms of a series of indicators like </w:t>
      </w:r>
      <w:r w:rsidRPr="006A01F5">
        <w:rPr>
          <w:rFonts w:ascii="Times New Roman" w:hAnsi="Times New Roman" w:cs="Times New Roman"/>
        </w:rPr>
        <w:t xml:space="preserve">governance effectiveness, economic freedom, gender, corruption, competitiveness, democracy, global freedom </w:t>
      </w:r>
      <w:r w:rsidR="002E4778" w:rsidRPr="006A01F5">
        <w:rPr>
          <w:rFonts w:ascii="Times New Roman" w:hAnsi="Times New Roman" w:cs="Times New Roman"/>
        </w:rPr>
        <w:t xml:space="preserve">and peace </w:t>
      </w:r>
      <w:r>
        <w:rPr>
          <w:rFonts w:ascii="Times New Roman" w:hAnsi="Times New Roman" w:cs="Times New Roman"/>
        </w:rPr>
        <w:t xml:space="preserve">(Figure </w:t>
      </w:r>
      <w:r w:rsidR="005236E7">
        <w:rPr>
          <w:rFonts w:ascii="Times New Roman" w:hAnsi="Times New Roman" w:cs="Times New Roman"/>
        </w:rPr>
        <w:t>12</w:t>
      </w:r>
      <w:r>
        <w:rPr>
          <w:rFonts w:ascii="Times New Roman" w:hAnsi="Times New Roman" w:cs="Times New Roman"/>
        </w:rPr>
        <w:t xml:space="preserve">). </w:t>
      </w:r>
      <w:r w:rsidR="00785ADB">
        <w:rPr>
          <w:rFonts w:ascii="Times New Roman" w:hAnsi="Times New Roman" w:cs="Times New Roman"/>
        </w:rPr>
        <w:t xml:space="preserve">On governance gaps are in </w:t>
      </w:r>
      <w:r w:rsidR="00785ADB" w:rsidRPr="00283613">
        <w:rPr>
          <w:rFonts w:ascii="Times New Roman" w:hAnsi="Times New Roman" w:cs="Times New Roman"/>
          <w:color w:val="000000" w:themeColor="text1"/>
        </w:rPr>
        <w:t>control of corruption, political stability and absence of violence, terrorism, regulatory quality, the rule of law and voice and accountability</w:t>
      </w:r>
      <w:r w:rsidR="00C75917">
        <w:rPr>
          <w:rFonts w:ascii="Times New Roman" w:hAnsi="Times New Roman" w:cs="Times New Roman"/>
        </w:rPr>
        <w:t xml:space="preserve">. </w:t>
      </w:r>
      <w:r w:rsidR="00362FE0" w:rsidRPr="003C0B1E">
        <w:rPr>
          <w:rFonts w:ascii="Times New Roman" w:hAnsi="Times New Roman" w:cs="Times New Roman"/>
          <w:color w:val="000000" w:themeColor="text1"/>
        </w:rPr>
        <w:t xml:space="preserve">For example, in voice and accountability index, Bangladesh is ahead of countries like Cambodia, Lao PDR, Uruguay and Uzbekistan but behind Benin, Bhutan, Costa Rica, </w:t>
      </w:r>
      <w:r w:rsidR="00362FE0" w:rsidRPr="003C0B1E">
        <w:rPr>
          <w:rFonts w:ascii="Times New Roman" w:hAnsi="Times New Roman" w:cs="Times New Roman"/>
          <w:color w:val="000000" w:themeColor="text1"/>
        </w:rPr>
        <w:lastRenderedPageBreak/>
        <w:t>Mexico and Malaysia (</w:t>
      </w:r>
      <w:r w:rsidR="00362FE0">
        <w:rPr>
          <w:rFonts w:ascii="Times New Roman" w:hAnsi="Times New Roman" w:cs="Times New Roman"/>
          <w:color w:val="000000" w:themeColor="text1"/>
        </w:rPr>
        <w:t>Figure 13</w:t>
      </w:r>
      <w:r w:rsidR="00362FE0" w:rsidRPr="003C0B1E">
        <w:rPr>
          <w:rFonts w:ascii="Times New Roman" w:hAnsi="Times New Roman" w:cs="Times New Roman"/>
          <w:color w:val="000000" w:themeColor="text1"/>
        </w:rPr>
        <w:t>).</w:t>
      </w:r>
      <w:r w:rsidR="00362FE0">
        <w:rPr>
          <w:rFonts w:ascii="Times New Roman" w:hAnsi="Times New Roman" w:cs="Times New Roman"/>
          <w:color w:val="000000" w:themeColor="text1"/>
        </w:rPr>
        <w:t xml:space="preserve"> </w:t>
      </w:r>
      <w:r w:rsidR="00362FE0" w:rsidRPr="0061001B">
        <w:rPr>
          <w:rFonts w:ascii="Times New Roman" w:hAnsi="Times New Roman" w:cs="Times New Roman"/>
          <w:color w:val="000000"/>
        </w:rPr>
        <w:t>For longer term perspective development of Bangladesh, </w:t>
      </w:r>
      <w:r w:rsidR="00362FE0" w:rsidRPr="00FF2844">
        <w:rPr>
          <w:rFonts w:ascii="Times New Roman" w:hAnsi="Times New Roman" w:cs="Times New Roman"/>
          <w:bCs/>
          <w:color w:val="000000"/>
        </w:rPr>
        <w:t>good governance</w:t>
      </w:r>
      <w:r w:rsidR="00362FE0" w:rsidRPr="0061001B">
        <w:rPr>
          <w:rFonts w:ascii="Times New Roman" w:hAnsi="Times New Roman" w:cs="Times New Roman"/>
          <w:color w:val="000000"/>
        </w:rPr>
        <w:t> </w:t>
      </w:r>
      <w:r w:rsidR="00362FE0">
        <w:rPr>
          <w:rFonts w:ascii="Times New Roman" w:hAnsi="Times New Roman" w:cs="Times New Roman"/>
          <w:color w:val="000000"/>
        </w:rPr>
        <w:t xml:space="preserve">has to be the anchor as it is closely related to growth and economic prosperity as measured by GDP per capita, gross fixed capital formation and total trade. </w:t>
      </w:r>
      <w:r w:rsidR="00362FE0" w:rsidRPr="0061001B">
        <w:rPr>
          <w:rFonts w:ascii="Times New Roman" w:hAnsi="Times New Roman" w:cs="Times New Roman"/>
          <w:color w:val="000000"/>
        </w:rPr>
        <w:t xml:space="preserve">The challenge is how do you build </w:t>
      </w:r>
      <w:r w:rsidR="00362FE0">
        <w:rPr>
          <w:rFonts w:ascii="Times New Roman" w:hAnsi="Times New Roman" w:cs="Times New Roman"/>
          <w:color w:val="000000"/>
        </w:rPr>
        <w:t xml:space="preserve">good governance </w:t>
      </w:r>
      <w:r w:rsidR="00362FE0" w:rsidRPr="0061001B">
        <w:rPr>
          <w:rFonts w:ascii="Times New Roman" w:hAnsi="Times New Roman" w:cs="Times New Roman"/>
          <w:color w:val="000000"/>
        </w:rPr>
        <w:t xml:space="preserve">as a foundation for the future when everyone directly or indirectly practice bad governance!!! </w:t>
      </w:r>
    </w:p>
    <w:p w:rsidR="00786965" w:rsidRDefault="00786965" w:rsidP="00497BD9">
      <w:pPr>
        <w:pStyle w:val="ListParagraph"/>
        <w:spacing w:before="0" w:after="200" w:line="276" w:lineRule="auto"/>
        <w:ind w:left="0"/>
        <w:contextualSpacing w:val="0"/>
        <w:rPr>
          <w:rFonts w:ascii="Times New Roman" w:hAnsi="Times New Roman" w:cs="Times New Roman"/>
          <w:color w:val="000000"/>
        </w:rPr>
      </w:pPr>
      <w:r w:rsidRPr="00786965">
        <w:rPr>
          <w:rFonts w:ascii="Times New Roman" w:hAnsi="Times New Roman" w:cs="Times New Roman"/>
          <w:noProof/>
          <w:color w:val="000000"/>
        </w:rPr>
        <w:drawing>
          <wp:inline distT="0" distB="0" distL="0" distR="0">
            <wp:extent cx="5942965" cy="5067300"/>
            <wp:effectExtent l="0" t="0" r="635" b="0"/>
            <wp:docPr id="17421" name="Picture 1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290" cy="5070988"/>
                    </a:xfrm>
                    <a:prstGeom prst="rect">
                      <a:avLst/>
                    </a:prstGeom>
                    <a:noFill/>
                    <a:ln>
                      <a:noFill/>
                    </a:ln>
                  </pic:spPr>
                </pic:pic>
              </a:graphicData>
            </a:graphic>
          </wp:inline>
        </w:drawing>
      </w:r>
    </w:p>
    <w:p w:rsidR="00497BD9" w:rsidRDefault="00497BD9" w:rsidP="00497BD9">
      <w:pPr>
        <w:pStyle w:val="ListParagraph"/>
        <w:spacing w:before="0" w:after="200" w:line="276" w:lineRule="auto"/>
        <w:ind w:left="0"/>
        <w:contextualSpacing w:val="0"/>
        <w:rPr>
          <w:rFonts w:ascii="Times New Roman" w:hAnsi="Times New Roman" w:cs="Times New Roman"/>
        </w:rPr>
      </w:pPr>
      <w:r w:rsidRPr="002B17C3">
        <w:rPr>
          <w:rFonts w:ascii="Times New Roman" w:hAnsi="Times New Roman" w:cs="Times New Roman"/>
        </w:rPr>
        <w:t>Th</w:t>
      </w:r>
      <w:r>
        <w:rPr>
          <w:rFonts w:ascii="Times New Roman" w:hAnsi="Times New Roman" w:cs="Times New Roman"/>
        </w:rPr>
        <w:t>e</w:t>
      </w:r>
      <w:r w:rsidRPr="002B17C3">
        <w:rPr>
          <w:rFonts w:ascii="Times New Roman" w:hAnsi="Times New Roman" w:cs="Times New Roman"/>
        </w:rPr>
        <w:t>s</w:t>
      </w:r>
      <w:r>
        <w:rPr>
          <w:rFonts w:ascii="Times New Roman" w:hAnsi="Times New Roman" w:cs="Times New Roman"/>
        </w:rPr>
        <w:t>e</w:t>
      </w:r>
      <w:r w:rsidRPr="002B17C3">
        <w:rPr>
          <w:rFonts w:ascii="Times New Roman" w:hAnsi="Times New Roman" w:cs="Times New Roman"/>
        </w:rPr>
        <w:t xml:space="preserve"> </w:t>
      </w:r>
      <w:r>
        <w:rPr>
          <w:rFonts w:ascii="Times New Roman" w:hAnsi="Times New Roman" w:cs="Times New Roman"/>
        </w:rPr>
        <w:t>are</w:t>
      </w:r>
      <w:r w:rsidRPr="002B17C3">
        <w:rPr>
          <w:rFonts w:ascii="Times New Roman" w:hAnsi="Times New Roman" w:cs="Times New Roman"/>
        </w:rPr>
        <w:t xml:space="preserve"> global perception based measure</w:t>
      </w:r>
      <w:r>
        <w:rPr>
          <w:rFonts w:ascii="Times New Roman" w:hAnsi="Times New Roman" w:cs="Times New Roman"/>
        </w:rPr>
        <w:t>s</w:t>
      </w:r>
      <w:r w:rsidRPr="002B17C3">
        <w:rPr>
          <w:rFonts w:ascii="Times New Roman" w:hAnsi="Times New Roman" w:cs="Times New Roman"/>
        </w:rPr>
        <w:t xml:space="preserve"> which is subjective in a large way. Bangladesh is unique in that despite so called governance </w:t>
      </w:r>
      <w:r w:rsidRPr="00864B02">
        <w:rPr>
          <w:rFonts w:ascii="Times New Roman" w:hAnsi="Times New Roman" w:cs="Times New Roman"/>
        </w:rPr>
        <w:t xml:space="preserve">shortcomings, the country has performed will on the scale of economic and social indicators prompting some scholars like </w:t>
      </w:r>
      <w:r w:rsidRPr="00864B02">
        <w:rPr>
          <w:rFonts w:ascii="Times New Roman" w:hAnsi="Times New Roman" w:cs="Times New Roman"/>
          <w:color w:val="000000" w:themeColor="text1"/>
        </w:rPr>
        <w:t xml:space="preserve">Asadullah, </w:t>
      </w:r>
      <w:proofErr w:type="spellStart"/>
      <w:r w:rsidRPr="00864B02">
        <w:rPr>
          <w:rFonts w:ascii="Times New Roman" w:hAnsi="Times New Roman" w:cs="Times New Roman"/>
          <w:color w:val="000000" w:themeColor="text1"/>
        </w:rPr>
        <w:t>Savoia</w:t>
      </w:r>
      <w:proofErr w:type="spellEnd"/>
      <w:r w:rsidRPr="00864B02">
        <w:rPr>
          <w:rFonts w:ascii="Times New Roman" w:hAnsi="Times New Roman" w:cs="Times New Roman"/>
          <w:color w:val="000000" w:themeColor="text1"/>
        </w:rPr>
        <w:t xml:space="preserve"> and Mahmud</w:t>
      </w:r>
      <w:r w:rsidRPr="00864B02">
        <w:rPr>
          <w:rFonts w:ascii="Times New Roman" w:hAnsi="Times New Roman" w:cs="Times New Roman"/>
        </w:rPr>
        <w:t xml:space="preserve"> (2014) in a scholarly article in World Development to call it a paradox. The present study will try to</w:t>
      </w:r>
      <w:r w:rsidRPr="002B17C3">
        <w:rPr>
          <w:rFonts w:ascii="Times New Roman" w:hAnsi="Times New Roman" w:cs="Times New Roman"/>
        </w:rPr>
        <w:t xml:space="preserve"> get to the bottom to understand this paradox beyond what </w:t>
      </w:r>
      <w:r w:rsidR="00C305FF">
        <w:rPr>
          <w:rFonts w:ascii="Times New Roman" w:hAnsi="Times New Roman" w:cs="Times New Roman"/>
        </w:rPr>
        <w:t xml:space="preserve">authors </w:t>
      </w:r>
      <w:r w:rsidRPr="002B17C3">
        <w:rPr>
          <w:rFonts w:ascii="Times New Roman" w:hAnsi="Times New Roman" w:cs="Times New Roman"/>
        </w:rPr>
        <w:t xml:space="preserve">had done by looking individually at all elements of governance and economic management to identify sources of strength that can be built upon and those of weakness too that have to be subjected to significant transformation in order to make the journey towards a developed society by 2041 more plausible than what might appear now to the born skeptics. For example, planning and </w:t>
      </w:r>
      <w:r w:rsidRPr="002B17C3">
        <w:rPr>
          <w:rFonts w:ascii="Times New Roman" w:hAnsi="Times New Roman" w:cs="Times New Roman"/>
        </w:rPr>
        <w:lastRenderedPageBreak/>
        <w:t>budgeting are doing fine, macroeconomic stability producing non-inflationary growth is a source of pride yet the banking sector and revenue mobilization are constant sources of worry more so when there is political and private sector resistance to change (“unresolved” banking scandals and the VAT debate surrounding 2017-2018 budget deliberations).</w:t>
      </w:r>
    </w:p>
    <w:p w:rsidR="00497BD9" w:rsidRPr="002B17C3" w:rsidRDefault="00345741" w:rsidP="0062735D">
      <w:pPr>
        <w:spacing w:before="0" w:after="0" w:line="276" w:lineRule="auto"/>
        <w:rPr>
          <w:b/>
          <w:color w:val="000000" w:themeColor="text1"/>
        </w:rPr>
      </w:pPr>
      <w:r>
        <w:rPr>
          <w:b/>
          <w:color w:val="000000" w:themeColor="text1"/>
        </w:rPr>
        <w:t>Figure 11</w:t>
      </w:r>
      <w:r w:rsidR="00497BD9" w:rsidRPr="0062735D">
        <w:rPr>
          <w:b/>
          <w:color w:val="000000" w:themeColor="text1"/>
        </w:rPr>
        <w:t xml:space="preserve">: Cross-country scatter of </w:t>
      </w:r>
      <w:r>
        <w:rPr>
          <w:b/>
          <w:color w:val="000000" w:themeColor="text1"/>
        </w:rPr>
        <w:t>g</w:t>
      </w:r>
      <w:r w:rsidR="00497BD9" w:rsidRPr="0062735D">
        <w:rPr>
          <w:b/>
          <w:color w:val="000000" w:themeColor="text1"/>
        </w:rPr>
        <w:t xml:space="preserve">overnment </w:t>
      </w:r>
      <w:r>
        <w:rPr>
          <w:b/>
          <w:color w:val="000000" w:themeColor="text1"/>
        </w:rPr>
        <w:t>e</w:t>
      </w:r>
      <w:r w:rsidR="00497BD9" w:rsidRPr="0062735D">
        <w:rPr>
          <w:b/>
          <w:color w:val="000000" w:themeColor="text1"/>
        </w:rPr>
        <w:t>ffectiveness, 2014</w:t>
      </w:r>
      <w:r w:rsidR="00497BD9" w:rsidRPr="002B17C3">
        <w:rPr>
          <w:noProof/>
        </w:rPr>
        <w:drawing>
          <wp:inline distT="0" distB="0" distL="0" distR="0" wp14:anchorId="38ABB584" wp14:editId="2E5F5229">
            <wp:extent cx="5928360" cy="5067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2635"/>
                    <a:stretch/>
                  </pic:blipFill>
                  <pic:spPr bwMode="auto">
                    <a:xfrm>
                      <a:off x="0" y="0"/>
                      <a:ext cx="5928360" cy="5067300"/>
                    </a:xfrm>
                    <a:prstGeom prst="rect">
                      <a:avLst/>
                    </a:prstGeom>
                    <a:noFill/>
                    <a:ln>
                      <a:noFill/>
                    </a:ln>
                    <a:extLst>
                      <a:ext uri="{53640926-AAD7-44D8-BBD7-CCE9431645EC}">
                        <a14:shadowObscured xmlns:a14="http://schemas.microsoft.com/office/drawing/2010/main"/>
                      </a:ext>
                    </a:extLst>
                  </pic:spPr>
                </pic:pic>
              </a:graphicData>
            </a:graphic>
          </wp:inline>
        </w:drawing>
      </w:r>
    </w:p>
    <w:p w:rsidR="00497BD9" w:rsidRDefault="00497BD9" w:rsidP="00497BD9">
      <w:pPr>
        <w:rPr>
          <w:b/>
          <w:color w:val="000000" w:themeColor="text1"/>
        </w:rPr>
      </w:pPr>
      <w:r>
        <w:rPr>
          <w:b/>
          <w:color w:val="000000" w:themeColor="text1"/>
        </w:rPr>
        <w:br w:type="page"/>
      </w:r>
    </w:p>
    <w:p w:rsidR="00497BD9" w:rsidRDefault="00497BD9" w:rsidP="00497BD9">
      <w:pPr>
        <w:rPr>
          <w:b/>
          <w:color w:val="000000" w:themeColor="text1"/>
        </w:rPr>
      </w:pPr>
      <w:r w:rsidRPr="0062735D">
        <w:rPr>
          <w:b/>
          <w:color w:val="000000" w:themeColor="text1"/>
        </w:rPr>
        <w:lastRenderedPageBreak/>
        <w:t xml:space="preserve">Figure </w:t>
      </w:r>
      <w:r w:rsidR="009F1C56">
        <w:rPr>
          <w:b/>
          <w:color w:val="000000" w:themeColor="text1"/>
        </w:rPr>
        <w:t>1</w:t>
      </w:r>
      <w:r w:rsidR="00345741">
        <w:rPr>
          <w:b/>
          <w:color w:val="000000" w:themeColor="text1"/>
        </w:rPr>
        <w:t>2</w:t>
      </w:r>
      <w:r w:rsidRPr="0062735D">
        <w:rPr>
          <w:b/>
          <w:color w:val="000000" w:themeColor="text1"/>
        </w:rPr>
        <w:t xml:space="preserve">: Cross-country scatter of </w:t>
      </w:r>
      <w:r w:rsidR="00345741">
        <w:rPr>
          <w:b/>
          <w:color w:val="000000" w:themeColor="text1"/>
        </w:rPr>
        <w:t>g</w:t>
      </w:r>
      <w:r w:rsidRPr="0062735D">
        <w:rPr>
          <w:b/>
          <w:color w:val="000000" w:themeColor="text1"/>
        </w:rPr>
        <w:t xml:space="preserve">overnment </w:t>
      </w:r>
      <w:r w:rsidR="00345741">
        <w:rPr>
          <w:b/>
          <w:color w:val="000000" w:themeColor="text1"/>
        </w:rPr>
        <w:t>e</w:t>
      </w:r>
      <w:r w:rsidRPr="0062735D">
        <w:rPr>
          <w:b/>
          <w:color w:val="000000" w:themeColor="text1"/>
        </w:rPr>
        <w:t>ffectiveness and other indicators, 2015</w:t>
      </w:r>
    </w:p>
    <w:p w:rsidR="00942A84" w:rsidRDefault="00942A84">
      <w:pPr>
        <w:rPr>
          <w:b/>
          <w:color w:val="000000" w:themeColor="text1"/>
        </w:rPr>
      </w:pPr>
      <w:r w:rsidRPr="00942A84">
        <w:rPr>
          <w:b/>
          <w:noProof/>
          <w:color w:val="000000" w:themeColor="text1"/>
        </w:rPr>
        <w:drawing>
          <wp:inline distT="0" distB="0" distL="0" distR="0">
            <wp:extent cx="6225540" cy="772668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5540" cy="7726680"/>
                    </a:xfrm>
                    <a:prstGeom prst="rect">
                      <a:avLst/>
                    </a:prstGeom>
                    <a:noFill/>
                    <a:ln>
                      <a:noFill/>
                    </a:ln>
                  </pic:spPr>
                </pic:pic>
              </a:graphicData>
            </a:graphic>
          </wp:inline>
        </w:drawing>
      </w:r>
      <w:r w:rsidRPr="00942A84">
        <w:rPr>
          <w:b/>
          <w:color w:val="000000" w:themeColor="text1"/>
        </w:rPr>
        <w:t xml:space="preserve"> </w:t>
      </w:r>
      <w:r>
        <w:rPr>
          <w:b/>
          <w:color w:val="000000" w:themeColor="text1"/>
        </w:rPr>
        <w:br w:type="page"/>
      </w:r>
    </w:p>
    <w:p w:rsidR="005236E7" w:rsidRDefault="00345741" w:rsidP="00345741">
      <w:pPr>
        <w:spacing w:before="0" w:after="0" w:line="276" w:lineRule="auto"/>
        <w:rPr>
          <w:b/>
          <w:color w:val="000000" w:themeColor="text1"/>
        </w:rPr>
      </w:pPr>
      <w:r>
        <w:rPr>
          <w:b/>
          <w:color w:val="000000" w:themeColor="text1"/>
        </w:rPr>
        <w:lastRenderedPageBreak/>
        <w:t xml:space="preserve">Figure 13: </w:t>
      </w:r>
      <w:r w:rsidRPr="0062735D">
        <w:rPr>
          <w:b/>
          <w:color w:val="000000" w:themeColor="text1"/>
        </w:rPr>
        <w:t xml:space="preserve">Cross-country scatter of </w:t>
      </w:r>
      <w:r>
        <w:rPr>
          <w:b/>
          <w:color w:val="000000" w:themeColor="text1"/>
        </w:rPr>
        <w:t>g</w:t>
      </w:r>
      <w:r w:rsidRPr="0062735D">
        <w:rPr>
          <w:b/>
          <w:color w:val="000000" w:themeColor="text1"/>
        </w:rPr>
        <w:t>overn</w:t>
      </w:r>
      <w:r>
        <w:rPr>
          <w:b/>
          <w:color w:val="000000" w:themeColor="text1"/>
        </w:rPr>
        <w:t>ance</w:t>
      </w:r>
      <w:r w:rsidRPr="0062735D">
        <w:rPr>
          <w:b/>
          <w:color w:val="000000" w:themeColor="text1"/>
        </w:rPr>
        <w:t xml:space="preserve"> indicators, 2015</w:t>
      </w:r>
    </w:p>
    <w:p w:rsidR="005236E7" w:rsidRDefault="005236E7">
      <w:pPr>
        <w:rPr>
          <w:b/>
          <w:color w:val="000000" w:themeColor="text1"/>
        </w:rPr>
      </w:pPr>
      <w:r w:rsidRPr="005236E7">
        <w:rPr>
          <w:b/>
          <w:noProof/>
          <w:color w:val="000000" w:themeColor="text1"/>
        </w:rPr>
        <w:drawing>
          <wp:inline distT="0" distB="0" distL="0" distR="0">
            <wp:extent cx="6339840" cy="6621147"/>
            <wp:effectExtent l="0" t="0" r="381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3555" cy="6625027"/>
                    </a:xfrm>
                    <a:prstGeom prst="rect">
                      <a:avLst/>
                    </a:prstGeom>
                    <a:noFill/>
                    <a:ln>
                      <a:noFill/>
                    </a:ln>
                  </pic:spPr>
                </pic:pic>
              </a:graphicData>
            </a:graphic>
          </wp:inline>
        </w:drawing>
      </w:r>
      <w:r>
        <w:rPr>
          <w:b/>
          <w:color w:val="000000" w:themeColor="text1"/>
        </w:rPr>
        <w:br w:type="page"/>
      </w:r>
    </w:p>
    <w:p w:rsidR="00345741" w:rsidRDefault="00345741" w:rsidP="00345741">
      <w:pPr>
        <w:spacing w:before="0" w:after="0" w:line="276" w:lineRule="auto"/>
        <w:rPr>
          <w:b/>
          <w:color w:val="000000" w:themeColor="text1"/>
        </w:rPr>
      </w:pPr>
    </w:p>
    <w:p w:rsidR="00497BD9" w:rsidRDefault="00497BD9" w:rsidP="00497BD9">
      <w:pPr>
        <w:spacing w:before="0" w:after="200" w:line="276" w:lineRule="auto"/>
        <w:rPr>
          <w:rFonts w:eastAsiaTheme="minorEastAsia"/>
        </w:rPr>
      </w:pPr>
      <w:r w:rsidRPr="00714E3C">
        <w:t xml:space="preserve">Bangladesh has done well on </w:t>
      </w:r>
      <w:r>
        <w:t xml:space="preserve">income growth and poverty reduction </w:t>
      </w:r>
      <w:r w:rsidRPr="00714E3C">
        <w:t>presumably without strong institutions</w:t>
      </w:r>
      <w:r w:rsidR="005236E7">
        <w:t xml:space="preserve"> and relatively weak governance (Figure 13)</w:t>
      </w:r>
      <w:r>
        <w:t xml:space="preserve">. </w:t>
      </w:r>
      <w:r w:rsidRPr="00714E3C">
        <w:t xml:space="preserve">Cross country experiences suggest income growth and poverty reduction have gone together with </w:t>
      </w:r>
      <w:r>
        <w:t xml:space="preserve">(India) </w:t>
      </w:r>
      <w:r w:rsidRPr="00714E3C">
        <w:t>or without strong institutions</w:t>
      </w:r>
      <w:r>
        <w:t xml:space="preserve"> (Cambodia). </w:t>
      </w:r>
      <w:r w:rsidRPr="00714E3C">
        <w:t xml:space="preserve">On the other hand, there are many outliers albeit with </w:t>
      </w:r>
      <w:r>
        <w:t xml:space="preserve">(Azerbaijan) </w:t>
      </w:r>
      <w:r w:rsidRPr="00714E3C">
        <w:t xml:space="preserve">or without </w:t>
      </w:r>
      <w:r>
        <w:t xml:space="preserve">(Mongolia) </w:t>
      </w:r>
      <w:r w:rsidRPr="00714E3C">
        <w:t>strong institutions but gains are mostly short term</w:t>
      </w:r>
      <w:r w:rsidR="005236E7">
        <w:t xml:space="preserve"> (Figure 14)</w:t>
      </w:r>
      <w:r>
        <w:t xml:space="preserve">. </w:t>
      </w:r>
      <w:r w:rsidRPr="00714E3C">
        <w:rPr>
          <w:rFonts w:eastAsiaTheme="minorEastAsia"/>
        </w:rPr>
        <w:t xml:space="preserve">Having said that it is true growth will be sustainable if institutions are strong </w:t>
      </w:r>
      <w:r>
        <w:rPr>
          <w:rFonts w:eastAsiaTheme="minorEastAsia"/>
        </w:rPr>
        <w:t xml:space="preserve">since goals are achieved </w:t>
      </w:r>
      <w:r w:rsidRPr="00714E3C">
        <w:rPr>
          <w:rFonts w:eastAsiaTheme="minorEastAsia"/>
        </w:rPr>
        <w:t>easier</w:t>
      </w:r>
      <w:r>
        <w:rPr>
          <w:rFonts w:eastAsiaTheme="minorEastAsia"/>
        </w:rPr>
        <w:t>.</w:t>
      </w:r>
    </w:p>
    <w:p w:rsidR="00497BD9" w:rsidRPr="00E37B51" w:rsidRDefault="005236E7" w:rsidP="00497BD9">
      <w:pPr>
        <w:spacing w:before="0" w:after="200" w:line="276" w:lineRule="auto"/>
        <w:rPr>
          <w:rFonts w:eastAsiaTheme="minorEastAsia"/>
          <w:b/>
        </w:rPr>
      </w:pPr>
      <w:r w:rsidRPr="00E37B51">
        <w:rPr>
          <w:rFonts w:eastAsiaTheme="minorEastAsia"/>
          <w:b/>
        </w:rPr>
        <w:t>Figure 14</w:t>
      </w:r>
      <w:r w:rsidR="00497BD9" w:rsidRPr="00E37B51">
        <w:rPr>
          <w:rFonts w:eastAsiaTheme="minorEastAsia"/>
          <w:b/>
        </w:rPr>
        <w:t>: Growth and change in poverty (since 1990s-2014)</w:t>
      </w:r>
    </w:p>
    <w:p w:rsidR="00497BD9" w:rsidRDefault="00497BD9" w:rsidP="00497BD9">
      <w:pPr>
        <w:spacing w:before="0" w:after="200" w:line="276" w:lineRule="auto"/>
        <w:rPr>
          <w:rFonts w:eastAsiaTheme="minorEastAsia"/>
        </w:rPr>
      </w:pPr>
      <w:r>
        <w:rPr>
          <w:noProof/>
        </w:rPr>
        <w:drawing>
          <wp:inline distT="0" distB="0" distL="0" distR="0" wp14:anchorId="585C348D" wp14:editId="6458DF82">
            <wp:extent cx="5425440" cy="30937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3949" r="8718" b="5148"/>
                    <a:stretch/>
                  </pic:blipFill>
                  <pic:spPr bwMode="auto">
                    <a:xfrm>
                      <a:off x="0" y="0"/>
                      <a:ext cx="5425440" cy="309372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rPr>
        <w:t xml:space="preserve"> </w:t>
      </w:r>
    </w:p>
    <w:p w:rsidR="00497BD9" w:rsidRPr="00074018" w:rsidRDefault="00497BD9" w:rsidP="00497BD9">
      <w:pPr>
        <w:spacing w:before="0" w:after="200" w:line="276" w:lineRule="auto"/>
        <w:rPr>
          <w:rFonts w:eastAsiaTheme="minorEastAsia"/>
          <w:sz w:val="18"/>
          <w:szCs w:val="18"/>
        </w:rPr>
      </w:pPr>
      <w:r w:rsidRPr="00074018">
        <w:rPr>
          <w:rFonts w:eastAsiaTheme="minorEastAsia"/>
          <w:sz w:val="18"/>
          <w:szCs w:val="18"/>
        </w:rPr>
        <w:t>Source: World Bank data base.</w:t>
      </w:r>
    </w:p>
    <w:p w:rsidR="00497BD9" w:rsidRDefault="00497BD9" w:rsidP="00497BD9">
      <w:pPr>
        <w:spacing w:before="0" w:after="200" w:line="276" w:lineRule="auto"/>
        <w:rPr>
          <w:rFonts w:eastAsiaTheme="minorEastAsia"/>
        </w:rPr>
      </w:pPr>
      <w:r>
        <w:rPr>
          <w:rFonts w:eastAsiaTheme="minorEastAsia"/>
        </w:rPr>
        <w:t xml:space="preserve">Are institutions weak in Bangladesh. </w:t>
      </w:r>
      <w:r w:rsidRPr="002313C9">
        <w:rPr>
          <w:rFonts w:eastAsiaTheme="minorEastAsia"/>
        </w:rPr>
        <w:t>Many say so</w:t>
      </w:r>
      <w:r>
        <w:rPr>
          <w:rFonts w:eastAsiaTheme="minorEastAsia"/>
        </w:rPr>
        <w:t xml:space="preserve"> and data (Figure 8) seem to indicate so. Doubts persist. After all, the country is managing 160 million people that is growing without any major crisis or civil war. Therefore, t</w:t>
      </w:r>
      <w:r w:rsidRPr="002313C9">
        <w:rPr>
          <w:rFonts w:eastAsiaTheme="minorEastAsia"/>
        </w:rPr>
        <w:t xml:space="preserve">he so called Bangladesh surprise is </w:t>
      </w:r>
      <w:r>
        <w:rPr>
          <w:rFonts w:eastAsiaTheme="minorEastAsia"/>
        </w:rPr>
        <w:t xml:space="preserve">perhaps </w:t>
      </w:r>
      <w:r w:rsidRPr="002313C9">
        <w:rPr>
          <w:rFonts w:eastAsiaTheme="minorEastAsia"/>
        </w:rPr>
        <w:t>no surprise at all</w:t>
      </w:r>
      <w:r>
        <w:rPr>
          <w:rFonts w:eastAsiaTheme="minorEastAsia"/>
        </w:rPr>
        <w:t xml:space="preserve">. </w:t>
      </w:r>
      <w:r w:rsidRPr="002313C9">
        <w:rPr>
          <w:rFonts w:eastAsiaTheme="minorEastAsia"/>
        </w:rPr>
        <w:t>Bangladesh d</w:t>
      </w:r>
      <w:r>
        <w:rPr>
          <w:rFonts w:eastAsiaTheme="minorEastAsia"/>
        </w:rPr>
        <w:t>id</w:t>
      </w:r>
      <w:r w:rsidRPr="002313C9">
        <w:rPr>
          <w:rFonts w:eastAsiaTheme="minorEastAsia"/>
        </w:rPr>
        <w:t xml:space="preserve"> so well on MDGs </w:t>
      </w:r>
      <w:r>
        <w:rPr>
          <w:rFonts w:eastAsiaTheme="minorEastAsia"/>
        </w:rPr>
        <w:t xml:space="preserve">and is expected to do well in SDGs too </w:t>
      </w:r>
      <w:r w:rsidRPr="002313C9">
        <w:rPr>
          <w:rFonts w:eastAsiaTheme="minorEastAsia"/>
        </w:rPr>
        <w:t xml:space="preserve">despite relatively low per capita income simply </w:t>
      </w:r>
      <w:r>
        <w:rPr>
          <w:rFonts w:eastAsiaTheme="minorEastAsia"/>
        </w:rPr>
        <w:t>because institutions are strong</w:t>
      </w:r>
      <w:r w:rsidRPr="002313C9">
        <w:rPr>
          <w:rFonts w:eastAsiaTheme="minorEastAsia"/>
        </w:rPr>
        <w:t xml:space="preserve">, </w:t>
      </w:r>
      <w:r>
        <w:rPr>
          <w:rFonts w:eastAsiaTheme="minorEastAsia"/>
        </w:rPr>
        <w:t xml:space="preserve">governmental with gaps, </w:t>
      </w:r>
      <w:r w:rsidRPr="002313C9">
        <w:rPr>
          <w:rFonts w:eastAsiaTheme="minorEastAsia"/>
        </w:rPr>
        <w:t xml:space="preserve">non-governmental </w:t>
      </w:r>
      <w:r>
        <w:rPr>
          <w:rFonts w:eastAsiaTheme="minorEastAsia"/>
        </w:rPr>
        <w:t xml:space="preserve">in a robust way and </w:t>
      </w:r>
      <w:r w:rsidRPr="00F66CA8">
        <w:rPr>
          <w:rFonts w:eastAsiaTheme="minorEastAsia"/>
        </w:rPr>
        <w:t>the people who are the source of strength of Bangladesh. Take the case of fertility decline which has been lauded by all in awe. People made the rational choice to have smaller families.</w:t>
      </w:r>
    </w:p>
    <w:p w:rsidR="00221E20" w:rsidRPr="00221E20" w:rsidRDefault="00221E20" w:rsidP="00497BD9">
      <w:pPr>
        <w:spacing w:before="0" w:after="200" w:line="276" w:lineRule="auto"/>
        <w:rPr>
          <w:color w:val="000000" w:themeColor="text1"/>
        </w:rPr>
      </w:pPr>
      <w:r w:rsidRPr="00221E20">
        <w:t xml:space="preserve">Challenges to address in governance </w:t>
      </w:r>
      <w:r w:rsidR="00381E7F">
        <w:t xml:space="preserve">in Bangladesh </w:t>
      </w:r>
      <w:r w:rsidRPr="00221E20">
        <w:t>(Alamgir 2015) are lacking strength, competency, effectiveness, transparency and accountability and struggling with the serious consequences of corruption.</w:t>
      </w:r>
      <w:r w:rsidR="00381E7F">
        <w:t xml:space="preserve"> Governance is a metaphor for sound administration for sustainable inclusive development that lowers poverty and inequality.</w:t>
      </w:r>
    </w:p>
    <w:p w:rsidR="00931DAE" w:rsidRDefault="0062735D" w:rsidP="00931DAE">
      <w:pPr>
        <w:spacing w:before="0" w:after="200" w:line="276" w:lineRule="auto"/>
        <w:rPr>
          <w:b/>
          <w:color w:val="000000" w:themeColor="text1"/>
        </w:rPr>
      </w:pPr>
      <w:r>
        <w:rPr>
          <w:b/>
          <w:color w:val="000000" w:themeColor="text1"/>
        </w:rPr>
        <w:lastRenderedPageBreak/>
        <w:t xml:space="preserve">Economic </w:t>
      </w:r>
      <w:r w:rsidR="00E35322">
        <w:rPr>
          <w:b/>
          <w:color w:val="000000" w:themeColor="text1"/>
        </w:rPr>
        <w:t xml:space="preserve">and financial </w:t>
      </w:r>
      <w:r w:rsidR="00220388">
        <w:rPr>
          <w:b/>
          <w:color w:val="000000" w:themeColor="text1"/>
        </w:rPr>
        <w:t>m</w:t>
      </w:r>
      <w:r>
        <w:rPr>
          <w:b/>
          <w:color w:val="000000" w:themeColor="text1"/>
        </w:rPr>
        <w:t>anagement</w:t>
      </w:r>
    </w:p>
    <w:p w:rsidR="00BD0EA7" w:rsidRPr="006E0B0C" w:rsidRDefault="00BD0EA7" w:rsidP="00931DAE">
      <w:pPr>
        <w:spacing w:before="0" w:after="200" w:line="276" w:lineRule="auto"/>
        <w:rPr>
          <w:color w:val="000000" w:themeColor="text1"/>
        </w:rPr>
      </w:pPr>
      <w:r>
        <w:rPr>
          <w:noProof/>
        </w:rPr>
        <w:drawing>
          <wp:anchor distT="0" distB="0" distL="114300" distR="114300" simplePos="0" relativeHeight="251844608" behindDoc="0" locked="0" layoutInCell="1" allowOverlap="1" wp14:anchorId="5EB1E41F" wp14:editId="69895F29">
            <wp:simplePos x="0" y="0"/>
            <wp:positionH relativeFrom="margin">
              <wp:posOffset>60960</wp:posOffset>
            </wp:positionH>
            <wp:positionV relativeFrom="paragraph">
              <wp:posOffset>189865</wp:posOffset>
            </wp:positionV>
            <wp:extent cx="3779520" cy="2308860"/>
            <wp:effectExtent l="0" t="0" r="11430" b="15240"/>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0F5E75">
        <w:rPr>
          <w:color w:val="000000" w:themeColor="text1"/>
        </w:rPr>
        <w:t xml:space="preserve">Cross-country data for 81 countries suggest that </w:t>
      </w:r>
      <w:r w:rsidR="00B70556">
        <w:rPr>
          <w:color w:val="000000" w:themeColor="text1"/>
        </w:rPr>
        <w:t xml:space="preserve">in economic and financial management </w:t>
      </w:r>
      <w:r w:rsidR="006E1444">
        <w:rPr>
          <w:color w:val="000000" w:themeColor="text1"/>
        </w:rPr>
        <w:t>Bangladesh’s performance is mixed</w:t>
      </w:r>
      <w:r w:rsidR="002C557F">
        <w:rPr>
          <w:color w:val="000000" w:themeColor="text1"/>
        </w:rPr>
        <w:t xml:space="preserve">. It has a comfortable rank of 17 in economic management cluster average </w:t>
      </w:r>
      <w:r w:rsidR="00005EEE">
        <w:rPr>
          <w:color w:val="000000" w:themeColor="text1"/>
        </w:rPr>
        <w:t xml:space="preserve">with a score of 3.83 </w:t>
      </w:r>
      <w:r w:rsidR="002C557F">
        <w:rPr>
          <w:color w:val="000000" w:themeColor="text1"/>
        </w:rPr>
        <w:t xml:space="preserve">ahead of </w:t>
      </w:r>
      <w:r w:rsidR="002C557F" w:rsidRPr="002C557F">
        <w:rPr>
          <w:color w:val="000000" w:themeColor="text1"/>
        </w:rPr>
        <w:t>Burundi, Lao PDR, Ghana, Malawi, Nepal, Pakistan, Sri Lanka and Zimbabwe</w:t>
      </w:r>
      <w:r w:rsidR="002C557F">
        <w:rPr>
          <w:color w:val="000000" w:themeColor="text1"/>
        </w:rPr>
        <w:t xml:space="preserve"> among others but </w:t>
      </w:r>
      <w:r w:rsidR="002C557F" w:rsidRPr="006E0B0C">
        <w:rPr>
          <w:color w:val="000000" w:themeColor="text1"/>
        </w:rPr>
        <w:t>behind Armenia, Cambodia, India, Kenya, Tanzania and Uganda</w:t>
      </w:r>
      <w:r w:rsidR="00B70556" w:rsidRPr="006E0B0C">
        <w:rPr>
          <w:color w:val="000000" w:themeColor="text1"/>
        </w:rPr>
        <w:t xml:space="preserve"> (Figure 15)</w:t>
      </w:r>
      <w:r w:rsidR="002C557F" w:rsidRPr="006E0B0C">
        <w:rPr>
          <w:color w:val="000000" w:themeColor="text1"/>
        </w:rPr>
        <w:t xml:space="preserve">. </w:t>
      </w:r>
      <w:r w:rsidRPr="006E0B0C">
        <w:rPr>
          <w:color w:val="000000" w:themeColor="text1"/>
        </w:rPr>
        <w:t>In economic management cluster, Bangladesh is weakest in fiscal policy, better in macro management and debt policy</w:t>
      </w:r>
      <w:r w:rsidR="006E0B0C" w:rsidRPr="006E0B0C">
        <w:rPr>
          <w:color w:val="000000" w:themeColor="text1"/>
        </w:rPr>
        <w:t xml:space="preserve"> as shown below.</w:t>
      </w:r>
    </w:p>
    <w:p w:rsidR="00BD0EA7" w:rsidRDefault="006C517C" w:rsidP="00931DAE">
      <w:pPr>
        <w:spacing w:before="0" w:after="200" w:line="276" w:lineRule="auto"/>
        <w:rPr>
          <w:color w:val="000000" w:themeColor="text1"/>
        </w:rPr>
      </w:pPr>
      <w:r>
        <w:rPr>
          <w:color w:val="000000" w:themeColor="text1"/>
        </w:rPr>
        <w:t xml:space="preserve">Bangladesh has done well </w:t>
      </w:r>
      <w:r w:rsidR="00F62D12">
        <w:rPr>
          <w:color w:val="000000" w:themeColor="text1"/>
        </w:rPr>
        <w:t xml:space="preserve">(score of 4 to 6 in the scale of 1 to 6) </w:t>
      </w:r>
      <w:r w:rsidR="00B70556">
        <w:rPr>
          <w:color w:val="000000" w:themeColor="text1"/>
        </w:rPr>
        <w:t xml:space="preserve">also </w:t>
      </w:r>
      <w:r>
        <w:rPr>
          <w:color w:val="000000" w:themeColor="text1"/>
        </w:rPr>
        <w:t xml:space="preserve">in </w:t>
      </w:r>
      <w:r w:rsidRPr="006C517C">
        <w:rPr>
          <w:color w:val="000000" w:themeColor="text1"/>
        </w:rPr>
        <w:t xml:space="preserve">CPIA macroeconomic management </w:t>
      </w:r>
      <w:r>
        <w:rPr>
          <w:color w:val="000000" w:themeColor="text1"/>
        </w:rPr>
        <w:t xml:space="preserve">and </w:t>
      </w:r>
      <w:r w:rsidRPr="006C517C">
        <w:rPr>
          <w:color w:val="000000" w:themeColor="text1"/>
        </w:rPr>
        <w:t>debt</w:t>
      </w:r>
      <w:r>
        <w:rPr>
          <w:color w:val="000000" w:themeColor="text1"/>
        </w:rPr>
        <w:t xml:space="preserve"> policy </w:t>
      </w:r>
      <w:r w:rsidRPr="006C517C">
        <w:rPr>
          <w:color w:val="000000" w:themeColor="text1"/>
        </w:rPr>
        <w:t>rating</w:t>
      </w:r>
      <w:r>
        <w:rPr>
          <w:color w:val="000000" w:themeColor="text1"/>
        </w:rPr>
        <w:t xml:space="preserve"> (score of 4</w:t>
      </w:r>
      <w:r w:rsidR="00F62D12">
        <w:rPr>
          <w:color w:val="000000" w:themeColor="text1"/>
        </w:rPr>
        <w:t>)</w:t>
      </w:r>
      <w:r w:rsidR="003B3D3B">
        <w:rPr>
          <w:color w:val="000000" w:themeColor="text1"/>
        </w:rPr>
        <w:t xml:space="preserve"> </w:t>
      </w:r>
      <w:r w:rsidR="00DC3C2F">
        <w:rPr>
          <w:color w:val="000000" w:themeColor="text1"/>
        </w:rPr>
        <w:t>b</w:t>
      </w:r>
      <w:r w:rsidR="00DC3C2F" w:rsidRPr="00DC3C2F">
        <w:rPr>
          <w:color w:val="000000" w:themeColor="text1"/>
        </w:rPr>
        <w:t xml:space="preserve">ehind India, Kenya and Tanzania but ahead of Ethiopia, Honduras, Lao PDR, Nigeria, Pakistan, Nepal, Sri Lanka and many </w:t>
      </w:r>
      <w:r w:rsidR="00DC3C2F" w:rsidRPr="00F8458B">
        <w:rPr>
          <w:color w:val="000000" w:themeColor="text1"/>
        </w:rPr>
        <w:t>others</w:t>
      </w:r>
      <w:r w:rsidR="00A93699" w:rsidRPr="00F8458B">
        <w:rPr>
          <w:color w:val="000000" w:themeColor="text1"/>
        </w:rPr>
        <w:t xml:space="preserve"> (Figure </w:t>
      </w:r>
      <w:r w:rsidR="00F8458B" w:rsidRPr="00F8458B">
        <w:rPr>
          <w:color w:val="000000" w:themeColor="text1"/>
        </w:rPr>
        <w:t>16</w:t>
      </w:r>
      <w:r w:rsidR="00A93699" w:rsidRPr="00F8458B">
        <w:rPr>
          <w:color w:val="000000" w:themeColor="text1"/>
        </w:rPr>
        <w:t>)</w:t>
      </w:r>
      <w:r w:rsidR="00DC3C2F" w:rsidRPr="00F8458B">
        <w:rPr>
          <w:color w:val="000000" w:themeColor="text1"/>
        </w:rPr>
        <w:t xml:space="preserve">. </w:t>
      </w:r>
    </w:p>
    <w:p w:rsidR="00BD0EA7" w:rsidRDefault="00DC3C2F" w:rsidP="00931DAE">
      <w:pPr>
        <w:spacing w:before="0" w:after="200" w:line="276" w:lineRule="auto"/>
        <w:rPr>
          <w:color w:val="000000" w:themeColor="text1"/>
        </w:rPr>
      </w:pPr>
      <w:r>
        <w:rPr>
          <w:color w:val="000000" w:themeColor="text1"/>
        </w:rPr>
        <w:t xml:space="preserve">Bangladesh’s </w:t>
      </w:r>
      <w:r w:rsidR="006C517C">
        <w:rPr>
          <w:color w:val="000000" w:themeColor="text1"/>
        </w:rPr>
        <w:t xml:space="preserve">performance is average </w:t>
      </w:r>
      <w:r w:rsidR="00F62D12">
        <w:rPr>
          <w:color w:val="000000" w:themeColor="text1"/>
        </w:rPr>
        <w:t xml:space="preserve">(score of 3 to 4) </w:t>
      </w:r>
      <w:r w:rsidR="006C517C">
        <w:rPr>
          <w:color w:val="000000" w:themeColor="text1"/>
        </w:rPr>
        <w:t xml:space="preserve">in </w:t>
      </w:r>
      <w:r w:rsidR="006C517C" w:rsidRPr="006C517C">
        <w:rPr>
          <w:color w:val="000000" w:themeColor="text1"/>
        </w:rPr>
        <w:t>business regulatory environment</w:t>
      </w:r>
      <w:r w:rsidR="006C517C">
        <w:rPr>
          <w:color w:val="000000" w:themeColor="text1"/>
        </w:rPr>
        <w:t>, efficiency of revenue mobilization</w:t>
      </w:r>
      <w:r w:rsidR="00F62D12">
        <w:rPr>
          <w:color w:val="000000" w:themeColor="text1"/>
        </w:rPr>
        <w:t xml:space="preserve"> and </w:t>
      </w:r>
      <w:r w:rsidR="00F62D12" w:rsidRPr="00F62D12">
        <w:rPr>
          <w:color w:val="000000" w:themeColor="text1"/>
        </w:rPr>
        <w:t>quality of budgetary and financial management</w:t>
      </w:r>
      <w:r w:rsidR="006C517C" w:rsidRPr="006C517C">
        <w:rPr>
          <w:color w:val="000000" w:themeColor="text1"/>
        </w:rPr>
        <w:t xml:space="preserve"> rating</w:t>
      </w:r>
      <w:r w:rsidR="006C517C">
        <w:rPr>
          <w:color w:val="000000" w:themeColor="text1"/>
        </w:rPr>
        <w:t xml:space="preserve"> (score 3)</w:t>
      </w:r>
      <w:r w:rsidR="00F8458B">
        <w:rPr>
          <w:color w:val="000000" w:themeColor="text1"/>
        </w:rPr>
        <w:t xml:space="preserve"> (Figure 17)</w:t>
      </w:r>
      <w:r w:rsidR="006C517C">
        <w:rPr>
          <w:color w:val="000000" w:themeColor="text1"/>
        </w:rPr>
        <w:t xml:space="preserve">, </w:t>
      </w:r>
      <w:r w:rsidR="00005EEE">
        <w:rPr>
          <w:color w:val="000000" w:themeColor="text1"/>
        </w:rPr>
        <w:t xml:space="preserve">and </w:t>
      </w:r>
      <w:r w:rsidR="00F62D12">
        <w:rPr>
          <w:color w:val="000000" w:themeColor="text1"/>
        </w:rPr>
        <w:t xml:space="preserve">equity in public resource use, fiscal policy rating and trade rating (score 3.50) </w:t>
      </w:r>
      <w:r w:rsidR="00005EEE">
        <w:rPr>
          <w:color w:val="000000" w:themeColor="text1"/>
        </w:rPr>
        <w:t>(Figure 18)</w:t>
      </w:r>
      <w:r>
        <w:rPr>
          <w:color w:val="000000" w:themeColor="text1"/>
        </w:rPr>
        <w:t xml:space="preserve">. </w:t>
      </w:r>
    </w:p>
    <w:p w:rsidR="006E0B0C" w:rsidRDefault="00BD0EA7" w:rsidP="00931DAE">
      <w:pPr>
        <w:spacing w:before="0" w:after="200" w:line="276" w:lineRule="auto"/>
        <w:rPr>
          <w:rFonts w:eastAsia="Times New Roman"/>
          <w:color w:val="000000"/>
        </w:rPr>
      </w:pPr>
      <w:r w:rsidRPr="008A4092">
        <w:rPr>
          <w:rFonts w:eastAsia="Times New Roman"/>
          <w:color w:val="000000"/>
        </w:rPr>
        <w:t>Bangladesh is lacking in fiscal</w:t>
      </w:r>
      <w:r>
        <w:rPr>
          <w:rFonts w:eastAsia="Times New Roman"/>
          <w:color w:val="000000"/>
        </w:rPr>
        <w:t xml:space="preserve"> </w:t>
      </w:r>
      <w:r w:rsidRPr="008A4092">
        <w:rPr>
          <w:rFonts w:eastAsia="Times New Roman"/>
          <w:color w:val="000000"/>
        </w:rPr>
        <w:t>tran</w:t>
      </w:r>
      <w:r>
        <w:rPr>
          <w:rFonts w:eastAsia="Times New Roman"/>
          <w:color w:val="000000"/>
        </w:rPr>
        <w:t>s</w:t>
      </w:r>
      <w:r w:rsidRPr="008A4092">
        <w:rPr>
          <w:rFonts w:eastAsia="Times New Roman"/>
          <w:color w:val="000000"/>
        </w:rPr>
        <w:t>parency.</w:t>
      </w:r>
      <w:r>
        <w:rPr>
          <w:rFonts w:eastAsia="Times New Roman"/>
          <w:color w:val="000000"/>
        </w:rPr>
        <w:t xml:space="preserve"> Neither how money is collected nor how it is spent is fully transparent especially payments made to state-owned enterprises including defaulting banks. </w:t>
      </w:r>
    </w:p>
    <w:p w:rsidR="006E1444" w:rsidRDefault="00DC3C2F" w:rsidP="00931DAE">
      <w:pPr>
        <w:spacing w:before="0" w:after="200" w:line="276" w:lineRule="auto"/>
        <w:rPr>
          <w:color w:val="000000" w:themeColor="text1"/>
        </w:rPr>
      </w:pPr>
      <w:r>
        <w:rPr>
          <w:color w:val="000000" w:themeColor="text1"/>
        </w:rPr>
        <w:t xml:space="preserve">In regulatory, revenue mobilization and budgetary and financial management rating Bangladesh is behind many countries like </w:t>
      </w:r>
      <w:r w:rsidR="000F5E75" w:rsidRPr="000F5E75">
        <w:rPr>
          <w:color w:val="000000" w:themeColor="text1"/>
        </w:rPr>
        <w:t xml:space="preserve">Burkina Faso, Ethiopia, Sri Lanka, Bhutan, India, Kenya, Myanmar, Pakistan, Vietnam and even Afghanistan </w:t>
      </w:r>
      <w:r w:rsidR="000F5E75">
        <w:rPr>
          <w:color w:val="000000" w:themeColor="text1"/>
        </w:rPr>
        <w:t xml:space="preserve">for a total of 39 countries that are ahead </w:t>
      </w:r>
      <w:r w:rsidR="000F5E75" w:rsidRPr="000F5E75">
        <w:rPr>
          <w:color w:val="000000" w:themeColor="text1"/>
        </w:rPr>
        <w:t>while it can take consolation in being ahead of Cambodia, Chad, Nigeria, Nepal, Angola, Madagascar and some others.</w:t>
      </w:r>
      <w:r w:rsidR="00F62D12">
        <w:rPr>
          <w:color w:val="000000" w:themeColor="text1"/>
        </w:rPr>
        <w:t xml:space="preserve"> </w:t>
      </w:r>
      <w:r w:rsidR="000F5E75">
        <w:rPr>
          <w:color w:val="000000" w:themeColor="text1"/>
        </w:rPr>
        <w:t>Bangladesh falls below a</w:t>
      </w:r>
      <w:r w:rsidR="00F62D12">
        <w:rPr>
          <w:color w:val="000000" w:themeColor="text1"/>
        </w:rPr>
        <w:t>verage to a poor (score less than 3) level in financial sector, public sector management and institutions</w:t>
      </w:r>
      <w:r w:rsidR="00B9362A">
        <w:rPr>
          <w:color w:val="000000" w:themeColor="text1"/>
        </w:rPr>
        <w:t xml:space="preserve"> and </w:t>
      </w:r>
      <w:r w:rsidR="00B9362A" w:rsidRPr="00B9362A">
        <w:rPr>
          <w:color w:val="000000" w:themeColor="text1"/>
        </w:rPr>
        <w:t>transparency, accountability, and corruption in the public sector rating</w:t>
      </w:r>
      <w:r w:rsidR="000F5E75">
        <w:rPr>
          <w:color w:val="000000" w:themeColor="text1"/>
        </w:rPr>
        <w:t xml:space="preserve"> putting it behind</w:t>
      </w:r>
      <w:r w:rsidR="00D5687F">
        <w:rPr>
          <w:color w:val="000000" w:themeColor="text1"/>
        </w:rPr>
        <w:t xml:space="preserve"> 49 countries including </w:t>
      </w:r>
      <w:r w:rsidR="00D5687F" w:rsidRPr="00D5687F">
        <w:rPr>
          <w:color w:val="000000" w:themeColor="text1"/>
        </w:rPr>
        <w:t>Bhutan, Rwanda, Ghana, India, Vietnam, Sri Lanka, Nepal and Pakistan</w:t>
      </w:r>
      <w:r w:rsidR="003D63F5">
        <w:rPr>
          <w:color w:val="000000" w:themeColor="text1"/>
        </w:rPr>
        <w:t xml:space="preserve"> (Figure 19)</w:t>
      </w:r>
      <w:r w:rsidR="00D5687F" w:rsidRPr="00D5687F">
        <w:rPr>
          <w:color w:val="000000" w:themeColor="text1"/>
        </w:rPr>
        <w:t>.</w:t>
      </w:r>
      <w:r w:rsidR="00D5687F">
        <w:rPr>
          <w:color w:val="000000" w:themeColor="text1"/>
        </w:rPr>
        <w:t xml:space="preserve"> Mercifully Bangladesh is ahead of Cameroon, Gambia, Liberia, Togo, Yemen and Angola and some others</w:t>
      </w:r>
      <w:r w:rsidR="00B9362A">
        <w:rPr>
          <w:color w:val="000000" w:themeColor="text1"/>
        </w:rPr>
        <w:t>.</w:t>
      </w:r>
      <w:r w:rsidR="00F62D12">
        <w:rPr>
          <w:color w:val="000000" w:themeColor="text1"/>
        </w:rPr>
        <w:t xml:space="preserve">  </w:t>
      </w:r>
      <w:r w:rsidR="006C517C">
        <w:rPr>
          <w:color w:val="000000" w:themeColor="text1"/>
        </w:rPr>
        <w:t xml:space="preserve">  </w:t>
      </w:r>
    </w:p>
    <w:p w:rsidR="00E020C2" w:rsidRDefault="00E020C2" w:rsidP="00E020C2"/>
    <w:tbl>
      <w:tblPr>
        <w:tblW w:w="7120" w:type="dxa"/>
        <w:tblLook w:val="04A0" w:firstRow="1" w:lastRow="0" w:firstColumn="1" w:lastColumn="0" w:noHBand="0" w:noVBand="1"/>
      </w:tblPr>
      <w:tblGrid>
        <w:gridCol w:w="6454"/>
        <w:gridCol w:w="222"/>
        <w:gridCol w:w="222"/>
        <w:gridCol w:w="222"/>
      </w:tblGrid>
      <w:tr w:rsidR="00FC74BF" w:rsidRPr="00FC74BF" w:rsidTr="00E11C1F">
        <w:trPr>
          <w:trHeight w:val="240"/>
        </w:trPr>
        <w:tc>
          <w:tcPr>
            <w:tcW w:w="7120" w:type="dxa"/>
            <w:gridSpan w:val="4"/>
            <w:tcBorders>
              <w:top w:val="nil"/>
              <w:left w:val="nil"/>
              <w:bottom w:val="nil"/>
              <w:right w:val="nil"/>
            </w:tcBorders>
            <w:shd w:val="clear" w:color="auto" w:fill="auto"/>
            <w:noWrap/>
            <w:vAlign w:val="bottom"/>
            <w:hideMark/>
          </w:tcPr>
          <w:p w:rsidR="00FC74BF" w:rsidRPr="00FC74BF" w:rsidRDefault="00FC74BF" w:rsidP="00E37B51">
            <w:pPr>
              <w:spacing w:before="0" w:after="0"/>
              <w:rPr>
                <w:rFonts w:eastAsia="Times New Roman"/>
                <w:b/>
                <w:bCs/>
                <w:color w:val="000000"/>
              </w:rPr>
            </w:pPr>
            <w:r w:rsidRPr="00FC74BF">
              <w:rPr>
                <w:rFonts w:eastAsia="Times New Roman"/>
                <w:b/>
                <w:bCs/>
                <w:color w:val="000000"/>
              </w:rPr>
              <w:lastRenderedPageBreak/>
              <w:t xml:space="preserve">Figure </w:t>
            </w:r>
            <w:r w:rsidR="00E37B51">
              <w:rPr>
                <w:rFonts w:eastAsia="Times New Roman"/>
                <w:b/>
                <w:bCs/>
                <w:color w:val="000000"/>
              </w:rPr>
              <w:t>16</w:t>
            </w:r>
            <w:r w:rsidRPr="00FC74BF">
              <w:rPr>
                <w:rFonts w:eastAsia="Times New Roman"/>
                <w:b/>
                <w:bCs/>
                <w:color w:val="000000"/>
              </w:rPr>
              <w:t>:Macroeconomic management and debt policy rating</w:t>
            </w: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ascii="Calibri" w:eastAsia="Times New Roman" w:hAnsi="Calibri"/>
                <w:color w:val="000000"/>
              </w:rPr>
            </w:pPr>
            <w:r w:rsidRPr="00FC74BF">
              <w:rPr>
                <w:rFonts w:ascii="Calibri" w:eastAsia="Times New Roman" w:hAnsi="Calibri"/>
                <w:noProof/>
                <w:color w:val="000000"/>
              </w:rPr>
              <w:drawing>
                <wp:anchor distT="0" distB="0" distL="114300" distR="114300" simplePos="0" relativeHeight="251813888" behindDoc="0" locked="0" layoutInCell="1" allowOverlap="1">
                  <wp:simplePos x="0" y="0"/>
                  <wp:positionH relativeFrom="column">
                    <wp:posOffset>-7620</wp:posOffset>
                  </wp:positionH>
                  <wp:positionV relativeFrom="paragraph">
                    <wp:posOffset>-7620</wp:posOffset>
                  </wp:positionV>
                  <wp:extent cx="4450080" cy="2468880"/>
                  <wp:effectExtent l="0" t="0" r="7620" b="7620"/>
                  <wp:wrapNone/>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122703" w:rsidRPr="00FC74BF">
              <w:rPr>
                <w:rFonts w:ascii="Calibri" w:eastAsia="Times New Roman" w:hAnsi="Calibri"/>
                <w:noProof/>
                <w:color w:val="000000"/>
              </w:rPr>
              <w:drawing>
                <wp:anchor distT="0" distB="0" distL="114300" distR="114300" simplePos="0" relativeHeight="251814912" behindDoc="0" locked="0" layoutInCell="1" allowOverlap="1" wp14:anchorId="2FE84FB9" wp14:editId="7E4746F1">
                  <wp:simplePos x="0" y="0"/>
                  <wp:positionH relativeFrom="column">
                    <wp:posOffset>-7620</wp:posOffset>
                  </wp:positionH>
                  <wp:positionV relativeFrom="paragraph">
                    <wp:posOffset>2446020</wp:posOffset>
                  </wp:positionV>
                  <wp:extent cx="4450080" cy="2468880"/>
                  <wp:effectExtent l="0" t="0" r="7620" b="7620"/>
                  <wp:wrapNone/>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0"/>
            </w:tblGrid>
            <w:tr w:rsidR="00FC74BF" w:rsidRPr="00FC74BF">
              <w:trPr>
                <w:trHeight w:val="240"/>
                <w:tblCellSpacing w:w="0" w:type="dxa"/>
              </w:trPr>
              <w:tc>
                <w:tcPr>
                  <w:tcW w:w="1820"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ascii="Calibri" w:eastAsia="Times New Roman" w:hAnsi="Calibri"/>
                      <w:color w:val="000000"/>
                    </w:rPr>
                  </w:pPr>
                </w:p>
              </w:tc>
            </w:tr>
          </w:tbl>
          <w:p w:rsidR="00FC74BF" w:rsidRPr="00FC74BF" w:rsidRDefault="00FC74BF" w:rsidP="00FC74BF">
            <w:pPr>
              <w:spacing w:before="0" w:after="0"/>
              <w:rPr>
                <w:rFonts w:ascii="Calibri" w:eastAsia="Times New Roman" w:hAnsi="Calibri"/>
                <w:color w:val="00000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454"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sz w:val="20"/>
                <w:szCs w:val="20"/>
              </w:rPr>
            </w:pPr>
          </w:p>
        </w:tc>
      </w:tr>
      <w:tr w:rsidR="00FC74BF" w:rsidRPr="00FC74BF" w:rsidTr="00E11C1F">
        <w:trPr>
          <w:trHeight w:val="240"/>
        </w:trPr>
        <w:tc>
          <w:tcPr>
            <w:tcW w:w="6898" w:type="dxa"/>
            <w:gridSpan w:val="3"/>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color w:val="000000"/>
                <w:sz w:val="18"/>
                <w:szCs w:val="18"/>
              </w:rPr>
            </w:pPr>
            <w:r w:rsidRPr="00FC74BF">
              <w:rPr>
                <w:rFonts w:eastAsia="Times New Roman"/>
                <w:color w:val="000000"/>
                <w:sz w:val="18"/>
                <w:szCs w:val="18"/>
              </w:rPr>
              <w:t>Source:</w:t>
            </w:r>
            <w:r w:rsidR="00A93699">
              <w:rPr>
                <w:rFonts w:eastAsia="Times New Roman"/>
                <w:color w:val="000000"/>
                <w:sz w:val="18"/>
                <w:szCs w:val="18"/>
              </w:rPr>
              <w:t xml:space="preserve"> </w:t>
            </w:r>
            <w:r w:rsidRPr="00FC74BF">
              <w:rPr>
                <w:rFonts w:eastAsia="Times New Roman"/>
                <w:color w:val="000000"/>
                <w:sz w:val="18"/>
                <w:szCs w:val="18"/>
              </w:rPr>
              <w:t>http://data.worldbank.org/data-catalog/CPIA</w:t>
            </w:r>
          </w:p>
        </w:tc>
        <w:tc>
          <w:tcPr>
            <w:tcW w:w="222" w:type="dxa"/>
            <w:tcBorders>
              <w:top w:val="nil"/>
              <w:left w:val="nil"/>
              <w:bottom w:val="nil"/>
              <w:right w:val="nil"/>
            </w:tcBorders>
            <w:shd w:val="clear" w:color="auto" w:fill="auto"/>
            <w:noWrap/>
            <w:vAlign w:val="bottom"/>
            <w:hideMark/>
          </w:tcPr>
          <w:p w:rsidR="00FC74BF" w:rsidRPr="00FC74BF" w:rsidRDefault="00FC74BF" w:rsidP="00FC74BF">
            <w:pPr>
              <w:spacing w:before="0" w:after="0"/>
              <w:rPr>
                <w:rFonts w:eastAsia="Times New Roman"/>
                <w:color w:val="000000"/>
                <w:sz w:val="18"/>
                <w:szCs w:val="18"/>
              </w:rPr>
            </w:pPr>
          </w:p>
        </w:tc>
      </w:tr>
    </w:tbl>
    <w:p w:rsidR="00E11C1F" w:rsidRDefault="00E11C1F"/>
    <w:p w:rsidR="00E11C1F" w:rsidRDefault="00E11C1F"/>
    <w:p w:rsidR="00E11C1F" w:rsidRDefault="00E11C1F"/>
    <w:p w:rsidR="00E11C1F" w:rsidRDefault="00E11C1F"/>
    <w:p w:rsidR="00E11C1F" w:rsidRDefault="00E11C1F"/>
    <w:p w:rsidR="00E11C1F" w:rsidRDefault="00E11C1F"/>
    <w:p w:rsidR="00E11C1F" w:rsidRDefault="00E11C1F"/>
    <w:p w:rsidR="00E11C1F" w:rsidRDefault="00E11C1F"/>
    <w:p w:rsidR="00E11C1F" w:rsidRDefault="00E11C1F"/>
    <w:p w:rsidR="00E11C1F" w:rsidRDefault="00E11C1F"/>
    <w:p w:rsidR="00584BAD" w:rsidRDefault="00584BAD">
      <w:r>
        <w:br w:type="page"/>
      </w:r>
    </w:p>
    <w:tbl>
      <w:tblPr>
        <w:tblW w:w="6940" w:type="dxa"/>
        <w:tblLook w:val="04A0" w:firstRow="1" w:lastRow="0" w:firstColumn="1" w:lastColumn="0" w:noHBand="0" w:noVBand="1"/>
      </w:tblPr>
      <w:tblGrid>
        <w:gridCol w:w="6274"/>
        <w:gridCol w:w="222"/>
        <w:gridCol w:w="222"/>
        <w:gridCol w:w="222"/>
      </w:tblGrid>
      <w:tr w:rsidR="00E11C1F" w:rsidRPr="00E11C1F" w:rsidTr="00E11C1F">
        <w:trPr>
          <w:trHeight w:val="336"/>
        </w:trPr>
        <w:tc>
          <w:tcPr>
            <w:tcW w:w="6940" w:type="dxa"/>
            <w:gridSpan w:val="4"/>
            <w:tcBorders>
              <w:top w:val="nil"/>
              <w:left w:val="nil"/>
              <w:bottom w:val="nil"/>
              <w:right w:val="nil"/>
            </w:tcBorders>
            <w:shd w:val="clear" w:color="auto" w:fill="auto"/>
            <w:noWrap/>
            <w:vAlign w:val="bottom"/>
            <w:hideMark/>
          </w:tcPr>
          <w:p w:rsidR="00E11C1F" w:rsidRPr="00E11C1F" w:rsidRDefault="00E11C1F" w:rsidP="00E37B51">
            <w:pPr>
              <w:spacing w:before="0" w:after="0"/>
              <w:rPr>
                <w:rFonts w:eastAsia="Times New Roman"/>
                <w:b/>
                <w:bCs/>
                <w:color w:val="000000"/>
              </w:rPr>
            </w:pPr>
            <w:r w:rsidRPr="00E11C1F">
              <w:rPr>
                <w:rFonts w:eastAsia="Times New Roman"/>
                <w:b/>
                <w:bCs/>
                <w:color w:val="000000"/>
              </w:rPr>
              <w:lastRenderedPageBreak/>
              <w:t xml:space="preserve">Figure </w:t>
            </w:r>
            <w:r w:rsidR="00E37B51">
              <w:rPr>
                <w:rFonts w:eastAsia="Times New Roman"/>
                <w:b/>
                <w:bCs/>
                <w:color w:val="000000"/>
              </w:rPr>
              <w:t>17</w:t>
            </w:r>
            <w:r w:rsidRPr="00E11C1F">
              <w:rPr>
                <w:rFonts w:eastAsia="Times New Roman"/>
                <w:b/>
                <w:bCs/>
                <w:color w:val="000000"/>
              </w:rPr>
              <w:t xml:space="preserve">: Regulatory environment, revenue mobilization and </w:t>
            </w:r>
          </w:p>
        </w:tc>
      </w:tr>
      <w:tr w:rsidR="00E11C1F" w:rsidRPr="00E11C1F" w:rsidTr="00E11C1F">
        <w:trPr>
          <w:trHeight w:val="300"/>
        </w:trPr>
        <w:tc>
          <w:tcPr>
            <w:tcW w:w="6496" w:type="dxa"/>
            <w:gridSpan w:val="2"/>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b/>
                <w:bCs/>
                <w:color w:val="000000"/>
              </w:rPr>
            </w:pPr>
            <w:r w:rsidRPr="00E11C1F">
              <w:rPr>
                <w:rFonts w:eastAsia="Times New Roman"/>
                <w:b/>
                <w:bCs/>
                <w:color w:val="000000"/>
              </w:rPr>
              <w:t>financial management rating</w:t>
            </w: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b/>
                <w:bCs/>
                <w:color w:val="00000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ascii="Calibri" w:eastAsia="Times New Roman" w:hAnsi="Calibri"/>
                <w:color w:val="000000"/>
              </w:rPr>
            </w:pPr>
            <w:r w:rsidRPr="00E11C1F">
              <w:rPr>
                <w:rFonts w:ascii="Calibri" w:eastAsia="Times New Roman" w:hAnsi="Calibri"/>
                <w:noProof/>
                <w:color w:val="000000"/>
              </w:rPr>
              <w:drawing>
                <wp:anchor distT="0" distB="0" distL="114300" distR="114300" simplePos="0" relativeHeight="251821056" behindDoc="0" locked="0" layoutInCell="1" allowOverlap="1">
                  <wp:simplePos x="0" y="0"/>
                  <wp:positionH relativeFrom="column">
                    <wp:posOffset>7620</wp:posOffset>
                  </wp:positionH>
                  <wp:positionV relativeFrom="paragraph">
                    <wp:posOffset>-3175</wp:posOffset>
                  </wp:positionV>
                  <wp:extent cx="4587240" cy="2308860"/>
                  <wp:effectExtent l="0" t="0" r="3810" b="15240"/>
                  <wp:wrapNone/>
                  <wp:docPr id="62"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0"/>
            </w:tblGrid>
            <w:tr w:rsidR="00E11C1F" w:rsidRPr="00E11C1F">
              <w:trPr>
                <w:trHeight w:val="240"/>
                <w:tblCellSpacing w:w="0" w:type="dxa"/>
              </w:trPr>
              <w:tc>
                <w:tcPr>
                  <w:tcW w:w="1820"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ascii="Calibri" w:eastAsia="Times New Roman" w:hAnsi="Calibri"/>
                      <w:color w:val="000000"/>
                    </w:rPr>
                  </w:pPr>
                </w:p>
              </w:tc>
            </w:tr>
          </w:tbl>
          <w:p w:rsidR="00E11C1F" w:rsidRPr="00E11C1F" w:rsidRDefault="00E11C1F" w:rsidP="00E11C1F">
            <w:pPr>
              <w:spacing w:before="0" w:after="0"/>
              <w:rPr>
                <w:rFonts w:ascii="Calibri" w:eastAsia="Times New Roman" w:hAnsi="Calibri"/>
                <w:color w:val="00000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020C2" w:rsidP="00E11C1F">
            <w:pPr>
              <w:spacing w:before="0" w:after="0"/>
              <w:rPr>
                <w:rFonts w:eastAsia="Times New Roman"/>
                <w:sz w:val="20"/>
                <w:szCs w:val="20"/>
              </w:rPr>
            </w:pPr>
            <w:r w:rsidRPr="00E11C1F">
              <w:rPr>
                <w:rFonts w:ascii="Calibri" w:eastAsia="Times New Roman" w:hAnsi="Calibri"/>
                <w:noProof/>
                <w:color w:val="000000"/>
              </w:rPr>
              <w:drawing>
                <wp:anchor distT="0" distB="0" distL="114300" distR="114300" simplePos="0" relativeHeight="251822080" behindDoc="0" locked="0" layoutInCell="1" allowOverlap="1" wp14:anchorId="5691EC2E" wp14:editId="371E8484">
                  <wp:simplePos x="0" y="0"/>
                  <wp:positionH relativeFrom="column">
                    <wp:posOffset>7620</wp:posOffset>
                  </wp:positionH>
                  <wp:positionV relativeFrom="paragraph">
                    <wp:posOffset>-168275</wp:posOffset>
                  </wp:positionV>
                  <wp:extent cx="4579620" cy="2438400"/>
                  <wp:effectExtent l="0" t="0" r="11430" b="0"/>
                  <wp:wrapNone/>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r w:rsidRPr="00E11C1F">
              <w:rPr>
                <w:rFonts w:ascii="Calibri" w:eastAsia="Times New Roman" w:hAnsi="Calibri"/>
                <w:noProof/>
                <w:color w:val="000000"/>
              </w:rPr>
              <w:drawing>
                <wp:anchor distT="0" distB="0" distL="114300" distR="114300" simplePos="0" relativeHeight="251823104" behindDoc="0" locked="0" layoutInCell="1" allowOverlap="1" wp14:anchorId="6C40B261" wp14:editId="09081EC4">
                  <wp:simplePos x="0" y="0"/>
                  <wp:positionH relativeFrom="column">
                    <wp:posOffset>7620</wp:posOffset>
                  </wp:positionH>
                  <wp:positionV relativeFrom="paragraph">
                    <wp:posOffset>-33655</wp:posOffset>
                  </wp:positionV>
                  <wp:extent cx="4579620" cy="2606040"/>
                  <wp:effectExtent l="0" t="0" r="11430" b="3810"/>
                  <wp:wrapNone/>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274"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sz w:val="20"/>
                <w:szCs w:val="20"/>
              </w:rPr>
            </w:pPr>
          </w:p>
        </w:tc>
      </w:tr>
      <w:tr w:rsidR="00E11C1F" w:rsidRPr="00E11C1F" w:rsidTr="00E11C1F">
        <w:trPr>
          <w:trHeight w:val="240"/>
        </w:trPr>
        <w:tc>
          <w:tcPr>
            <w:tcW w:w="6718" w:type="dxa"/>
            <w:gridSpan w:val="3"/>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color w:val="000000"/>
                <w:sz w:val="18"/>
                <w:szCs w:val="18"/>
              </w:rPr>
            </w:pPr>
            <w:r w:rsidRPr="00E11C1F">
              <w:rPr>
                <w:rFonts w:eastAsia="Times New Roman"/>
                <w:color w:val="000000"/>
                <w:sz w:val="18"/>
                <w:szCs w:val="18"/>
              </w:rPr>
              <w:t>Source:</w:t>
            </w:r>
            <w:r w:rsidR="00E020C2">
              <w:rPr>
                <w:rFonts w:eastAsia="Times New Roman"/>
                <w:color w:val="000000"/>
                <w:sz w:val="18"/>
                <w:szCs w:val="18"/>
              </w:rPr>
              <w:t xml:space="preserve"> </w:t>
            </w:r>
            <w:r w:rsidRPr="00E11C1F">
              <w:rPr>
                <w:rFonts w:eastAsia="Times New Roman"/>
                <w:color w:val="000000"/>
                <w:sz w:val="18"/>
                <w:szCs w:val="18"/>
              </w:rPr>
              <w:t>http://data.worldbank.org/data-catalog/CPIA</w:t>
            </w:r>
          </w:p>
        </w:tc>
        <w:tc>
          <w:tcPr>
            <w:tcW w:w="222" w:type="dxa"/>
            <w:tcBorders>
              <w:top w:val="nil"/>
              <w:left w:val="nil"/>
              <w:bottom w:val="nil"/>
              <w:right w:val="nil"/>
            </w:tcBorders>
            <w:shd w:val="clear" w:color="auto" w:fill="auto"/>
            <w:noWrap/>
            <w:vAlign w:val="bottom"/>
            <w:hideMark/>
          </w:tcPr>
          <w:p w:rsidR="00E11C1F" w:rsidRPr="00E11C1F" w:rsidRDefault="00E11C1F" w:rsidP="00E11C1F">
            <w:pPr>
              <w:spacing w:before="0" w:after="0"/>
              <w:rPr>
                <w:rFonts w:eastAsia="Times New Roman"/>
                <w:color w:val="000000"/>
                <w:sz w:val="18"/>
                <w:szCs w:val="18"/>
              </w:rPr>
            </w:pPr>
          </w:p>
        </w:tc>
      </w:tr>
    </w:tbl>
    <w:p w:rsidR="00E11C1F" w:rsidRDefault="00E11C1F"/>
    <w:p w:rsidR="00BF41C5" w:rsidRPr="00BF41C5" w:rsidRDefault="00BF41C5" w:rsidP="00BF41C5">
      <w:pPr>
        <w:spacing w:after="0"/>
        <w:rPr>
          <w:b/>
        </w:rPr>
      </w:pPr>
      <w:r>
        <w:lastRenderedPageBreak/>
        <w:t xml:space="preserve"> </w:t>
      </w:r>
      <w:r>
        <w:rPr>
          <w:b/>
        </w:rPr>
        <w:t xml:space="preserve">Figure </w:t>
      </w:r>
      <w:r w:rsidR="00E37B51">
        <w:rPr>
          <w:b/>
        </w:rPr>
        <w:t>18</w:t>
      </w:r>
      <w:r>
        <w:rPr>
          <w:b/>
        </w:rPr>
        <w:t>: Public resource use, fiscal policy and trade rating</w:t>
      </w:r>
    </w:p>
    <w:tbl>
      <w:tblPr>
        <w:tblW w:w="11590" w:type="dxa"/>
        <w:tblLook w:val="04A0" w:firstRow="1" w:lastRow="0" w:firstColumn="1" w:lastColumn="0" w:noHBand="0" w:noVBand="1"/>
      </w:tblPr>
      <w:tblGrid>
        <w:gridCol w:w="5968"/>
        <w:gridCol w:w="1352"/>
        <w:gridCol w:w="222"/>
        <w:gridCol w:w="222"/>
        <w:gridCol w:w="222"/>
        <w:gridCol w:w="123"/>
        <w:gridCol w:w="99"/>
        <w:gridCol w:w="1323"/>
        <w:gridCol w:w="105"/>
        <w:gridCol w:w="516"/>
        <w:gridCol w:w="817"/>
        <w:gridCol w:w="621"/>
      </w:tblGrid>
      <w:tr w:rsidR="00E11C1F" w:rsidRPr="00AE3E19" w:rsidTr="00146A91">
        <w:trPr>
          <w:trHeight w:val="240"/>
        </w:trPr>
        <w:tc>
          <w:tcPr>
            <w:tcW w:w="8109" w:type="dxa"/>
            <w:gridSpan w:val="6"/>
            <w:tcBorders>
              <w:top w:val="nil"/>
              <w:left w:val="nil"/>
              <w:bottom w:val="nil"/>
              <w:right w:val="nil"/>
            </w:tcBorders>
            <w:shd w:val="clear" w:color="auto" w:fill="auto"/>
            <w:noWrap/>
            <w:vAlign w:val="bottom"/>
            <w:hideMark/>
          </w:tcPr>
          <w:p w:rsidR="00AE3E19" w:rsidRPr="00AE3E19" w:rsidRDefault="00E020C2" w:rsidP="00AE3E19">
            <w:pPr>
              <w:spacing w:before="0" w:after="0"/>
              <w:rPr>
                <w:rFonts w:eastAsia="Times New Roman"/>
                <w:b/>
                <w:color w:val="000000"/>
              </w:rPr>
            </w:pPr>
            <w:r w:rsidRPr="00E020C2">
              <w:rPr>
                <w:rFonts w:eastAsia="Times New Roman"/>
                <w:b/>
                <w:color w:val="000000"/>
              </w:rPr>
              <w:t>Figure…: Public resource use, fiscal policy and trade</w:t>
            </w:r>
            <w:r w:rsidR="00BF41C5">
              <w:rPr>
                <w:rFonts w:eastAsia="Times New Roman"/>
                <w:b/>
                <w:color w:val="000000"/>
              </w:rPr>
              <w:t xml:space="preserve"> rating</w:t>
            </w:r>
            <w:r w:rsidRPr="00E020C2">
              <w:rPr>
                <w:rFonts w:eastAsia="Times New Roman"/>
                <w:b/>
                <w:color w:val="000000"/>
              </w:rPr>
              <w:t xml:space="preserve"> </w:t>
            </w:r>
            <w:proofErr w:type="spellStart"/>
            <w:r w:rsidRPr="00E020C2">
              <w:rPr>
                <w:rFonts w:eastAsia="Times New Roman"/>
                <w:b/>
                <w:color w:val="000000"/>
              </w:rPr>
              <w:t>rating</w:t>
            </w:r>
            <w:proofErr w:type="spellEnd"/>
            <w:r w:rsidRPr="00E020C2">
              <w:rPr>
                <w:rFonts w:eastAsia="Times New Roman"/>
                <w:b/>
                <w:color w:val="000000"/>
              </w:rPr>
              <w:t xml:space="preserve"> </w:t>
            </w:r>
          </w:p>
          <w:tbl>
            <w:tblPr>
              <w:tblW w:w="0" w:type="auto"/>
              <w:tblCellSpacing w:w="0" w:type="dxa"/>
              <w:tblCellMar>
                <w:left w:w="0" w:type="dxa"/>
                <w:right w:w="0" w:type="dxa"/>
              </w:tblCellMar>
              <w:tblLook w:val="04A0" w:firstRow="1" w:lastRow="0" w:firstColumn="1" w:lastColumn="0" w:noHBand="0" w:noVBand="1"/>
            </w:tblPr>
            <w:tblGrid>
              <w:gridCol w:w="1820"/>
            </w:tblGrid>
            <w:tr w:rsidR="00AE3E19" w:rsidRPr="00AE3E19">
              <w:trPr>
                <w:trHeight w:val="240"/>
                <w:tblCellSpacing w:w="0" w:type="dxa"/>
              </w:trPr>
              <w:tc>
                <w:tcPr>
                  <w:tcW w:w="1820"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b/>
                      <w:bCs/>
                      <w:color w:val="000000"/>
                    </w:rPr>
                  </w:pPr>
                  <w:r w:rsidRPr="00AE3E19">
                    <w:rPr>
                      <w:rFonts w:eastAsia="Times New Roman"/>
                      <w:b/>
                      <w:bCs/>
                      <w:color w:val="000000"/>
                    </w:rPr>
                    <w:t>Figure…: Public resource use, fiscal policy and trade rating</w:t>
                  </w:r>
                </w:p>
              </w:tc>
            </w:tr>
          </w:tbl>
          <w:p w:rsidR="00AE3E19" w:rsidRPr="00AE3E19" w:rsidRDefault="00AE3E19" w:rsidP="00AE3E19">
            <w:pPr>
              <w:spacing w:before="0" w:after="0"/>
              <w:rPr>
                <w:rFonts w:ascii="Calibri" w:eastAsia="Times New Roman" w:hAnsi="Calibri"/>
                <w:color w:val="000000"/>
              </w:rPr>
            </w:pPr>
          </w:p>
        </w:tc>
        <w:tc>
          <w:tcPr>
            <w:tcW w:w="1527" w:type="dxa"/>
            <w:gridSpan w:val="3"/>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333"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E020C2" w:rsidP="00AE3E19">
            <w:pPr>
              <w:spacing w:before="0" w:after="0"/>
              <w:rPr>
                <w:rFonts w:eastAsia="Times New Roman"/>
                <w:sz w:val="20"/>
                <w:szCs w:val="20"/>
              </w:rPr>
            </w:pPr>
            <w:r w:rsidRPr="00E020C2">
              <w:rPr>
                <w:rFonts w:eastAsia="Times New Roman"/>
                <w:b/>
                <w:noProof/>
                <w:color w:val="000000"/>
              </w:rPr>
              <w:drawing>
                <wp:anchor distT="0" distB="0" distL="114300" distR="114300" simplePos="0" relativeHeight="251816960" behindDoc="0" locked="0" layoutInCell="1" allowOverlap="1">
                  <wp:simplePos x="0" y="0"/>
                  <wp:positionH relativeFrom="column">
                    <wp:posOffset>-15875</wp:posOffset>
                  </wp:positionH>
                  <wp:positionV relativeFrom="paragraph">
                    <wp:posOffset>-7488555</wp:posOffset>
                  </wp:positionV>
                  <wp:extent cx="4572000" cy="2453640"/>
                  <wp:effectExtent l="0" t="0" r="0" b="3810"/>
                  <wp:wrapNone/>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E020C2">
              <w:rPr>
                <w:rFonts w:eastAsia="Times New Roman"/>
                <w:b/>
                <w:noProof/>
                <w:color w:val="000000"/>
              </w:rPr>
              <w:drawing>
                <wp:anchor distT="0" distB="0" distL="114300" distR="114300" simplePos="0" relativeHeight="251817984" behindDoc="0" locked="0" layoutInCell="1" allowOverlap="1">
                  <wp:simplePos x="0" y="0"/>
                  <wp:positionH relativeFrom="column">
                    <wp:posOffset>-15875</wp:posOffset>
                  </wp:positionH>
                  <wp:positionV relativeFrom="paragraph">
                    <wp:posOffset>-5050155</wp:posOffset>
                  </wp:positionV>
                  <wp:extent cx="4580890" cy="2453640"/>
                  <wp:effectExtent l="0" t="0" r="10160" b="3810"/>
                  <wp:wrapNone/>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E020C2">
              <w:rPr>
                <w:rFonts w:eastAsia="Times New Roman"/>
                <w:b/>
                <w:noProof/>
                <w:color w:val="000000"/>
              </w:rPr>
              <w:drawing>
                <wp:anchor distT="0" distB="0" distL="114300" distR="114300" simplePos="0" relativeHeight="251819008" behindDoc="0" locked="0" layoutInCell="1" allowOverlap="1">
                  <wp:simplePos x="0" y="0"/>
                  <wp:positionH relativeFrom="column">
                    <wp:posOffset>-15875</wp:posOffset>
                  </wp:positionH>
                  <wp:positionV relativeFrom="paragraph">
                    <wp:posOffset>-2611755</wp:posOffset>
                  </wp:positionV>
                  <wp:extent cx="4589145" cy="2651760"/>
                  <wp:effectExtent l="0" t="0" r="1905" b="15240"/>
                  <wp:wrapNone/>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AE3E19" w:rsidRPr="00AE3E19" w:rsidTr="00146A91">
        <w:trPr>
          <w:gridAfter w:val="2"/>
          <w:wAfter w:w="1438" w:type="dxa"/>
          <w:trHeight w:val="312"/>
        </w:trPr>
        <w:tc>
          <w:tcPr>
            <w:tcW w:w="10152" w:type="dxa"/>
            <w:gridSpan w:val="10"/>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r w:rsidRPr="00AE3E19">
              <w:rPr>
                <w:rFonts w:eastAsia="Times New Roman"/>
                <w:color w:val="000000"/>
                <w:sz w:val="18"/>
                <w:szCs w:val="18"/>
              </w:rPr>
              <w:t>Source:</w:t>
            </w:r>
            <w:r w:rsidR="00122703">
              <w:rPr>
                <w:rFonts w:eastAsia="Times New Roman"/>
                <w:color w:val="000000"/>
                <w:sz w:val="18"/>
                <w:szCs w:val="18"/>
              </w:rPr>
              <w:t xml:space="preserve"> </w:t>
            </w:r>
            <w:r w:rsidRPr="00AE3E19">
              <w:rPr>
                <w:rFonts w:eastAsia="Times New Roman"/>
                <w:color w:val="000000"/>
                <w:sz w:val="18"/>
                <w:szCs w:val="18"/>
              </w:rPr>
              <w:t>http://data.worldbank.org/data-catalog/CPIA</w:t>
            </w:r>
          </w:p>
        </w:tc>
      </w:tr>
      <w:tr w:rsidR="00E11C1F" w:rsidRPr="00AE3E19" w:rsidTr="00146A91">
        <w:trPr>
          <w:gridAfter w:val="2"/>
          <w:wAfter w:w="1438" w:type="dxa"/>
          <w:trHeight w:val="240"/>
        </w:trPr>
        <w:tc>
          <w:tcPr>
            <w:tcW w:w="5968" w:type="dxa"/>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2141" w:type="dxa"/>
            <w:gridSpan w:val="5"/>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1422"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c>
          <w:tcPr>
            <w:tcW w:w="621" w:type="dxa"/>
            <w:gridSpan w:val="2"/>
            <w:tcBorders>
              <w:top w:val="nil"/>
              <w:left w:val="nil"/>
              <w:bottom w:val="nil"/>
              <w:right w:val="nil"/>
            </w:tcBorders>
            <w:shd w:val="clear" w:color="auto" w:fill="auto"/>
            <w:noWrap/>
            <w:vAlign w:val="bottom"/>
            <w:hideMark/>
          </w:tcPr>
          <w:p w:rsidR="00AE3E19" w:rsidRPr="00AE3E19" w:rsidRDefault="00AE3E19" w:rsidP="00AE3E19">
            <w:pPr>
              <w:spacing w:before="0" w:after="0"/>
              <w:rPr>
                <w:rFonts w:eastAsia="Times New Roman"/>
                <w:sz w:val="20"/>
                <w:szCs w:val="20"/>
              </w:rPr>
            </w:pPr>
          </w:p>
        </w:tc>
      </w:tr>
      <w:tr w:rsidR="00146A91" w:rsidRPr="00146A91" w:rsidTr="00146A91">
        <w:trPr>
          <w:gridAfter w:val="5"/>
          <w:wAfter w:w="3382" w:type="dxa"/>
          <w:trHeight w:val="312"/>
        </w:trPr>
        <w:tc>
          <w:tcPr>
            <w:tcW w:w="8208" w:type="dxa"/>
            <w:gridSpan w:val="7"/>
            <w:tcBorders>
              <w:top w:val="nil"/>
              <w:left w:val="nil"/>
              <w:bottom w:val="nil"/>
              <w:right w:val="nil"/>
            </w:tcBorders>
            <w:shd w:val="clear" w:color="auto" w:fill="auto"/>
            <w:noWrap/>
            <w:vAlign w:val="bottom"/>
            <w:hideMark/>
          </w:tcPr>
          <w:p w:rsidR="00146A91" w:rsidRPr="00146A91" w:rsidRDefault="00146A91" w:rsidP="00E37B51">
            <w:pPr>
              <w:spacing w:before="0" w:after="0"/>
              <w:rPr>
                <w:rFonts w:eastAsia="Times New Roman"/>
                <w:b/>
                <w:bCs/>
                <w:color w:val="000000"/>
              </w:rPr>
            </w:pPr>
            <w:r w:rsidRPr="00146A91">
              <w:rPr>
                <w:rFonts w:eastAsia="Times New Roman"/>
                <w:b/>
                <w:bCs/>
                <w:color w:val="000000"/>
              </w:rPr>
              <w:lastRenderedPageBreak/>
              <w:t>Figure</w:t>
            </w:r>
            <w:r w:rsidR="00E37B51">
              <w:rPr>
                <w:rFonts w:eastAsia="Times New Roman"/>
                <w:b/>
                <w:bCs/>
                <w:color w:val="000000"/>
              </w:rPr>
              <w:t xml:space="preserve"> 19</w:t>
            </w:r>
            <w:r w:rsidRPr="00146A91">
              <w:rPr>
                <w:rFonts w:eastAsia="Times New Roman"/>
                <w:b/>
                <w:bCs/>
                <w:color w:val="000000"/>
              </w:rPr>
              <w:t>: Financial sector, public sector and transparency, accountability</w:t>
            </w:r>
          </w:p>
        </w:tc>
      </w:tr>
      <w:tr w:rsidR="00146A91" w:rsidRPr="00146A91" w:rsidTr="00146A91">
        <w:trPr>
          <w:gridAfter w:val="5"/>
          <w:wAfter w:w="3382" w:type="dxa"/>
          <w:trHeight w:val="240"/>
        </w:trPr>
        <w:tc>
          <w:tcPr>
            <w:tcW w:w="7542" w:type="dxa"/>
            <w:gridSpan w:val="3"/>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b/>
                <w:bCs/>
                <w:color w:val="000000"/>
              </w:rPr>
            </w:pPr>
            <w:r w:rsidRPr="00146A91">
              <w:rPr>
                <w:rFonts w:eastAsia="Times New Roman"/>
                <w:b/>
                <w:bCs/>
                <w:color w:val="000000"/>
              </w:rPr>
              <w:t>and corruption rating</w:t>
            </w: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b/>
                <w:bCs/>
                <w:color w:val="00000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ascii="Calibri" w:eastAsia="Times New Roman" w:hAnsi="Calibri"/>
                <w:color w:val="000000"/>
              </w:rPr>
            </w:pPr>
            <w:r w:rsidRPr="00146A91">
              <w:rPr>
                <w:rFonts w:ascii="Calibri" w:eastAsia="Times New Roman" w:hAnsi="Calibri"/>
                <w:noProof/>
                <w:color w:val="000000"/>
              </w:rPr>
              <w:drawing>
                <wp:anchor distT="0" distB="0" distL="114300" distR="114300" simplePos="0" relativeHeight="251825152" behindDoc="0" locked="0" layoutInCell="1" allowOverlap="1">
                  <wp:simplePos x="0" y="0"/>
                  <wp:positionH relativeFrom="column">
                    <wp:posOffset>-7620</wp:posOffset>
                  </wp:positionH>
                  <wp:positionV relativeFrom="paragraph">
                    <wp:posOffset>-3175</wp:posOffset>
                  </wp:positionV>
                  <wp:extent cx="4709160" cy="2430780"/>
                  <wp:effectExtent l="0" t="0" r="15240" b="7620"/>
                  <wp:wrapNone/>
                  <wp:docPr id="17409" name="Chart 174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0"/>
            </w:tblGrid>
            <w:tr w:rsidR="00146A91" w:rsidRPr="00146A91">
              <w:trPr>
                <w:trHeight w:val="240"/>
                <w:tblCellSpacing w:w="0" w:type="dxa"/>
              </w:trPr>
              <w:tc>
                <w:tcPr>
                  <w:tcW w:w="1820"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ascii="Calibri" w:eastAsia="Times New Roman" w:hAnsi="Calibri"/>
                      <w:color w:val="000000"/>
                    </w:rPr>
                  </w:pPr>
                </w:p>
              </w:tc>
            </w:tr>
          </w:tbl>
          <w:p w:rsidR="00146A91" w:rsidRPr="00146A91" w:rsidRDefault="00146A91" w:rsidP="00146A91">
            <w:pPr>
              <w:spacing w:before="0" w:after="0"/>
              <w:rPr>
                <w:rFonts w:ascii="Calibri" w:eastAsia="Times New Roman" w:hAnsi="Calibri"/>
                <w:color w:val="00000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r w:rsidRPr="00146A91">
              <w:rPr>
                <w:rFonts w:ascii="Calibri" w:eastAsia="Times New Roman" w:hAnsi="Calibri"/>
                <w:noProof/>
                <w:color w:val="000000"/>
              </w:rPr>
              <w:drawing>
                <wp:anchor distT="0" distB="0" distL="114300" distR="114300" simplePos="0" relativeHeight="251826176" behindDoc="0" locked="0" layoutInCell="1" allowOverlap="1" wp14:anchorId="75A52FE5" wp14:editId="5D2B6165">
                  <wp:simplePos x="0" y="0"/>
                  <wp:positionH relativeFrom="column">
                    <wp:posOffset>-15240</wp:posOffset>
                  </wp:positionH>
                  <wp:positionV relativeFrom="paragraph">
                    <wp:posOffset>-201295</wp:posOffset>
                  </wp:positionV>
                  <wp:extent cx="4709160" cy="2545080"/>
                  <wp:effectExtent l="0" t="0" r="15240" b="7620"/>
                  <wp:wrapNone/>
                  <wp:docPr id="17408" name="Chart 174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r w:rsidRPr="00146A91">
              <w:rPr>
                <w:rFonts w:ascii="Calibri" w:eastAsia="Times New Roman" w:hAnsi="Calibri"/>
                <w:noProof/>
                <w:color w:val="000000"/>
              </w:rPr>
              <w:drawing>
                <wp:anchor distT="0" distB="0" distL="114300" distR="114300" simplePos="0" relativeHeight="251827200" behindDoc="0" locked="0" layoutInCell="1" allowOverlap="1" wp14:anchorId="561596EF" wp14:editId="154C26DE">
                  <wp:simplePos x="0" y="0"/>
                  <wp:positionH relativeFrom="column">
                    <wp:posOffset>-22860</wp:posOffset>
                  </wp:positionH>
                  <wp:positionV relativeFrom="paragraph">
                    <wp:posOffset>-102235</wp:posOffset>
                  </wp:positionV>
                  <wp:extent cx="4709160" cy="2506980"/>
                  <wp:effectExtent l="0" t="0" r="15240" b="7620"/>
                  <wp:wrapNone/>
                  <wp:docPr id="63"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315"/>
        </w:trPr>
        <w:tc>
          <w:tcPr>
            <w:tcW w:w="7320"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r w:rsidR="00146A91" w:rsidRPr="00146A91" w:rsidTr="00146A91">
        <w:trPr>
          <w:gridAfter w:val="5"/>
          <w:wAfter w:w="3382" w:type="dxa"/>
          <w:trHeight w:val="240"/>
        </w:trPr>
        <w:tc>
          <w:tcPr>
            <w:tcW w:w="7764" w:type="dxa"/>
            <w:gridSpan w:val="4"/>
            <w:tcBorders>
              <w:top w:val="nil"/>
              <w:left w:val="nil"/>
              <w:bottom w:val="nil"/>
              <w:right w:val="nil"/>
            </w:tcBorders>
            <w:shd w:val="clear" w:color="auto" w:fill="auto"/>
            <w:noWrap/>
            <w:vAlign w:val="bottom"/>
            <w:hideMark/>
          </w:tcPr>
          <w:p w:rsidR="00146A91" w:rsidRPr="00146A91" w:rsidRDefault="00146A91" w:rsidP="00146A91">
            <w:pPr>
              <w:spacing w:after="0"/>
              <w:rPr>
                <w:rFonts w:eastAsia="Times New Roman"/>
                <w:color w:val="000000"/>
                <w:sz w:val="18"/>
                <w:szCs w:val="18"/>
              </w:rPr>
            </w:pPr>
            <w:r w:rsidRPr="00146A91">
              <w:rPr>
                <w:rFonts w:eastAsia="Times New Roman"/>
                <w:color w:val="000000"/>
                <w:sz w:val="18"/>
                <w:szCs w:val="18"/>
              </w:rPr>
              <w:t>Source:</w:t>
            </w:r>
            <w:r>
              <w:rPr>
                <w:rFonts w:eastAsia="Times New Roman"/>
                <w:color w:val="000000"/>
                <w:sz w:val="18"/>
                <w:szCs w:val="18"/>
              </w:rPr>
              <w:t xml:space="preserve"> </w:t>
            </w:r>
            <w:r w:rsidRPr="00146A91">
              <w:rPr>
                <w:rFonts w:eastAsia="Times New Roman"/>
                <w:color w:val="000000"/>
                <w:sz w:val="18"/>
                <w:szCs w:val="18"/>
              </w:rPr>
              <w:t>http://data.worldbank.org/data-catalog/CPIA</w:t>
            </w:r>
          </w:p>
        </w:tc>
        <w:tc>
          <w:tcPr>
            <w:tcW w:w="222" w:type="dxa"/>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color w:val="000000"/>
                <w:sz w:val="18"/>
                <w:szCs w:val="18"/>
              </w:rPr>
            </w:pPr>
          </w:p>
        </w:tc>
        <w:tc>
          <w:tcPr>
            <w:tcW w:w="222" w:type="dxa"/>
            <w:gridSpan w:val="2"/>
            <w:tcBorders>
              <w:top w:val="nil"/>
              <w:left w:val="nil"/>
              <w:bottom w:val="nil"/>
              <w:right w:val="nil"/>
            </w:tcBorders>
            <w:shd w:val="clear" w:color="auto" w:fill="auto"/>
            <w:noWrap/>
            <w:vAlign w:val="bottom"/>
            <w:hideMark/>
          </w:tcPr>
          <w:p w:rsidR="00146A91" w:rsidRPr="00146A91" w:rsidRDefault="00146A91" w:rsidP="00146A91">
            <w:pPr>
              <w:spacing w:before="0" w:after="0"/>
              <w:rPr>
                <w:rFonts w:eastAsia="Times New Roman"/>
                <w:sz w:val="20"/>
                <w:szCs w:val="20"/>
              </w:rPr>
            </w:pPr>
          </w:p>
        </w:tc>
      </w:tr>
    </w:tbl>
    <w:p w:rsidR="00146A91" w:rsidRDefault="00146A91" w:rsidP="00E020C2">
      <w:pPr>
        <w:spacing w:before="0" w:after="200" w:line="276" w:lineRule="auto"/>
        <w:rPr>
          <w:color w:val="000000" w:themeColor="text1"/>
        </w:rPr>
      </w:pPr>
    </w:p>
    <w:p w:rsidR="00074018" w:rsidRDefault="00074018" w:rsidP="00E020C2">
      <w:pPr>
        <w:spacing w:before="0" w:after="200" w:line="276" w:lineRule="auto"/>
        <w:rPr>
          <w:color w:val="000000" w:themeColor="text1"/>
        </w:rPr>
      </w:pPr>
    </w:p>
    <w:p w:rsidR="00E020C2" w:rsidRDefault="00E020C2" w:rsidP="00E07FE3">
      <w:pPr>
        <w:spacing w:before="0" w:after="200" w:line="276" w:lineRule="auto"/>
        <w:rPr>
          <w:color w:val="000000" w:themeColor="text1"/>
        </w:rPr>
      </w:pPr>
      <w:r>
        <w:rPr>
          <w:color w:val="000000" w:themeColor="text1"/>
        </w:rPr>
        <w:t xml:space="preserve">A further look at Bangladesh’s history of economic management reveal what has been happening. While Bangladesh received plaudit for macroeconomic policies, it has been soundly and correctly criticized for </w:t>
      </w:r>
      <w:r w:rsidR="00871082">
        <w:rPr>
          <w:color w:val="000000" w:themeColor="text1"/>
        </w:rPr>
        <w:t xml:space="preserve">lapses in </w:t>
      </w:r>
      <w:r>
        <w:rPr>
          <w:color w:val="000000" w:themeColor="text1"/>
        </w:rPr>
        <w:t xml:space="preserve">financial sector governance. While Bangladesh has received credit for fiscal prudence, its revenue mobilization effort has disappointed observers at home and abroad. </w:t>
      </w:r>
    </w:p>
    <w:p w:rsidR="00E020C2" w:rsidRPr="007F41E2" w:rsidRDefault="00E020C2" w:rsidP="00E07FE3">
      <w:pPr>
        <w:spacing w:before="0" w:after="200" w:line="276" w:lineRule="auto"/>
      </w:pPr>
      <w:r w:rsidRPr="007F41E2">
        <w:t>MTBF has proven to be a credible dynamic tool for budgeting and reconciling plan with rolling budget cycle; it is almost as good as Korea Republic</w:t>
      </w:r>
      <w:r>
        <w:t>.</w:t>
      </w:r>
      <w:r w:rsidRPr="007F41E2">
        <w:t xml:space="preserve"> </w:t>
      </w:r>
    </w:p>
    <w:p w:rsidR="00E020C2" w:rsidRDefault="00E020C2" w:rsidP="00E07FE3">
      <w:pPr>
        <w:spacing w:before="0" w:after="200" w:line="276" w:lineRule="auto"/>
      </w:pPr>
      <w:r w:rsidRPr="007F41E2">
        <w:t>Bangladesh is enjoying macroeconomic stability because of sound management</w:t>
      </w:r>
      <w:r>
        <w:t>. Time and again the Bangladesh economy has proven its resilience to external shocks, the 2008 global meltdown is one instance. Almost by coincidence or design (see Monetary Policy Statement for various cycles over past decade) Maastricht criteria in maintaining macroeconomic stability without recognizing prodding by the World Bank and IMF through structural adjustment and stabilization assistance. Maastricht criteria include</w:t>
      </w:r>
    </w:p>
    <w:p w:rsidR="00E020C2" w:rsidRDefault="00E020C2" w:rsidP="0075498E">
      <w:pPr>
        <w:pStyle w:val="ListParagraph"/>
        <w:numPr>
          <w:ilvl w:val="0"/>
          <w:numId w:val="30"/>
        </w:numPr>
        <w:spacing w:before="0" w:after="200" w:line="276" w:lineRule="auto"/>
        <w:contextualSpacing w:val="0"/>
        <w:rPr>
          <w:rFonts w:ascii="Times New Roman" w:hAnsi="Times New Roman" w:cs="Times New Roman"/>
        </w:rPr>
      </w:pPr>
      <w:r w:rsidRPr="00645637">
        <w:rPr>
          <w:rFonts w:ascii="Times New Roman" w:hAnsi="Times New Roman" w:cs="Times New Roman"/>
        </w:rPr>
        <w:t xml:space="preserve">low and stable inflation (Bangladesh’s monetary policy inflation target has been above global average but consistent with the country’s economic parameters especially growth), </w:t>
      </w:r>
    </w:p>
    <w:p w:rsidR="00E020C2" w:rsidRPr="00645637" w:rsidRDefault="00E020C2" w:rsidP="0075498E">
      <w:pPr>
        <w:pStyle w:val="ListParagraph"/>
        <w:numPr>
          <w:ilvl w:val="0"/>
          <w:numId w:val="30"/>
        </w:numPr>
        <w:spacing w:before="0" w:after="200" w:line="276" w:lineRule="auto"/>
        <w:contextualSpacing w:val="0"/>
        <w:rPr>
          <w:rFonts w:ascii="Times New Roman" w:hAnsi="Times New Roman" w:cs="Times New Roman"/>
        </w:rPr>
      </w:pPr>
      <w:r w:rsidRPr="00645637">
        <w:rPr>
          <w:rFonts w:ascii="Times New Roman" w:hAnsi="Times New Roman" w:cs="Times New Roman"/>
        </w:rPr>
        <w:t xml:space="preserve">low long term interest rates (higher than global average but consistent with inflation target), </w:t>
      </w:r>
    </w:p>
    <w:p w:rsidR="00E020C2" w:rsidRDefault="00E020C2" w:rsidP="0075498E">
      <w:pPr>
        <w:pStyle w:val="ListParagraph"/>
        <w:numPr>
          <w:ilvl w:val="0"/>
          <w:numId w:val="30"/>
        </w:numPr>
        <w:spacing w:before="0" w:after="200" w:line="276" w:lineRule="auto"/>
        <w:contextualSpacing w:val="0"/>
        <w:rPr>
          <w:rFonts w:ascii="Times New Roman" w:hAnsi="Times New Roman" w:cs="Times New Roman"/>
        </w:rPr>
      </w:pPr>
      <w:r w:rsidRPr="00645637">
        <w:rPr>
          <w:rFonts w:ascii="Times New Roman" w:hAnsi="Times New Roman" w:cs="Times New Roman"/>
        </w:rPr>
        <w:t xml:space="preserve">low national debt relative to GDP (public debt to GDP ratio at 36.5% in 2016 is in line with comparator countries), </w:t>
      </w:r>
    </w:p>
    <w:p w:rsidR="00EA5AC5" w:rsidRDefault="00E020C2" w:rsidP="0075498E">
      <w:pPr>
        <w:pStyle w:val="ListParagraph"/>
        <w:numPr>
          <w:ilvl w:val="0"/>
          <w:numId w:val="30"/>
        </w:numPr>
        <w:spacing w:before="0" w:after="200" w:line="276" w:lineRule="auto"/>
        <w:contextualSpacing w:val="0"/>
        <w:rPr>
          <w:rFonts w:ascii="Times New Roman" w:hAnsi="Times New Roman" w:cs="Times New Roman"/>
        </w:rPr>
      </w:pPr>
      <w:r w:rsidRPr="00EA5AC5">
        <w:rPr>
          <w:rFonts w:ascii="Times New Roman" w:hAnsi="Times New Roman" w:cs="Times New Roman"/>
        </w:rPr>
        <w:t>(iv) low deficits (the budget deficit as % of GDP at 4.7% in 2016 is well within acceptable limit) and</w:t>
      </w:r>
      <w:r w:rsidR="00EA5AC5" w:rsidRPr="00EA5AC5">
        <w:rPr>
          <w:rFonts w:ascii="Times New Roman" w:hAnsi="Times New Roman" w:cs="Times New Roman"/>
        </w:rPr>
        <w:t xml:space="preserve"> </w:t>
      </w:r>
    </w:p>
    <w:p w:rsidR="00E020C2" w:rsidRPr="00EA5AC5" w:rsidRDefault="00E020C2" w:rsidP="0075498E">
      <w:pPr>
        <w:pStyle w:val="ListParagraph"/>
        <w:numPr>
          <w:ilvl w:val="0"/>
          <w:numId w:val="30"/>
        </w:numPr>
        <w:spacing w:before="0" w:after="200" w:line="276" w:lineRule="auto"/>
        <w:contextualSpacing w:val="0"/>
        <w:rPr>
          <w:rFonts w:ascii="Times New Roman" w:hAnsi="Times New Roman" w:cs="Times New Roman"/>
        </w:rPr>
      </w:pPr>
      <w:r w:rsidRPr="00EA5AC5">
        <w:rPr>
          <w:rFonts w:ascii="Times New Roman" w:hAnsi="Times New Roman" w:cs="Times New Roman"/>
        </w:rPr>
        <w:t>currency stability (under the managed float, Bangladesh Taka has been relatively stable for</w:t>
      </w:r>
      <w:r w:rsidR="00EA5AC5">
        <w:rPr>
          <w:rFonts w:ascii="Times New Roman" w:hAnsi="Times New Roman" w:cs="Times New Roman"/>
        </w:rPr>
        <w:t xml:space="preserve"> some time </w:t>
      </w:r>
      <w:r w:rsidR="00836BF5">
        <w:rPr>
          <w:rFonts w:ascii="Times New Roman" w:hAnsi="Times New Roman" w:cs="Times New Roman"/>
        </w:rPr>
        <w:t>since Taka was floated in 2003.</w:t>
      </w:r>
    </w:p>
    <w:p w:rsidR="00D5687F" w:rsidRPr="007F41E2" w:rsidRDefault="00D5687F" w:rsidP="00E07FE3">
      <w:pPr>
        <w:spacing w:before="0" w:after="200" w:line="276" w:lineRule="auto"/>
      </w:pPr>
      <w:r w:rsidRPr="007F41E2">
        <w:t>Annual budget has problem with revenue shortfall and optimistic ADP falling short due to implementation problem</w:t>
      </w:r>
      <w:r w:rsidR="00836BF5">
        <w:t>.</w:t>
      </w:r>
    </w:p>
    <w:p w:rsidR="00D5687F" w:rsidRPr="007F41E2" w:rsidRDefault="00D5687F" w:rsidP="00E07FE3">
      <w:pPr>
        <w:spacing w:before="0" w:after="200" w:line="276" w:lineRule="auto"/>
      </w:pPr>
      <w:r w:rsidRPr="007F41E2">
        <w:t>Mega project implementation is nightmare, just try a trip to Chittagong, money is allocated but it cannot be spent, implementation delay piles up, five-year project goes on to fifteen and still counting</w:t>
      </w:r>
      <w:r w:rsidR="00836BF5">
        <w:t xml:space="preserve">. Despite shortcomings, monetary and fiscal policy management has been prudent as borne out by cross-country data referred to above. </w:t>
      </w:r>
    </w:p>
    <w:p w:rsidR="00D5687F" w:rsidRDefault="00D5687F" w:rsidP="00D5687F">
      <w:pPr>
        <w:spacing w:before="0" w:after="200" w:line="276" w:lineRule="auto"/>
        <w:rPr>
          <w:rFonts w:eastAsia="Times New Roman"/>
          <w:color w:val="000000"/>
        </w:rPr>
      </w:pPr>
      <w:r>
        <w:t xml:space="preserve">IMF in its recent report, Bangladesh: 2017 Article IV Consultation-Press Release says, “Steady monetary policy management and fiscal discipline have strengthened macroeconomic stability, allowing the economy to benefit from favorable external demand, high remittances, and low </w:t>
      </w:r>
      <w:r>
        <w:lastRenderedPageBreak/>
        <w:t>commodity prices.”</w:t>
      </w:r>
      <w:r w:rsidRPr="00645637">
        <w:rPr>
          <w:color w:val="000000" w:themeColor="text1"/>
          <w:shd w:val="clear" w:color="auto" w:fill="FFFFFF"/>
        </w:rPr>
        <w:t xml:space="preserve"> </w:t>
      </w:r>
      <w:r w:rsidRPr="00B80FEA">
        <w:rPr>
          <w:color w:val="000000" w:themeColor="text1"/>
          <w:shd w:val="clear" w:color="auto" w:fill="FFFFFF"/>
        </w:rPr>
        <w:t>However, in view of declining remittances and Brexit IMF advises e</w:t>
      </w:r>
      <w:r w:rsidRPr="00B80FEA">
        <w:rPr>
          <w:rFonts w:eastAsia="Times New Roman"/>
          <w:color w:val="000000"/>
        </w:rPr>
        <w:t>xchange rate management for stability including maintaining safe foreign exchange reserve</w:t>
      </w:r>
      <w:r>
        <w:rPr>
          <w:rFonts w:eastAsia="Times New Roman"/>
          <w:color w:val="000000"/>
        </w:rPr>
        <w:t>.</w:t>
      </w:r>
    </w:p>
    <w:p w:rsidR="00D5687F" w:rsidRDefault="00D5687F" w:rsidP="00D5687F">
      <w:pPr>
        <w:spacing w:before="0" w:after="200" w:line="276" w:lineRule="auto"/>
        <w:rPr>
          <w:color w:val="000000" w:themeColor="text1"/>
        </w:rPr>
      </w:pPr>
      <w:r w:rsidRPr="007F41E2">
        <w:t xml:space="preserve">So medium term budgeting and planning is in good shape, macroeconomic management is envy of neighbors but short term problems cloud </w:t>
      </w:r>
      <w:r w:rsidR="00836BF5">
        <w:t xml:space="preserve">the </w:t>
      </w:r>
      <w:r w:rsidRPr="007F41E2">
        <w:t xml:space="preserve">medium </w:t>
      </w:r>
      <w:r w:rsidR="00836BF5">
        <w:t>and the longer-</w:t>
      </w:r>
      <w:r w:rsidRPr="007F41E2">
        <w:t>term</w:t>
      </w:r>
      <w:r w:rsidR="006D52F8">
        <w:t>.</w:t>
      </w:r>
    </w:p>
    <w:p w:rsidR="008F1645" w:rsidRPr="00B33BD9" w:rsidRDefault="00074018" w:rsidP="00B33BD9">
      <w:pPr>
        <w:spacing w:before="0" w:after="200" w:line="276" w:lineRule="auto"/>
        <w:rPr>
          <w:color w:val="000000" w:themeColor="text1"/>
        </w:rPr>
      </w:pPr>
      <w:r>
        <w:rPr>
          <w:color w:val="000000" w:themeColor="text1"/>
        </w:rPr>
        <w:t>Bangladesh is at its institutional weakest in the financial and public sector management (Figure 19) impacting on al development parameters including global competitiveness indicator (GCI) (Figure 12).</w:t>
      </w:r>
      <w:r w:rsidR="002142A6">
        <w:rPr>
          <w:color w:val="000000" w:themeColor="text1"/>
        </w:rPr>
        <w:t xml:space="preserve"> </w:t>
      </w:r>
      <w:r w:rsidR="00B33BD9">
        <w:rPr>
          <w:color w:val="000000" w:themeColor="text1"/>
        </w:rPr>
        <w:t>On the positive side Bangladesh recognizes that f</w:t>
      </w:r>
      <w:r w:rsidR="0000503D" w:rsidRPr="00B33BD9">
        <w:rPr>
          <w:color w:val="000000" w:themeColor="text1"/>
        </w:rPr>
        <w:t>inancial stability is an important component of macroeconomic stability</w:t>
      </w:r>
      <w:r w:rsidR="00B33BD9">
        <w:rPr>
          <w:color w:val="000000" w:themeColor="text1"/>
        </w:rPr>
        <w:t xml:space="preserve">. </w:t>
      </w:r>
      <w:r w:rsidR="0000503D" w:rsidRPr="00B33BD9">
        <w:rPr>
          <w:color w:val="000000" w:themeColor="text1"/>
        </w:rPr>
        <w:t>According to IMF Bangladesh has done well to enhance bank supervision, strictly enforce prudential regulations, and improve governance and risk management, particularly in state-owned banks</w:t>
      </w:r>
      <w:r w:rsidR="00B33BD9">
        <w:rPr>
          <w:color w:val="000000" w:themeColor="text1"/>
        </w:rPr>
        <w:t xml:space="preserve">. </w:t>
      </w:r>
      <w:r w:rsidR="0000503D" w:rsidRPr="00B33BD9">
        <w:rPr>
          <w:color w:val="000000" w:themeColor="text1"/>
        </w:rPr>
        <w:t xml:space="preserve">Financial intermediation has deepened significantly (deposit to GDP ratio increased) and Banking penetration is also increasing (branches and </w:t>
      </w:r>
      <w:proofErr w:type="spellStart"/>
      <w:r w:rsidR="0000503D" w:rsidRPr="00B33BD9">
        <w:rPr>
          <w:color w:val="000000" w:themeColor="text1"/>
        </w:rPr>
        <w:t>atms</w:t>
      </w:r>
      <w:proofErr w:type="spellEnd"/>
      <w:r w:rsidR="0000503D" w:rsidRPr="00B33BD9">
        <w:rPr>
          <w:color w:val="000000" w:themeColor="text1"/>
        </w:rPr>
        <w:t>)</w:t>
      </w:r>
      <w:r w:rsidR="00B33BD9">
        <w:rPr>
          <w:color w:val="000000" w:themeColor="text1"/>
        </w:rPr>
        <w:t xml:space="preserve">. </w:t>
      </w:r>
    </w:p>
    <w:p w:rsidR="00C8395C" w:rsidRDefault="0071186A" w:rsidP="00B33BD9">
      <w:pPr>
        <w:spacing w:before="0" w:after="200" w:line="276" w:lineRule="auto"/>
        <w:rPr>
          <w:color w:val="000000" w:themeColor="text1"/>
        </w:rPr>
      </w:pPr>
      <w:r w:rsidRPr="0071186A">
        <w:rPr>
          <w:noProof/>
          <w:color w:val="000000" w:themeColor="text1"/>
        </w:rPr>
        <w:drawing>
          <wp:anchor distT="0" distB="0" distL="114300" distR="114300" simplePos="0" relativeHeight="251833344" behindDoc="0" locked="0" layoutInCell="1" allowOverlap="1" wp14:anchorId="74D6E31E" wp14:editId="72D3E9F6">
            <wp:simplePos x="0" y="0"/>
            <wp:positionH relativeFrom="column">
              <wp:posOffset>38100</wp:posOffset>
            </wp:positionH>
            <wp:positionV relativeFrom="paragraph">
              <wp:posOffset>409575</wp:posOffset>
            </wp:positionV>
            <wp:extent cx="2583180" cy="1524000"/>
            <wp:effectExtent l="19050" t="19050" r="26670"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3180" cy="152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8395C" w:rsidRPr="00C93C01">
        <w:rPr>
          <w:bCs/>
        </w:rPr>
        <w:t>One achievement in banking that should be continued into the longer term future is Bangladesh Bank initiatives for inclusive financing</w:t>
      </w:r>
      <w:r w:rsidR="00C8395C">
        <w:rPr>
          <w:bCs/>
        </w:rPr>
        <w:t xml:space="preserve"> through policy support for inclusive banking and inclusive growth facilitated by technology. </w:t>
      </w:r>
      <w:r w:rsidR="00C8395C" w:rsidRPr="00C93C01">
        <w:rPr>
          <w:bCs/>
        </w:rPr>
        <w:t xml:space="preserve">Policy support initiatives </w:t>
      </w:r>
      <w:r w:rsidR="00C8395C">
        <w:rPr>
          <w:bCs/>
        </w:rPr>
        <w:t>for banking are rural emphasis in new bank branch location, interest subsidy, small accounts for farmers and refinancing facilities. Technology support include d</w:t>
      </w:r>
      <w:r w:rsidR="00C8395C" w:rsidRPr="00C93C01">
        <w:t>igitization</w:t>
      </w:r>
      <w:r w:rsidR="00C8395C">
        <w:t xml:space="preserve">, </w:t>
      </w:r>
      <w:r w:rsidR="00C8395C" w:rsidRPr="00C93C01">
        <w:t>automation</w:t>
      </w:r>
      <w:r w:rsidR="00C8395C">
        <w:t xml:space="preserve"> </w:t>
      </w:r>
      <w:r w:rsidR="00C8395C" w:rsidRPr="00C93C01">
        <w:t>and electronic fund transfer</w:t>
      </w:r>
      <w:r w:rsidR="00C8395C">
        <w:t xml:space="preserve"> while inclusive growth support takes the form of refinancing for agricultural lending, mandatory lending target for agricultural lending and low cost refinance for SME lending.</w:t>
      </w:r>
      <w:r w:rsidR="00C8395C">
        <w:rPr>
          <w:rStyle w:val="FootnoteReference"/>
        </w:rPr>
        <w:footnoteReference w:id="4"/>
      </w:r>
    </w:p>
    <w:p w:rsidR="005E3082" w:rsidRDefault="00662AF6" w:rsidP="00B33BD9">
      <w:pPr>
        <w:spacing w:before="0" w:after="200" w:line="276" w:lineRule="auto"/>
        <w:rPr>
          <w:color w:val="000000" w:themeColor="text1"/>
        </w:rPr>
      </w:pPr>
      <w:r w:rsidRPr="00662AF6">
        <w:rPr>
          <w:noProof/>
          <w:color w:val="000000" w:themeColor="text1"/>
        </w:rPr>
        <w:lastRenderedPageBreak/>
        <w:drawing>
          <wp:anchor distT="0" distB="0" distL="114300" distR="114300" simplePos="0" relativeHeight="251836416" behindDoc="0" locked="0" layoutInCell="1" allowOverlap="1" wp14:anchorId="028103EA" wp14:editId="2A7FD497">
            <wp:simplePos x="0" y="0"/>
            <wp:positionH relativeFrom="margin">
              <wp:align>left</wp:align>
            </wp:positionH>
            <wp:positionV relativeFrom="paragraph">
              <wp:posOffset>199390</wp:posOffset>
            </wp:positionV>
            <wp:extent cx="3147060" cy="3139440"/>
            <wp:effectExtent l="19050" t="19050" r="15240" b="22860"/>
            <wp:wrapSquare wrapText="bothSides"/>
            <wp:docPr id="17418" name="Picture 1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7060" cy="3139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33BD9">
        <w:rPr>
          <w:color w:val="000000" w:themeColor="text1"/>
        </w:rPr>
        <w:t>While noting the above, state-owned commercial banks (</w:t>
      </w:r>
      <w:r w:rsidR="00B33BD9" w:rsidRPr="00B33BD9">
        <w:rPr>
          <w:color w:val="000000" w:themeColor="text1"/>
        </w:rPr>
        <w:t>SCB</w:t>
      </w:r>
      <w:r w:rsidR="00B33BD9">
        <w:rPr>
          <w:color w:val="000000" w:themeColor="text1"/>
        </w:rPr>
        <w:t xml:space="preserve">) </w:t>
      </w:r>
      <w:r w:rsidR="00B33BD9" w:rsidRPr="00B33BD9">
        <w:rPr>
          <w:color w:val="000000" w:themeColor="text1"/>
        </w:rPr>
        <w:t>remain a problem</w:t>
      </w:r>
      <w:r w:rsidR="00B33BD9">
        <w:rPr>
          <w:color w:val="000000" w:themeColor="text1"/>
        </w:rPr>
        <w:t xml:space="preserve"> with a galaxy full of issues: non-performing loans (</w:t>
      </w:r>
      <w:r w:rsidR="0000503D" w:rsidRPr="00B33BD9">
        <w:rPr>
          <w:color w:val="000000" w:themeColor="text1"/>
        </w:rPr>
        <w:t>NPL</w:t>
      </w:r>
      <w:r w:rsidR="00B33BD9">
        <w:rPr>
          <w:color w:val="000000" w:themeColor="text1"/>
        </w:rPr>
        <w:t>)</w:t>
      </w:r>
      <w:r w:rsidR="00FD61D0">
        <w:rPr>
          <w:color w:val="000000" w:themeColor="text1"/>
        </w:rPr>
        <w:t xml:space="preserve"> (Figure</w:t>
      </w:r>
      <w:r w:rsidR="0071186A">
        <w:rPr>
          <w:color w:val="000000" w:themeColor="text1"/>
        </w:rPr>
        <w:t xml:space="preserve"> 20</w:t>
      </w:r>
      <w:r w:rsidR="00FD61D0">
        <w:rPr>
          <w:color w:val="000000" w:themeColor="text1"/>
        </w:rPr>
        <w:t>)</w:t>
      </w:r>
      <w:r w:rsidR="0000503D" w:rsidRPr="00B33BD9">
        <w:rPr>
          <w:color w:val="000000" w:themeColor="text1"/>
        </w:rPr>
        <w:t xml:space="preserve">, </w:t>
      </w:r>
      <w:r w:rsidR="00005446">
        <w:rPr>
          <w:color w:val="000000" w:themeColor="text1"/>
        </w:rPr>
        <w:t xml:space="preserve">capital </w:t>
      </w:r>
      <w:r w:rsidR="007A19D9">
        <w:rPr>
          <w:color w:val="000000" w:themeColor="text1"/>
        </w:rPr>
        <w:t>in</w:t>
      </w:r>
      <w:r w:rsidR="00005446">
        <w:rPr>
          <w:color w:val="000000" w:themeColor="text1"/>
        </w:rPr>
        <w:t>adequacy</w:t>
      </w:r>
      <w:r w:rsidR="00FD61D0">
        <w:rPr>
          <w:color w:val="000000" w:themeColor="text1"/>
        </w:rPr>
        <w:t xml:space="preserve"> (Figure</w:t>
      </w:r>
      <w:r>
        <w:rPr>
          <w:color w:val="000000" w:themeColor="text1"/>
        </w:rPr>
        <w:t xml:space="preserve"> 21</w:t>
      </w:r>
      <w:r w:rsidR="00FD61D0">
        <w:rPr>
          <w:color w:val="000000" w:themeColor="text1"/>
        </w:rPr>
        <w:t>)</w:t>
      </w:r>
      <w:r w:rsidR="00005446">
        <w:rPr>
          <w:color w:val="000000" w:themeColor="text1"/>
        </w:rPr>
        <w:t xml:space="preserve">, </w:t>
      </w:r>
      <w:r w:rsidR="002E5D0A">
        <w:rPr>
          <w:color w:val="000000" w:themeColor="text1"/>
        </w:rPr>
        <w:t>rescheduled loans (Figure</w:t>
      </w:r>
      <w:r w:rsidR="00584BAD">
        <w:rPr>
          <w:color w:val="000000" w:themeColor="text1"/>
        </w:rPr>
        <w:t xml:space="preserve"> 22</w:t>
      </w:r>
      <w:r w:rsidR="002E5D0A">
        <w:rPr>
          <w:color w:val="000000" w:themeColor="text1"/>
        </w:rPr>
        <w:t xml:space="preserve">), </w:t>
      </w:r>
      <w:r w:rsidR="0000503D" w:rsidRPr="00B33BD9">
        <w:rPr>
          <w:color w:val="000000" w:themeColor="text1"/>
        </w:rPr>
        <w:t>financial scams, managing bank failure, deposit insurance, large defaulters, new banks</w:t>
      </w:r>
      <w:r w:rsidR="00863802">
        <w:rPr>
          <w:color w:val="000000" w:themeColor="text1"/>
        </w:rPr>
        <w:t xml:space="preserve"> and</w:t>
      </w:r>
      <w:r w:rsidR="0000503D" w:rsidRPr="00B33BD9">
        <w:rPr>
          <w:color w:val="000000" w:themeColor="text1"/>
        </w:rPr>
        <w:t xml:space="preserve"> bank financing of stock market speculation</w:t>
      </w:r>
      <w:r w:rsidR="00863802">
        <w:rPr>
          <w:color w:val="000000" w:themeColor="text1"/>
        </w:rPr>
        <w:t xml:space="preserve"> and last but not the least political interference in banking</w:t>
      </w:r>
      <w:r w:rsidR="006A0907">
        <w:rPr>
          <w:color w:val="000000" w:themeColor="text1"/>
        </w:rPr>
        <w:t xml:space="preserve"> as recognized by the honorable Finance Minister in the Parliament.</w:t>
      </w:r>
      <w:r w:rsidR="00FB52B5">
        <w:rPr>
          <w:color w:val="000000" w:themeColor="text1"/>
        </w:rPr>
        <w:t xml:space="preserve"> </w:t>
      </w:r>
      <w:r w:rsidR="007A19D9">
        <w:rPr>
          <w:color w:val="000000" w:themeColor="text1"/>
        </w:rPr>
        <w:t xml:space="preserve">Moreover, </w:t>
      </w:r>
      <w:r w:rsidR="007A19D9">
        <w:t xml:space="preserve">the central bank lacks the autonomy to take bold measures against defaulters and malpractices in the banking sector. </w:t>
      </w:r>
      <w:r w:rsidR="00FB52B5">
        <w:rPr>
          <w:color w:val="000000" w:themeColor="text1"/>
        </w:rPr>
        <w:t xml:space="preserve">Alamgir (2015b) and Khatun (2017) have elaborated on these anomalies in the banking sector in Bangladesh. </w:t>
      </w:r>
      <w:r>
        <w:rPr>
          <w:color w:val="000000" w:themeColor="text1"/>
        </w:rPr>
        <w:t xml:space="preserve"> </w:t>
      </w:r>
    </w:p>
    <w:p w:rsidR="008F1645" w:rsidRPr="005E3082" w:rsidRDefault="00E42B78" w:rsidP="005E3082">
      <w:pPr>
        <w:spacing w:before="0" w:after="200" w:line="276" w:lineRule="auto"/>
        <w:rPr>
          <w:color w:val="000000" w:themeColor="text1"/>
        </w:rPr>
      </w:pPr>
      <w:r w:rsidRPr="003762E0">
        <w:rPr>
          <w:noProof/>
          <w:color w:val="000000" w:themeColor="text1"/>
        </w:rPr>
        <w:drawing>
          <wp:anchor distT="0" distB="0" distL="114300" distR="114300" simplePos="0" relativeHeight="251840512" behindDoc="0" locked="0" layoutInCell="1" allowOverlap="1" wp14:anchorId="47E509D2" wp14:editId="38B69D6C">
            <wp:simplePos x="0" y="0"/>
            <wp:positionH relativeFrom="margin">
              <wp:posOffset>30480</wp:posOffset>
            </wp:positionH>
            <wp:positionV relativeFrom="paragraph">
              <wp:posOffset>424815</wp:posOffset>
            </wp:positionV>
            <wp:extent cx="2514600" cy="1920240"/>
            <wp:effectExtent l="19050" t="19050" r="19050" b="22860"/>
            <wp:wrapSquare wrapText="bothSides"/>
            <wp:docPr id="17412" name="Picture 1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4600" cy="1920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E3082">
        <w:rPr>
          <w:color w:val="000000" w:themeColor="text1"/>
        </w:rPr>
        <w:t xml:space="preserve">The story of the financial sector management in Bangladesh continues along the following line. Despite efforts at integration, the financial sector remains fragmented affecting financial intermediation. Financial governance is weak at best and </w:t>
      </w:r>
      <w:r w:rsidR="005E3082" w:rsidRPr="005E3082">
        <w:rPr>
          <w:color w:val="000000" w:themeColor="text1"/>
        </w:rPr>
        <w:t>has to improve</w:t>
      </w:r>
      <w:r w:rsidR="005E3082">
        <w:rPr>
          <w:color w:val="000000" w:themeColor="text1"/>
        </w:rPr>
        <w:t xml:space="preserve">. </w:t>
      </w:r>
      <w:r w:rsidR="0000503D" w:rsidRPr="005E3082">
        <w:rPr>
          <w:color w:val="000000" w:themeColor="text1"/>
        </w:rPr>
        <w:t>Capital market is weak</w:t>
      </w:r>
      <w:r w:rsidR="005E3082">
        <w:rPr>
          <w:color w:val="000000" w:themeColor="text1"/>
        </w:rPr>
        <w:t xml:space="preserve">. </w:t>
      </w:r>
      <w:r w:rsidR="0000503D" w:rsidRPr="005E3082">
        <w:rPr>
          <w:color w:val="000000" w:themeColor="text1"/>
        </w:rPr>
        <w:t>MFIs are strong but needs to consolidate and integrate</w:t>
      </w:r>
      <w:r w:rsidR="005E3082">
        <w:rPr>
          <w:color w:val="000000" w:themeColor="text1"/>
        </w:rPr>
        <w:t>.</w:t>
      </w:r>
    </w:p>
    <w:p w:rsidR="008F1645" w:rsidRPr="005E3082" w:rsidRDefault="00BC608B" w:rsidP="00545D59">
      <w:pPr>
        <w:spacing w:before="0" w:after="200" w:line="276" w:lineRule="auto"/>
        <w:rPr>
          <w:color w:val="000000" w:themeColor="text1"/>
        </w:rPr>
      </w:pPr>
      <w:r w:rsidRPr="00BC608B">
        <w:rPr>
          <w:noProof/>
        </w:rPr>
        <w:drawing>
          <wp:anchor distT="0" distB="0" distL="114300" distR="114300" simplePos="0" relativeHeight="251845632" behindDoc="0" locked="0" layoutInCell="1" allowOverlap="1" wp14:anchorId="1D01E962" wp14:editId="6D6310EB">
            <wp:simplePos x="0" y="0"/>
            <wp:positionH relativeFrom="column">
              <wp:posOffset>3482340</wp:posOffset>
            </wp:positionH>
            <wp:positionV relativeFrom="paragraph">
              <wp:posOffset>1377950</wp:posOffset>
            </wp:positionV>
            <wp:extent cx="2316480" cy="1737360"/>
            <wp:effectExtent l="0" t="0" r="7620" b="0"/>
            <wp:wrapSquare wrapText="bothSides"/>
            <wp:docPr id="17417" name="Picture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0A0" w:rsidRPr="005E3082">
        <w:rPr>
          <w:color w:val="000000" w:themeColor="text1"/>
        </w:rPr>
        <w:t xml:space="preserve"> </w:t>
      </w:r>
      <w:r w:rsidR="005E3082" w:rsidRPr="005E3082">
        <w:rPr>
          <w:color w:val="000000" w:themeColor="text1"/>
        </w:rPr>
        <w:t>The performance and operation of the banking system are under close scrutiny of the banking supervision division of BB. Banking governance has been problematic notwithstanding the fact that BB has implemented Basel II and is in the process of taking up Basel III. BB has taken measures to improve banking supervision and strengthen regulatory framework. There is problem in both public as well as private banks, the former due to politically driven lending and the latter unethical lending to friends and relatives, both susceptible to corruption and loss of depositor funds.</w:t>
      </w:r>
      <w:r w:rsidR="00446CCE">
        <w:rPr>
          <w:color w:val="000000" w:themeColor="text1"/>
        </w:rPr>
        <w:t xml:space="preserve"> Recent amendments to the banking law </w:t>
      </w:r>
      <w:r w:rsidR="0005162E">
        <w:rPr>
          <w:color w:val="000000" w:themeColor="text1"/>
        </w:rPr>
        <w:t xml:space="preserve">(involving among others the number of family members in the board and members’ tenure) </w:t>
      </w:r>
      <w:r w:rsidR="00446CCE">
        <w:rPr>
          <w:color w:val="000000" w:themeColor="text1"/>
        </w:rPr>
        <w:t xml:space="preserve">are moves in the wrong direction opening the door for more, not </w:t>
      </w:r>
      <w:r w:rsidR="00446CCE">
        <w:rPr>
          <w:color w:val="000000" w:themeColor="text1"/>
        </w:rPr>
        <w:lastRenderedPageBreak/>
        <w:t>less abuse of public funds in trust of the banks</w:t>
      </w:r>
      <w:r w:rsidR="0005162E">
        <w:rPr>
          <w:color w:val="000000" w:themeColor="text1"/>
        </w:rPr>
        <w:t>.</w:t>
      </w:r>
      <w:r w:rsidR="006A0907" w:rsidRPr="005E3082">
        <w:rPr>
          <w:color w:val="000000" w:themeColor="text1"/>
        </w:rPr>
        <w:t xml:space="preserve"> </w:t>
      </w:r>
      <w:r>
        <w:rPr>
          <w:color w:val="000000" w:themeColor="text1"/>
        </w:rPr>
        <w:t xml:space="preserve">However, </w:t>
      </w:r>
      <w:r w:rsidRPr="00BC608B">
        <w:rPr>
          <w:color w:val="000000" w:themeColor="text1"/>
        </w:rPr>
        <w:t>in recent months because of Sta</w:t>
      </w:r>
      <w:r>
        <w:rPr>
          <w:color w:val="000000" w:themeColor="text1"/>
        </w:rPr>
        <w:t>t</w:t>
      </w:r>
      <w:r w:rsidRPr="00BC608B">
        <w:rPr>
          <w:color w:val="000000" w:themeColor="text1"/>
        </w:rPr>
        <w:t>e Banks' efforts at loan recovery default loans have declined slightly</w:t>
      </w:r>
      <w:r>
        <w:rPr>
          <w:color w:val="000000" w:themeColor="text1"/>
        </w:rPr>
        <w:t xml:space="preserve"> (Figure 23)</w:t>
      </w:r>
      <w:r w:rsidRPr="00BC608B">
        <w:rPr>
          <w:color w:val="000000" w:themeColor="text1"/>
        </w:rPr>
        <w:t>.</w:t>
      </w:r>
    </w:p>
    <w:p w:rsidR="00BC608B" w:rsidRDefault="00BC28CD" w:rsidP="00545D59">
      <w:pPr>
        <w:spacing w:before="0" w:after="200" w:line="276" w:lineRule="auto"/>
        <w:rPr>
          <w:color w:val="000000" w:themeColor="text1"/>
        </w:rPr>
      </w:pPr>
      <w:bookmarkStart w:id="1" w:name="OLE_LINK1"/>
      <w:r w:rsidRPr="00BC28CD">
        <w:rPr>
          <w:noProof/>
          <w:color w:val="000000" w:themeColor="text1"/>
        </w:rPr>
        <w:drawing>
          <wp:anchor distT="0" distB="0" distL="114300" distR="114300" simplePos="0" relativeHeight="251846656" behindDoc="0" locked="0" layoutInCell="1" allowOverlap="1">
            <wp:simplePos x="0" y="0"/>
            <wp:positionH relativeFrom="margin">
              <wp:posOffset>2773680</wp:posOffset>
            </wp:positionH>
            <wp:positionV relativeFrom="paragraph">
              <wp:posOffset>597535</wp:posOffset>
            </wp:positionV>
            <wp:extent cx="2987040" cy="3093720"/>
            <wp:effectExtent l="0" t="0" r="3810" b="0"/>
            <wp:wrapSquare wrapText="bothSides"/>
            <wp:docPr id="17420" name="Picture 1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704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D59" w:rsidRPr="00545D59">
        <w:rPr>
          <w:color w:val="000000" w:themeColor="text1"/>
        </w:rPr>
        <w:t>Bangladesh</w:t>
      </w:r>
      <w:r w:rsidR="00545D59">
        <w:rPr>
          <w:color w:val="000000" w:themeColor="text1"/>
        </w:rPr>
        <w:t xml:space="preserve">’s weak economic and financial management shows up in its global standing for doing business </w:t>
      </w:r>
      <w:r w:rsidR="002570F0">
        <w:rPr>
          <w:color w:val="000000" w:themeColor="text1"/>
        </w:rPr>
        <w:t xml:space="preserve">in 2015 </w:t>
      </w:r>
      <w:r w:rsidR="00545D59">
        <w:rPr>
          <w:color w:val="000000" w:themeColor="text1"/>
        </w:rPr>
        <w:t>(Figure 2</w:t>
      </w:r>
      <w:r>
        <w:rPr>
          <w:color w:val="000000" w:themeColor="text1"/>
        </w:rPr>
        <w:t>4</w:t>
      </w:r>
      <w:r w:rsidR="00545D59">
        <w:rPr>
          <w:color w:val="000000" w:themeColor="text1"/>
        </w:rPr>
        <w:t xml:space="preserve">). Bangladesh has problem in all scores be it getting electricity or enforcing contracts or registering property or getting construction permit. The story is the same. No wonder in 2015, Bangladesh ranked 171 (out of 189) in doing business ranking well behind </w:t>
      </w:r>
      <w:r w:rsidR="00EE4029">
        <w:rPr>
          <w:color w:val="000000" w:themeColor="text1"/>
        </w:rPr>
        <w:t>Vietnam (78), Sri Lanka (85), China (90), Indonesia (114), Pakistan (128) and India (142).</w:t>
      </w:r>
      <w:r w:rsidR="00545D59">
        <w:rPr>
          <w:color w:val="000000" w:themeColor="text1"/>
        </w:rPr>
        <w:t xml:space="preserve"> </w:t>
      </w:r>
      <w:r w:rsidR="009315B0">
        <w:rPr>
          <w:color w:val="000000" w:themeColor="text1"/>
        </w:rPr>
        <w:t>Bangladesh ranked even lower</w:t>
      </w:r>
      <w:r w:rsidR="002570F0">
        <w:rPr>
          <w:color w:val="000000" w:themeColor="text1"/>
        </w:rPr>
        <w:t xml:space="preserve">, 176 in </w:t>
      </w:r>
      <w:r w:rsidR="009315B0">
        <w:rPr>
          <w:color w:val="000000" w:themeColor="text1"/>
        </w:rPr>
        <w:t>2016</w:t>
      </w:r>
      <w:r w:rsidR="00163949">
        <w:rPr>
          <w:color w:val="000000" w:themeColor="text1"/>
        </w:rPr>
        <w:t xml:space="preserve"> (Figure 2</w:t>
      </w:r>
      <w:r>
        <w:rPr>
          <w:color w:val="000000" w:themeColor="text1"/>
        </w:rPr>
        <w:t>5</w:t>
      </w:r>
      <w:r w:rsidR="00163949">
        <w:rPr>
          <w:color w:val="000000" w:themeColor="text1"/>
        </w:rPr>
        <w:t>)</w:t>
      </w:r>
      <w:r w:rsidR="009315B0">
        <w:rPr>
          <w:color w:val="000000" w:themeColor="text1"/>
        </w:rPr>
        <w:t xml:space="preserve">. </w:t>
      </w:r>
      <w:r w:rsidR="00CE1085">
        <w:rPr>
          <w:color w:val="000000" w:themeColor="text1"/>
        </w:rPr>
        <w:t>In terms of</w:t>
      </w:r>
      <w:r w:rsidR="00D25B30">
        <w:rPr>
          <w:color w:val="000000" w:themeColor="text1"/>
        </w:rPr>
        <w:t xml:space="preserve"> procedures (number), time and cost to start a business in Dhaka, Bangladesh is far behind regional and global average (Table 3).</w:t>
      </w:r>
      <w:r w:rsidR="00CE1085">
        <w:rPr>
          <w:color w:val="000000" w:themeColor="text1"/>
        </w:rPr>
        <w:t xml:space="preserve"> </w:t>
      </w:r>
      <w:r w:rsidR="00EE4029">
        <w:rPr>
          <w:color w:val="000000" w:themeColor="text1"/>
        </w:rPr>
        <w:t>This relationship is repeated in global competitiveness index except for Pakistan which seem to fair poorer than Bangladesh</w:t>
      </w:r>
      <w:r w:rsidR="009C15F3">
        <w:rPr>
          <w:color w:val="000000" w:themeColor="text1"/>
        </w:rPr>
        <w:t xml:space="preserve"> (Figures 2</w:t>
      </w:r>
      <w:r>
        <w:rPr>
          <w:color w:val="000000" w:themeColor="text1"/>
        </w:rPr>
        <w:t>6</w:t>
      </w:r>
      <w:r w:rsidR="009C15F3">
        <w:rPr>
          <w:color w:val="000000" w:themeColor="text1"/>
        </w:rPr>
        <w:t>)</w:t>
      </w:r>
      <w:r w:rsidR="00EE4029">
        <w:rPr>
          <w:color w:val="000000" w:themeColor="text1"/>
        </w:rPr>
        <w:t>.</w:t>
      </w:r>
      <w:r w:rsidR="00CC56A7">
        <w:rPr>
          <w:color w:val="000000" w:themeColor="text1"/>
        </w:rPr>
        <w:t xml:space="preserve"> For the SPPB, global competitiveness of Bangladesh is critical if Bangladesh were to export its way out of middle income trap while increasingly sharing prosperity with domestic demand expansion in response to income and population increase. </w:t>
      </w:r>
      <w:r w:rsidR="00846728">
        <w:rPr>
          <w:color w:val="000000" w:themeColor="text1"/>
        </w:rPr>
        <w:t>The medium term ambitious export target for garments and beyond moving up the value chain, diversification into newer products such as leather, shipping, pharmaceuticals will not be achieved without enhanced productivity and improved competitiveness. One h</w:t>
      </w:r>
      <w:r w:rsidR="00BB5D09">
        <w:rPr>
          <w:color w:val="000000" w:themeColor="text1"/>
        </w:rPr>
        <w:t>a</w:t>
      </w:r>
      <w:r w:rsidR="00846728">
        <w:rPr>
          <w:color w:val="000000" w:themeColor="text1"/>
        </w:rPr>
        <w:t xml:space="preserve">s to be conscious that countries like Cambodia, Vietnam, Myanmar and competitors from Africa will be up and doing to dislodge Bangladesh from its enviable advantageous position in the export of certain products. </w:t>
      </w:r>
    </w:p>
    <w:p w:rsidR="00BC608B" w:rsidRPr="00BC608B" w:rsidRDefault="00BC608B" w:rsidP="00BC608B"/>
    <w:bookmarkEnd w:id="1"/>
    <w:p w:rsidR="00502604" w:rsidRDefault="00502604">
      <w:pPr>
        <w:rPr>
          <w:color w:val="000000" w:themeColor="text1"/>
          <w:sz w:val="18"/>
          <w:szCs w:val="18"/>
        </w:rPr>
      </w:pPr>
      <w:r>
        <w:rPr>
          <w:noProof/>
        </w:rPr>
        <w:lastRenderedPageBreak/>
        <w:drawing>
          <wp:inline distT="0" distB="0" distL="0" distR="0" wp14:anchorId="7820B730" wp14:editId="7A079AD9">
            <wp:extent cx="4587240" cy="3169920"/>
            <wp:effectExtent l="0" t="0" r="3810" b="11430"/>
            <wp:docPr id="17437" name="Chart 17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724E8E">
        <w:rPr>
          <w:color w:val="000000" w:themeColor="text1"/>
          <w:sz w:val="18"/>
          <w:szCs w:val="18"/>
        </w:rPr>
        <w:t xml:space="preserve"> </w:t>
      </w:r>
    </w:p>
    <w:tbl>
      <w:tblPr>
        <w:tblW w:w="7220" w:type="dxa"/>
        <w:tblCellMar>
          <w:left w:w="0" w:type="dxa"/>
          <w:right w:w="0" w:type="dxa"/>
        </w:tblCellMar>
        <w:tblLook w:val="04A0" w:firstRow="1" w:lastRow="0" w:firstColumn="1" w:lastColumn="0" w:noHBand="0" w:noVBand="1"/>
      </w:tblPr>
      <w:tblGrid>
        <w:gridCol w:w="7414"/>
        <w:gridCol w:w="55"/>
      </w:tblGrid>
      <w:tr w:rsidR="00502604" w:rsidTr="00502604">
        <w:trPr>
          <w:trHeight w:val="2556"/>
        </w:trPr>
        <w:tc>
          <w:tcPr>
            <w:tcW w:w="7220" w:type="dxa"/>
            <w:gridSpan w:val="2"/>
            <w:tcBorders>
              <w:top w:val="nil"/>
              <w:left w:val="nil"/>
              <w:bottom w:val="nil"/>
              <w:right w:val="nil"/>
            </w:tcBorders>
            <w:shd w:val="clear" w:color="000000" w:fill="E5F4D4"/>
            <w:hideMark/>
          </w:tcPr>
          <w:p w:rsidR="00502604" w:rsidRDefault="00502604">
            <w:pPr>
              <w:rPr>
                <w:rFonts w:ascii="Calibri" w:hAnsi="Calibri" w:cs="Calibri"/>
                <w:color w:val="000000"/>
              </w:rPr>
            </w:pPr>
            <w:r>
              <w:rPr>
                <w:rFonts w:ascii="Calibri" w:hAnsi="Calibri" w:cs="Calibri"/>
                <w:color w:val="000000"/>
              </w:rPr>
              <w:t>Note 1: The rankings are benchmarked to June 2016 and based on the average of each economy’s distance to frontier (DTF) scores for the 10 topics included in this year’s aggregate ranking. The distance to frontier score benchmarks economies with respect to regulatory practice, showing the absolute distance to the best performance in each Doing Business Indicator. An economy’s distance to frontier is indicated on a scale of 0 to 100, where 0 represents the worst performance and 100 the frontier. For the economies for which data cover 2 cities, scores are a population-weighted average for the 2 cities.</w:t>
            </w:r>
            <w:r>
              <w:rPr>
                <w:rFonts w:ascii="Calibri" w:hAnsi="Calibri" w:cs="Calibri"/>
                <w:color w:val="000000"/>
              </w:rPr>
              <w:br/>
              <w:t xml:space="preserve">Source: </w:t>
            </w:r>
            <w:r>
              <w:rPr>
                <w:rFonts w:ascii="Calibri" w:hAnsi="Calibri" w:cs="Calibri"/>
                <w:i/>
                <w:iCs/>
                <w:color w:val="000000"/>
              </w:rPr>
              <w:t>Doing Business</w:t>
            </w:r>
            <w:r>
              <w:rPr>
                <w:rFonts w:ascii="Calibri" w:hAnsi="Calibri" w:cs="Calibri"/>
                <w:color w:val="000000"/>
              </w:rPr>
              <w:t xml:space="preserve"> database.</w:t>
            </w:r>
          </w:p>
        </w:tc>
      </w:tr>
      <w:tr w:rsidR="00502604" w:rsidTr="00502604">
        <w:trPr>
          <w:trHeight w:val="1488"/>
        </w:trPr>
        <w:tc>
          <w:tcPr>
            <w:tcW w:w="7220" w:type="dxa"/>
            <w:gridSpan w:val="2"/>
            <w:tcBorders>
              <w:top w:val="nil"/>
              <w:left w:val="nil"/>
              <w:bottom w:val="nil"/>
              <w:right w:val="nil"/>
            </w:tcBorders>
            <w:shd w:val="clear" w:color="000000" w:fill="E5F4D4"/>
            <w:hideMark/>
          </w:tcPr>
          <w:p w:rsidR="00502604" w:rsidRDefault="00502604">
            <w:pPr>
              <w:rPr>
                <w:rFonts w:ascii="Calibri" w:hAnsi="Calibri" w:cs="Calibri"/>
                <w:color w:val="000000"/>
              </w:rPr>
            </w:pPr>
            <w:r>
              <w:rPr>
                <w:rFonts w:ascii="Calibri" w:hAnsi="Calibri" w:cs="Calibri"/>
                <w:color w:val="000000"/>
              </w:rPr>
              <w:t>Note 2: Ten topics of Doing Business indicators are Starting a Business, Dealing with Construction Permits, Getting Electricity, Registering Property, Getting Credit, Protecting Minority Investors, Paying Taxes, Trading Across Borders, Enforcing Contracts and Resolving Insolvency                                                                                                   Source: http://www.doingbusiness.org/about-us/faq</w:t>
            </w:r>
          </w:p>
        </w:tc>
      </w:tr>
      <w:tr w:rsidR="00502604" w:rsidTr="00502604">
        <w:trPr>
          <w:trHeight w:val="288"/>
        </w:trPr>
        <w:tc>
          <w:tcPr>
            <w:tcW w:w="0" w:type="auto"/>
            <w:tcBorders>
              <w:top w:val="nil"/>
              <w:left w:val="nil"/>
              <w:bottom w:val="nil"/>
              <w:right w:val="nil"/>
            </w:tcBorders>
            <w:shd w:val="clear" w:color="000000" w:fill="E5F4D4"/>
            <w:noWrap/>
            <w:hideMark/>
          </w:tcPr>
          <w:p w:rsidR="00502604" w:rsidRDefault="00502604">
            <w:pPr>
              <w:rPr>
                <w:rFonts w:ascii="Calibri" w:hAnsi="Calibri" w:cs="Calibri"/>
                <w:color w:val="000000"/>
              </w:rPr>
            </w:pPr>
            <w:r>
              <w:rPr>
                <w:rFonts w:ascii="Calibri" w:hAnsi="Calibri" w:cs="Calibri"/>
                <w:color w:val="000000"/>
              </w:rPr>
              <w:t>Source: http://www.doingbusiness.org/data/exploreeconomies/bangladesh</w:t>
            </w:r>
          </w:p>
        </w:tc>
        <w:tc>
          <w:tcPr>
            <w:tcW w:w="0" w:type="auto"/>
            <w:tcBorders>
              <w:top w:val="nil"/>
              <w:left w:val="nil"/>
              <w:bottom w:val="nil"/>
              <w:right w:val="nil"/>
            </w:tcBorders>
            <w:shd w:val="clear" w:color="000000" w:fill="E5F4D4"/>
            <w:noWrap/>
            <w:vAlign w:val="bottom"/>
            <w:hideMark/>
          </w:tcPr>
          <w:p w:rsidR="00502604" w:rsidRDefault="00502604">
            <w:pPr>
              <w:rPr>
                <w:rFonts w:ascii="Calibri" w:hAnsi="Calibri" w:cs="Calibri"/>
                <w:color w:val="000000"/>
              </w:rPr>
            </w:pPr>
            <w:r>
              <w:rPr>
                <w:rFonts w:ascii="Calibri" w:hAnsi="Calibri" w:cs="Calibri"/>
                <w:color w:val="000000"/>
              </w:rPr>
              <w:t> </w:t>
            </w:r>
          </w:p>
        </w:tc>
      </w:tr>
    </w:tbl>
    <w:p w:rsidR="00502604" w:rsidRDefault="00502604">
      <w:pPr>
        <w:rPr>
          <w:color w:val="000000" w:themeColor="text1"/>
          <w:sz w:val="18"/>
          <w:szCs w:val="18"/>
        </w:rPr>
      </w:pPr>
      <w:r w:rsidRPr="00724E8E">
        <w:rPr>
          <w:color w:val="000000" w:themeColor="text1"/>
          <w:sz w:val="18"/>
          <w:szCs w:val="18"/>
        </w:rPr>
        <w:t xml:space="preserve"> </w:t>
      </w:r>
    </w:p>
    <w:p w:rsidR="009315B0" w:rsidRDefault="009315B0" w:rsidP="00BF241A">
      <w:pPr>
        <w:spacing w:before="0"/>
        <w:rPr>
          <w:color w:val="000000" w:themeColor="text1"/>
          <w:sz w:val="18"/>
          <w:szCs w:val="18"/>
        </w:rPr>
      </w:pPr>
    </w:p>
    <w:p w:rsidR="007E1474" w:rsidRDefault="007E1474" w:rsidP="00BF241A">
      <w:pPr>
        <w:spacing w:before="0"/>
        <w:rPr>
          <w:color w:val="000000" w:themeColor="text1"/>
          <w:sz w:val="18"/>
          <w:szCs w:val="18"/>
        </w:rPr>
      </w:pPr>
    </w:p>
    <w:p w:rsidR="007E1474" w:rsidRDefault="007E1474" w:rsidP="00BF241A">
      <w:pPr>
        <w:spacing w:before="0"/>
        <w:rPr>
          <w:color w:val="000000" w:themeColor="text1"/>
          <w:sz w:val="18"/>
          <w:szCs w:val="18"/>
        </w:rPr>
      </w:pPr>
    </w:p>
    <w:p w:rsidR="007E1474" w:rsidRDefault="007E1474" w:rsidP="00BF241A">
      <w:pPr>
        <w:spacing w:before="0"/>
        <w:rPr>
          <w:color w:val="000000" w:themeColor="text1"/>
          <w:sz w:val="18"/>
          <w:szCs w:val="18"/>
        </w:rPr>
      </w:pPr>
    </w:p>
    <w:p w:rsidR="007E1474" w:rsidRDefault="007E1474" w:rsidP="00BF241A">
      <w:pPr>
        <w:spacing w:before="0"/>
        <w:rPr>
          <w:color w:val="000000" w:themeColor="text1"/>
          <w:sz w:val="18"/>
          <w:szCs w:val="18"/>
        </w:rPr>
      </w:pPr>
    </w:p>
    <w:p w:rsidR="007E1474" w:rsidRDefault="007E1474" w:rsidP="00BF241A">
      <w:pPr>
        <w:spacing w:before="0"/>
        <w:rPr>
          <w:color w:val="000000" w:themeColor="text1"/>
          <w:sz w:val="18"/>
          <w:szCs w:val="18"/>
        </w:rPr>
      </w:pPr>
    </w:p>
    <w:tbl>
      <w:tblPr>
        <w:tblW w:w="8661" w:type="dxa"/>
        <w:tblCellMar>
          <w:left w:w="0" w:type="dxa"/>
          <w:right w:w="0" w:type="dxa"/>
        </w:tblCellMar>
        <w:tblLook w:val="04A0" w:firstRow="1" w:lastRow="0" w:firstColumn="1" w:lastColumn="0" w:noHBand="0" w:noVBand="1"/>
      </w:tblPr>
      <w:tblGrid>
        <w:gridCol w:w="5384"/>
        <w:gridCol w:w="733"/>
        <w:gridCol w:w="1213"/>
        <w:gridCol w:w="1331"/>
      </w:tblGrid>
      <w:tr w:rsidR="007E1474" w:rsidTr="00381E7F">
        <w:trPr>
          <w:trHeight w:val="288"/>
        </w:trPr>
        <w:tc>
          <w:tcPr>
            <w:tcW w:w="8661"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381E7F" w:rsidRDefault="00381E7F" w:rsidP="00381E7F">
            <w:pPr>
              <w:rPr>
                <w:b/>
                <w:bCs/>
                <w:color w:val="000000"/>
              </w:rPr>
            </w:pPr>
          </w:p>
          <w:p w:rsidR="007E1474" w:rsidRPr="00C84E54" w:rsidRDefault="007E1474" w:rsidP="00381E7F">
            <w:pPr>
              <w:rPr>
                <w:b/>
                <w:bCs/>
                <w:color w:val="000000"/>
              </w:rPr>
            </w:pPr>
            <w:r>
              <w:rPr>
                <w:b/>
                <w:bCs/>
                <w:color w:val="000000"/>
              </w:rPr>
              <w:t xml:space="preserve">Table 3: Procedures (number), time and cost to start a business in Dhaka </w:t>
            </w:r>
          </w:p>
        </w:tc>
      </w:tr>
      <w:tr w:rsidR="007E1474" w:rsidTr="00381E7F">
        <w:trPr>
          <w:trHeight w:val="288"/>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7E1474" w:rsidRPr="00F676C7" w:rsidRDefault="007E1474" w:rsidP="00381E7F">
            <w:pPr>
              <w:rPr>
                <w:color w:val="000000"/>
                <w:sz w:val="20"/>
                <w:szCs w:val="20"/>
              </w:rPr>
            </w:pPr>
            <w:r w:rsidRPr="00F676C7">
              <w:rPr>
                <w:color w:val="000000"/>
                <w:sz w:val="20"/>
                <w:szCs w:val="20"/>
              </w:rPr>
              <w:t>Indicator</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7E1474" w:rsidRPr="00F676C7" w:rsidRDefault="007E1474" w:rsidP="00381E7F">
            <w:pPr>
              <w:jc w:val="right"/>
              <w:rPr>
                <w:color w:val="000000"/>
                <w:sz w:val="20"/>
                <w:szCs w:val="20"/>
              </w:rPr>
            </w:pPr>
            <w:r w:rsidRPr="00F676C7">
              <w:rPr>
                <w:color w:val="000000"/>
                <w:sz w:val="20"/>
                <w:szCs w:val="20"/>
              </w:rPr>
              <w:t>Dhaka</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7E1474" w:rsidRPr="00F676C7" w:rsidRDefault="007E1474" w:rsidP="00381E7F">
            <w:pPr>
              <w:jc w:val="right"/>
              <w:rPr>
                <w:color w:val="000000"/>
                <w:sz w:val="20"/>
                <w:szCs w:val="20"/>
              </w:rPr>
            </w:pPr>
            <w:r w:rsidRPr="00F676C7">
              <w:rPr>
                <w:color w:val="000000"/>
                <w:sz w:val="20"/>
                <w:szCs w:val="20"/>
              </w:rPr>
              <w:t>South Asia</w:t>
            </w:r>
          </w:p>
        </w:tc>
        <w:tc>
          <w:tcPr>
            <w:tcW w:w="1387"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rsidR="007E1474" w:rsidRPr="00F676C7" w:rsidRDefault="007E1474" w:rsidP="00381E7F">
            <w:pPr>
              <w:jc w:val="right"/>
              <w:rPr>
                <w:color w:val="000000"/>
                <w:sz w:val="20"/>
                <w:szCs w:val="20"/>
              </w:rPr>
            </w:pPr>
            <w:r w:rsidRPr="00F676C7">
              <w:rPr>
                <w:color w:val="000000"/>
                <w:sz w:val="20"/>
                <w:szCs w:val="20"/>
              </w:rPr>
              <w:t>OECD high income</w:t>
            </w:r>
          </w:p>
        </w:tc>
      </w:tr>
      <w:tr w:rsidR="007E1474" w:rsidTr="00381E7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rPr>
                <w:color w:val="000000"/>
                <w:sz w:val="20"/>
                <w:szCs w:val="20"/>
              </w:rPr>
            </w:pPr>
            <w:r w:rsidRPr="00F676C7">
              <w:rPr>
                <w:color w:val="000000"/>
                <w:sz w:val="20"/>
                <w:szCs w:val="20"/>
              </w:rPr>
              <w:t>Procedure - Men (number)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4.8</w:t>
            </w:r>
          </w:p>
        </w:tc>
      </w:tr>
      <w:tr w:rsidR="007E1474" w:rsidTr="00381E7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rPr>
                <w:color w:val="000000"/>
                <w:sz w:val="20"/>
                <w:szCs w:val="20"/>
              </w:rPr>
            </w:pPr>
            <w:r w:rsidRPr="00F676C7">
              <w:rPr>
                <w:color w:val="000000"/>
                <w:sz w:val="20"/>
                <w:szCs w:val="20"/>
              </w:rPr>
              <w:t>Time - Men (days)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19.5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15.4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8.3</w:t>
            </w:r>
          </w:p>
        </w:tc>
      </w:tr>
      <w:tr w:rsidR="007E1474" w:rsidTr="00381E7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rPr>
                <w:color w:val="000000"/>
                <w:sz w:val="20"/>
                <w:szCs w:val="20"/>
              </w:rPr>
            </w:pPr>
            <w:r w:rsidRPr="00F676C7">
              <w:rPr>
                <w:color w:val="000000"/>
                <w:sz w:val="20"/>
                <w:szCs w:val="20"/>
              </w:rPr>
              <w:t>Cost - Men (% of income per capita)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13.8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13.4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3.1</w:t>
            </w:r>
          </w:p>
        </w:tc>
      </w:tr>
      <w:tr w:rsidR="007E1474" w:rsidTr="00381E7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rPr>
                <w:color w:val="000000"/>
                <w:sz w:val="20"/>
                <w:szCs w:val="20"/>
              </w:rPr>
            </w:pPr>
            <w:r w:rsidRPr="00F676C7">
              <w:rPr>
                <w:color w:val="000000"/>
                <w:sz w:val="20"/>
                <w:szCs w:val="20"/>
              </w:rPr>
              <w:t>Procedure - women (number)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4.8</w:t>
            </w:r>
          </w:p>
        </w:tc>
      </w:tr>
      <w:tr w:rsidR="007E1474" w:rsidTr="00381E7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rPr>
                <w:color w:val="000000"/>
                <w:sz w:val="20"/>
                <w:szCs w:val="20"/>
              </w:rPr>
            </w:pPr>
            <w:r w:rsidRPr="00F676C7">
              <w:rPr>
                <w:color w:val="000000"/>
                <w:sz w:val="20"/>
                <w:szCs w:val="20"/>
              </w:rPr>
              <w:t>Time - women (days)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19.5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15.6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8.3</w:t>
            </w:r>
          </w:p>
        </w:tc>
      </w:tr>
      <w:tr w:rsidR="007E1474" w:rsidTr="00381E7F">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rPr>
                <w:color w:val="000000"/>
                <w:sz w:val="20"/>
                <w:szCs w:val="20"/>
              </w:rPr>
            </w:pPr>
            <w:r w:rsidRPr="00F676C7">
              <w:rPr>
                <w:color w:val="000000"/>
                <w:sz w:val="20"/>
                <w:szCs w:val="20"/>
              </w:rPr>
              <w:t>Cost - women (% of income per capita)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13.8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13.4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3.1</w:t>
            </w:r>
          </w:p>
        </w:tc>
      </w:tr>
      <w:tr w:rsidR="007E1474" w:rsidTr="00381E7F">
        <w:trPr>
          <w:trHeight w:val="288"/>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rPr>
                <w:color w:val="000000"/>
                <w:sz w:val="20"/>
                <w:szCs w:val="20"/>
              </w:rPr>
            </w:pPr>
            <w:r w:rsidRPr="00F676C7">
              <w:rPr>
                <w:color w:val="000000"/>
                <w:sz w:val="20"/>
                <w:szCs w:val="20"/>
              </w:rPr>
              <w:t>Paid-in minimum capital (% of income per capita)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0.2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7E1474" w:rsidRPr="00F676C7" w:rsidRDefault="007E1474" w:rsidP="00381E7F">
            <w:pPr>
              <w:spacing w:before="0" w:after="0"/>
              <w:jc w:val="right"/>
              <w:rPr>
                <w:color w:val="000000"/>
                <w:sz w:val="20"/>
                <w:szCs w:val="20"/>
              </w:rPr>
            </w:pPr>
            <w:r w:rsidRPr="00F676C7">
              <w:rPr>
                <w:color w:val="000000"/>
                <w:sz w:val="20"/>
                <w:szCs w:val="20"/>
              </w:rPr>
              <w:t>9.2</w:t>
            </w:r>
          </w:p>
        </w:tc>
      </w:tr>
    </w:tbl>
    <w:p w:rsidR="007E1474" w:rsidRDefault="00342B66" w:rsidP="007E1474">
      <w:pPr>
        <w:rPr>
          <w:rStyle w:val="Hyperlink"/>
          <w:rFonts w:ascii="Arial" w:hAnsi="Arial" w:cs="Arial"/>
          <w:sz w:val="18"/>
          <w:szCs w:val="18"/>
        </w:rPr>
      </w:pPr>
      <w:hyperlink r:id="rId57" w:history="1">
        <w:r w:rsidR="007E1474" w:rsidRPr="00C84E54">
          <w:rPr>
            <w:rStyle w:val="Hyperlink"/>
            <w:rFonts w:ascii="Arial" w:hAnsi="Arial" w:cs="Arial"/>
            <w:color w:val="000000"/>
            <w:sz w:val="18"/>
            <w:szCs w:val="18"/>
            <w:u w:val="none"/>
          </w:rPr>
          <w:t>Source:</w:t>
        </w:r>
        <w:r w:rsidR="007E1474" w:rsidRPr="00C84E54">
          <w:rPr>
            <w:rStyle w:val="Hyperlink"/>
            <w:rFonts w:ascii="Arial" w:hAnsi="Arial" w:cs="Arial"/>
            <w:sz w:val="18"/>
            <w:szCs w:val="18"/>
            <w:u w:val="none"/>
          </w:rPr>
          <w:t xml:space="preserve"> </w:t>
        </w:r>
        <w:r w:rsidR="007E1474">
          <w:rPr>
            <w:rStyle w:val="Hyperlink"/>
            <w:rFonts w:ascii="Arial" w:hAnsi="Arial" w:cs="Arial"/>
            <w:sz w:val="18"/>
            <w:szCs w:val="18"/>
          </w:rPr>
          <w:t>http://www.doingbusiness.org/data/exploreeconomies/bangladesh</w:t>
        </w:r>
      </w:hyperlink>
    </w:p>
    <w:p w:rsidR="007E1474" w:rsidRDefault="007E1474" w:rsidP="00BF241A">
      <w:pPr>
        <w:spacing w:before="0"/>
        <w:rPr>
          <w:color w:val="000000" w:themeColor="text1"/>
          <w:sz w:val="18"/>
          <w:szCs w:val="18"/>
        </w:rPr>
      </w:pPr>
    </w:p>
    <w:p w:rsidR="009315B0" w:rsidRDefault="009315B0" w:rsidP="00BF241A">
      <w:pPr>
        <w:spacing w:before="0"/>
        <w:rPr>
          <w:color w:val="000000" w:themeColor="text1"/>
          <w:sz w:val="18"/>
          <w:szCs w:val="18"/>
        </w:rPr>
      </w:pPr>
      <w:r>
        <w:rPr>
          <w:noProof/>
        </w:rPr>
        <w:drawing>
          <wp:inline distT="0" distB="0" distL="0" distR="0" wp14:anchorId="42C771D7" wp14:editId="786724A3">
            <wp:extent cx="3421380" cy="2339340"/>
            <wp:effectExtent l="0" t="0" r="7620" b="3810"/>
            <wp:docPr id="17435" name="Chart 17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F241A" w:rsidRDefault="00BF241A" w:rsidP="00BF241A">
      <w:pPr>
        <w:spacing w:before="0"/>
        <w:rPr>
          <w:color w:val="000000" w:themeColor="text1"/>
          <w:sz w:val="18"/>
          <w:szCs w:val="18"/>
        </w:rPr>
      </w:pPr>
      <w:r w:rsidRPr="00724E8E">
        <w:rPr>
          <w:color w:val="000000" w:themeColor="text1"/>
          <w:sz w:val="18"/>
          <w:szCs w:val="18"/>
        </w:rPr>
        <w:t>Source: Annex 2</w:t>
      </w:r>
    </w:p>
    <w:p w:rsidR="00BD1C25" w:rsidRDefault="00BD1C25" w:rsidP="009C15F3">
      <w:pPr>
        <w:spacing w:before="0" w:after="200" w:line="276" w:lineRule="auto"/>
        <w:rPr>
          <w:color w:val="000000" w:themeColor="text1"/>
          <w:kern w:val="24"/>
        </w:rPr>
      </w:pPr>
      <w:r>
        <w:rPr>
          <w:color w:val="000000" w:themeColor="text1"/>
          <w:kern w:val="24"/>
        </w:rPr>
        <w:t>Economic management and finance has implication for foreign direct investment (FDI)</w:t>
      </w:r>
      <w:r w:rsidR="00C75EB2">
        <w:rPr>
          <w:color w:val="000000" w:themeColor="text1"/>
          <w:kern w:val="24"/>
        </w:rPr>
        <w:t xml:space="preserve">. Historically, </w:t>
      </w:r>
      <w:r w:rsidR="00C75EB2" w:rsidRPr="00FA6E8B">
        <w:rPr>
          <w:rFonts w:eastAsia="Times New Roman"/>
          <w:color w:val="000000"/>
        </w:rPr>
        <w:t>FDI has never been an important element in GDP or investment in Bangladesh. The annual flow was miniscule in early years ($0.090 in 1972) until Export Processing Zones emerged as focal point for FDI. In order to boost FDI the government offered a series of policy incentives “…tax holiday for several years, duty free facility for importing capital machinery, 100% foreign ownership, 100% profit repatriation facility, reinvestment of profit or dividend as FDI, multiple visa, work permit to foreign executives, permanent resident or even citizenship for investing a specific amount, Export Processing Zone (EPZ) facility, and easy hassle free exit facility.</w:t>
      </w:r>
      <w:r w:rsidR="00C75EB2">
        <w:rPr>
          <w:rFonts w:eastAsia="Times New Roman"/>
          <w:color w:val="000000"/>
        </w:rPr>
        <w:t xml:space="preserve">” </w:t>
      </w:r>
      <w:r w:rsidR="00C75EB2" w:rsidRPr="00FA6E8B">
        <w:rPr>
          <w:rFonts w:eastAsia="Times New Roman"/>
          <w:color w:val="000000"/>
        </w:rPr>
        <w:t>Even then FDI averaged only little over $300 million annually during 1980 – 1995.</w:t>
      </w:r>
      <w:r w:rsidR="00C75EB2">
        <w:rPr>
          <w:rFonts w:eastAsia="Times New Roman"/>
          <w:color w:val="000000"/>
        </w:rPr>
        <w:t xml:space="preserve"> The amount rose to an estimated $1,486 million in FY2014 (Figure 2</w:t>
      </w:r>
      <w:r w:rsidR="006E7D72">
        <w:rPr>
          <w:rFonts w:eastAsia="Times New Roman"/>
          <w:color w:val="000000"/>
        </w:rPr>
        <w:t>7</w:t>
      </w:r>
      <w:r w:rsidR="00C75EB2">
        <w:rPr>
          <w:rFonts w:eastAsia="Times New Roman"/>
          <w:color w:val="000000"/>
        </w:rPr>
        <w:t>) which is about less than 1% of GDP. More important fresh flow is relatively small and has been declining in recent years</w:t>
      </w:r>
      <w:r w:rsidR="003E3A0D">
        <w:rPr>
          <w:rFonts w:eastAsia="Times New Roman"/>
          <w:color w:val="000000"/>
        </w:rPr>
        <w:t xml:space="preserve"> (Figure 2</w:t>
      </w:r>
      <w:r w:rsidR="006E7D72">
        <w:rPr>
          <w:rFonts w:eastAsia="Times New Roman"/>
          <w:color w:val="000000"/>
        </w:rPr>
        <w:t>8</w:t>
      </w:r>
      <w:r w:rsidR="003E3A0D">
        <w:rPr>
          <w:rFonts w:eastAsia="Times New Roman"/>
          <w:color w:val="000000"/>
        </w:rPr>
        <w:t>)</w:t>
      </w:r>
      <w:r w:rsidR="00C75EB2">
        <w:rPr>
          <w:rFonts w:eastAsia="Times New Roman"/>
          <w:color w:val="000000"/>
        </w:rPr>
        <w:t>.</w:t>
      </w:r>
    </w:p>
    <w:p w:rsidR="00BD1C25" w:rsidRDefault="00CD1216" w:rsidP="00BD1C25">
      <w:pPr>
        <w:spacing w:before="0" w:after="0" w:line="276" w:lineRule="auto"/>
        <w:rPr>
          <w:b/>
          <w:color w:val="000000" w:themeColor="text1"/>
          <w:kern w:val="24"/>
        </w:rPr>
      </w:pPr>
      <w:r>
        <w:rPr>
          <w:b/>
          <w:color w:val="000000" w:themeColor="text1"/>
          <w:kern w:val="24"/>
        </w:rPr>
        <w:lastRenderedPageBreak/>
        <w:t xml:space="preserve"> </w:t>
      </w:r>
      <w:r w:rsidR="00BD1C25" w:rsidRPr="00BD1C25">
        <w:rPr>
          <w:b/>
          <w:color w:val="000000" w:themeColor="text1"/>
          <w:kern w:val="24"/>
        </w:rPr>
        <w:t>Figure</w:t>
      </w:r>
      <w:r w:rsidR="008E2288">
        <w:rPr>
          <w:b/>
          <w:color w:val="000000" w:themeColor="text1"/>
          <w:kern w:val="24"/>
        </w:rPr>
        <w:t xml:space="preserve"> 2</w:t>
      </w:r>
      <w:r w:rsidR="006E7D72">
        <w:rPr>
          <w:b/>
          <w:color w:val="000000" w:themeColor="text1"/>
          <w:kern w:val="24"/>
        </w:rPr>
        <w:t>7</w:t>
      </w:r>
      <w:r w:rsidR="00BD1C25" w:rsidRPr="00BD1C25">
        <w:rPr>
          <w:b/>
          <w:color w:val="000000" w:themeColor="text1"/>
          <w:kern w:val="24"/>
        </w:rPr>
        <w:t>: FDI trend in Bangladesh</w:t>
      </w:r>
      <w:r w:rsidR="00F676C7">
        <w:rPr>
          <w:b/>
          <w:color w:val="000000" w:themeColor="text1"/>
          <w:kern w:val="24"/>
        </w:rPr>
        <w:t xml:space="preserve"> 2004-05 to 2013-14</w:t>
      </w:r>
    </w:p>
    <w:p w:rsidR="002D2B30" w:rsidRDefault="002D2B30" w:rsidP="00BD1C25">
      <w:pPr>
        <w:spacing w:before="0" w:after="0" w:line="276" w:lineRule="auto"/>
        <w:rPr>
          <w:b/>
          <w:color w:val="000000" w:themeColor="text1"/>
          <w:kern w:val="24"/>
        </w:rPr>
      </w:pPr>
      <w:r>
        <w:rPr>
          <w:noProof/>
        </w:rPr>
        <w:drawing>
          <wp:inline distT="0" distB="0" distL="0" distR="0" wp14:anchorId="30B460CE" wp14:editId="6BFE66E3">
            <wp:extent cx="4434840" cy="2720340"/>
            <wp:effectExtent l="0" t="0" r="3810" b="3810"/>
            <wp:docPr id="17432" name="Chart 17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D2B30" w:rsidRPr="002D2B30" w:rsidRDefault="002D2B30" w:rsidP="00BD1C25">
      <w:pPr>
        <w:spacing w:before="0" w:after="0" w:line="276" w:lineRule="auto"/>
        <w:rPr>
          <w:color w:val="000000" w:themeColor="text1"/>
          <w:kern w:val="24"/>
          <w:sz w:val="18"/>
          <w:szCs w:val="18"/>
        </w:rPr>
      </w:pPr>
      <w:r w:rsidRPr="002D2B30">
        <w:rPr>
          <w:color w:val="000000" w:themeColor="text1"/>
          <w:kern w:val="24"/>
          <w:sz w:val="18"/>
          <w:szCs w:val="18"/>
        </w:rPr>
        <w:t xml:space="preserve">Source: </w:t>
      </w:r>
      <w:proofErr w:type="spellStart"/>
      <w:r w:rsidRPr="002D2B30">
        <w:rPr>
          <w:color w:val="000000" w:themeColor="text1"/>
          <w:kern w:val="24"/>
          <w:sz w:val="18"/>
          <w:szCs w:val="18"/>
        </w:rPr>
        <w:t>Abdin</w:t>
      </w:r>
      <w:proofErr w:type="spellEnd"/>
      <w:r w:rsidRPr="002D2B30">
        <w:rPr>
          <w:color w:val="000000" w:themeColor="text1"/>
          <w:kern w:val="24"/>
          <w:sz w:val="18"/>
          <w:szCs w:val="18"/>
        </w:rPr>
        <w:t xml:space="preserve"> (2015)</w:t>
      </w:r>
    </w:p>
    <w:p w:rsidR="002D2B30" w:rsidRDefault="002D2B30" w:rsidP="00BD1C25">
      <w:pPr>
        <w:spacing w:before="0" w:after="0" w:line="276" w:lineRule="auto"/>
        <w:rPr>
          <w:b/>
          <w:color w:val="000000" w:themeColor="text1"/>
          <w:kern w:val="24"/>
        </w:rPr>
      </w:pPr>
    </w:p>
    <w:p w:rsidR="002D2B30" w:rsidRDefault="002D2B30" w:rsidP="00BD1C25">
      <w:pPr>
        <w:spacing w:before="0" w:after="0" w:line="276" w:lineRule="auto"/>
        <w:rPr>
          <w:b/>
          <w:color w:val="000000" w:themeColor="text1"/>
          <w:kern w:val="24"/>
        </w:rPr>
      </w:pPr>
    </w:p>
    <w:p w:rsidR="00BD1C25" w:rsidRDefault="00C75EB2" w:rsidP="00BD1C25">
      <w:pPr>
        <w:spacing w:before="0" w:after="0" w:line="276" w:lineRule="auto"/>
        <w:rPr>
          <w:b/>
          <w:color w:val="000000" w:themeColor="text1"/>
          <w:kern w:val="24"/>
        </w:rPr>
      </w:pPr>
      <w:r>
        <w:rPr>
          <w:noProof/>
        </w:rPr>
        <w:drawing>
          <wp:inline distT="0" distB="0" distL="0" distR="0" wp14:anchorId="70E61332" wp14:editId="292EE16F">
            <wp:extent cx="4678680" cy="2910840"/>
            <wp:effectExtent l="0" t="0" r="7620" b="3810"/>
            <wp:docPr id="17423" name="Chart 17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75EB2" w:rsidRPr="00C75EB2" w:rsidRDefault="00C75EB2" w:rsidP="00BD1C25">
      <w:pPr>
        <w:spacing w:before="0" w:after="0" w:line="276" w:lineRule="auto"/>
        <w:rPr>
          <w:color w:val="000000" w:themeColor="text1"/>
          <w:kern w:val="24"/>
          <w:sz w:val="18"/>
          <w:szCs w:val="18"/>
        </w:rPr>
      </w:pPr>
      <w:r>
        <w:rPr>
          <w:color w:val="000000" w:themeColor="text1"/>
          <w:kern w:val="24"/>
          <w:sz w:val="18"/>
          <w:szCs w:val="18"/>
        </w:rPr>
        <w:t xml:space="preserve">Source: Bangladesh Bank. </w:t>
      </w:r>
      <w:hyperlink r:id="rId61" w:history="1">
        <w:r w:rsidRPr="00BE2E12">
          <w:rPr>
            <w:rStyle w:val="Hyperlink"/>
            <w:kern w:val="24"/>
            <w:sz w:val="18"/>
            <w:szCs w:val="18"/>
          </w:rPr>
          <w:t>https://www.bb.org.bd/pub/halfyearly/fdisurvey/fdisurveyjanjun2016.pdf</w:t>
        </w:r>
      </w:hyperlink>
      <w:r>
        <w:rPr>
          <w:color w:val="000000" w:themeColor="text1"/>
          <w:kern w:val="24"/>
          <w:sz w:val="18"/>
          <w:szCs w:val="18"/>
        </w:rPr>
        <w:t xml:space="preserve"> </w:t>
      </w:r>
    </w:p>
    <w:p w:rsidR="00BA1F28" w:rsidRDefault="00BA1F28" w:rsidP="009C15F3">
      <w:pPr>
        <w:spacing w:before="0" w:after="200" w:line="276" w:lineRule="auto"/>
        <w:rPr>
          <w:color w:val="000000" w:themeColor="text1"/>
          <w:kern w:val="24"/>
        </w:rPr>
      </w:pPr>
    </w:p>
    <w:p w:rsidR="00C75EB2" w:rsidRDefault="00C75EB2">
      <w:pPr>
        <w:rPr>
          <w:color w:val="000000" w:themeColor="text1"/>
          <w:kern w:val="24"/>
        </w:rPr>
      </w:pPr>
      <w:r>
        <w:rPr>
          <w:color w:val="000000" w:themeColor="text1"/>
          <w:kern w:val="24"/>
        </w:rPr>
        <w:br w:type="page"/>
      </w:r>
    </w:p>
    <w:p w:rsidR="004D29C0" w:rsidRDefault="00AB5FDA" w:rsidP="009C15F3">
      <w:pPr>
        <w:spacing w:before="0" w:after="200" w:line="276" w:lineRule="auto"/>
        <w:rPr>
          <w:color w:val="000000" w:themeColor="text1"/>
          <w:kern w:val="24"/>
        </w:rPr>
      </w:pPr>
      <w:r>
        <w:rPr>
          <w:color w:val="000000" w:themeColor="text1"/>
          <w:kern w:val="24"/>
        </w:rPr>
        <w:lastRenderedPageBreak/>
        <w:t>Challenges facing economic management and finance are: d</w:t>
      </w:r>
      <w:r w:rsidR="004D29C0" w:rsidRPr="00757FFA">
        <w:rPr>
          <w:color w:val="000000" w:themeColor="text1"/>
          <w:kern w:val="24"/>
        </w:rPr>
        <w:t xml:space="preserve">omestic resource mobilization inadequate to meet financing needs of a growing economy; financial governance is weak; </w:t>
      </w:r>
      <w:r w:rsidR="00E622D6" w:rsidRPr="00757FFA">
        <w:rPr>
          <w:color w:val="000000" w:themeColor="text1"/>
          <w:kern w:val="24"/>
        </w:rPr>
        <w:t xml:space="preserve">the financial sector is fragmented; </w:t>
      </w:r>
      <w:r w:rsidR="004D29C0" w:rsidRPr="00757FFA">
        <w:rPr>
          <w:color w:val="000000" w:themeColor="text1"/>
          <w:kern w:val="24"/>
        </w:rPr>
        <w:t xml:space="preserve">sub-optimal resource </w:t>
      </w:r>
      <w:r w:rsidR="00E622D6">
        <w:rPr>
          <w:color w:val="000000" w:themeColor="text1"/>
          <w:kern w:val="24"/>
        </w:rPr>
        <w:t xml:space="preserve">mobilization and </w:t>
      </w:r>
      <w:r w:rsidR="004D29C0" w:rsidRPr="00757FFA">
        <w:rPr>
          <w:color w:val="000000" w:themeColor="text1"/>
          <w:kern w:val="24"/>
        </w:rPr>
        <w:t xml:space="preserve">allocation; </w:t>
      </w:r>
      <w:r w:rsidR="00E622D6">
        <w:rPr>
          <w:color w:val="000000" w:themeColor="text1"/>
          <w:kern w:val="24"/>
        </w:rPr>
        <w:t xml:space="preserve">the </w:t>
      </w:r>
      <w:r w:rsidR="00E622D6" w:rsidRPr="00F62D12">
        <w:rPr>
          <w:color w:val="000000" w:themeColor="text1"/>
        </w:rPr>
        <w:t>quality of budgetary and financial management</w:t>
      </w:r>
      <w:r w:rsidR="00E622D6">
        <w:rPr>
          <w:color w:val="000000" w:themeColor="text1"/>
        </w:rPr>
        <w:t xml:space="preserve"> is inadequate, </w:t>
      </w:r>
      <w:r w:rsidR="00E622D6" w:rsidRPr="00757FFA">
        <w:rPr>
          <w:color w:val="000000" w:themeColor="text1"/>
          <w:kern w:val="24"/>
        </w:rPr>
        <w:t xml:space="preserve"> </w:t>
      </w:r>
      <w:r w:rsidR="00E622D6">
        <w:rPr>
          <w:color w:val="000000" w:themeColor="text1"/>
          <w:kern w:val="24"/>
        </w:rPr>
        <w:t xml:space="preserve">the </w:t>
      </w:r>
      <w:r w:rsidR="00E622D6" w:rsidRPr="006C517C">
        <w:rPr>
          <w:color w:val="000000" w:themeColor="text1"/>
        </w:rPr>
        <w:t>regulatory environment</w:t>
      </w:r>
      <w:r w:rsidR="00E622D6">
        <w:rPr>
          <w:color w:val="000000" w:themeColor="text1"/>
        </w:rPr>
        <w:t xml:space="preserve"> cannot encourage investment, </w:t>
      </w:r>
      <w:r w:rsidR="004D29C0" w:rsidRPr="00757FFA">
        <w:rPr>
          <w:color w:val="000000" w:themeColor="text1"/>
          <w:kern w:val="24"/>
        </w:rPr>
        <w:t>Foreign Direct Investment (FDI) is anemic; inadequate synergy between monetary and fiscal policy</w:t>
      </w:r>
      <w:r w:rsidR="004D29C0">
        <w:rPr>
          <w:color w:val="000000" w:themeColor="text1"/>
          <w:kern w:val="24"/>
        </w:rPr>
        <w:t xml:space="preserve">; weak cross-country standing in doing business and competitiveness; poor project implementation especially mega projects; </w:t>
      </w:r>
      <w:r w:rsidR="00E622D6">
        <w:rPr>
          <w:color w:val="000000" w:themeColor="text1"/>
          <w:kern w:val="24"/>
        </w:rPr>
        <w:t xml:space="preserve">and </w:t>
      </w:r>
      <w:r w:rsidR="00E622D6">
        <w:rPr>
          <w:color w:val="000000" w:themeColor="text1"/>
        </w:rPr>
        <w:t xml:space="preserve">poor public sector management and institutions and </w:t>
      </w:r>
      <w:r w:rsidR="00E622D6" w:rsidRPr="00B9362A">
        <w:rPr>
          <w:color w:val="000000" w:themeColor="text1"/>
        </w:rPr>
        <w:t>transparency, accountability, and corruption in the public sector</w:t>
      </w:r>
      <w:r w:rsidR="004D29C0">
        <w:rPr>
          <w:color w:val="000000" w:themeColor="text1"/>
          <w:kern w:val="24"/>
        </w:rPr>
        <w:t>.</w:t>
      </w:r>
    </w:p>
    <w:p w:rsidR="00B01BD8" w:rsidRPr="003E50F4" w:rsidRDefault="00B01BD8" w:rsidP="009C15F3">
      <w:pPr>
        <w:spacing w:before="0" w:after="200" w:line="276" w:lineRule="auto"/>
        <w:rPr>
          <w:b/>
          <w:color w:val="000000" w:themeColor="text1"/>
        </w:rPr>
      </w:pPr>
      <w:r w:rsidRPr="003E50F4">
        <w:rPr>
          <w:b/>
          <w:color w:val="000000" w:themeColor="text1"/>
        </w:rPr>
        <w:t>Democracy</w:t>
      </w:r>
    </w:p>
    <w:p w:rsidR="00CA0DA4" w:rsidRDefault="00CA0DA4" w:rsidP="009C15F3">
      <w:pPr>
        <w:spacing w:before="0" w:after="200" w:line="276" w:lineRule="auto"/>
        <w:rPr>
          <w:color w:val="000000" w:themeColor="text1"/>
        </w:rPr>
      </w:pPr>
      <w:r w:rsidRPr="00CA0DA4">
        <w:rPr>
          <w:color w:val="000000" w:themeColor="text1"/>
        </w:rPr>
        <w:t>Institutionally, the participatory nature of democracy is conducive to growth and poverty reduction mainly through the rising aspiration of the people. Bangladeshis do not want to sit in one place any more, nor do they want to remain in poverty. Aspiration is driving people and people are driving the economy enabled by democracy. The drive will be stronger under a pluralistic democracy.</w:t>
      </w:r>
    </w:p>
    <w:p w:rsidR="00DA4881" w:rsidRDefault="00B704C1" w:rsidP="009C15F3">
      <w:pPr>
        <w:spacing w:before="0" w:after="200" w:line="276" w:lineRule="auto"/>
        <w:rPr>
          <w:color w:val="000000" w:themeColor="text1"/>
        </w:rPr>
      </w:pPr>
      <w:r>
        <w:rPr>
          <w:color w:val="000000" w:themeColor="text1"/>
        </w:rPr>
        <w:t xml:space="preserve">Democracy comes in various shapes and sizes so to speak: full democracy, flawed democracy, hybrid democracy and authoritarian regimes (Annex 1). Individual countries have their own specific situation. </w:t>
      </w:r>
      <w:r w:rsidRPr="00B704C1">
        <w:rPr>
          <w:color w:val="000000" w:themeColor="text1"/>
        </w:rPr>
        <w:t xml:space="preserve">In </w:t>
      </w:r>
      <w:r w:rsidRPr="005C464D">
        <w:rPr>
          <w:color w:val="000000" w:themeColor="text1"/>
        </w:rPr>
        <w:t>Afghanistan, stable governance could not take firm root under troubled democracy. Democratic election outcomes are mired in controversy everywhere from Afghanistan to Bangladesh and latest in Kenya.</w:t>
      </w:r>
      <w:r w:rsidR="007A7112" w:rsidRPr="005C464D">
        <w:rPr>
          <w:color w:val="000000" w:themeColor="text1"/>
        </w:rPr>
        <w:t xml:space="preserve"> India is closest to full democracy with a score of 7.80 (Figure </w:t>
      </w:r>
      <w:r w:rsidR="00A569B1">
        <w:rPr>
          <w:color w:val="000000" w:themeColor="text1"/>
        </w:rPr>
        <w:t>29</w:t>
      </w:r>
      <w:r w:rsidR="007A7112" w:rsidRPr="005C464D">
        <w:rPr>
          <w:color w:val="000000" w:themeColor="text1"/>
        </w:rPr>
        <w:t xml:space="preserve">). </w:t>
      </w:r>
    </w:p>
    <w:p w:rsidR="00DA4881" w:rsidRDefault="00DA4881" w:rsidP="00DA4881">
      <w:pPr>
        <w:spacing w:before="0" w:after="0" w:line="276" w:lineRule="auto"/>
        <w:rPr>
          <w:color w:val="000000" w:themeColor="text1"/>
        </w:rPr>
      </w:pPr>
      <w:r>
        <w:rPr>
          <w:noProof/>
        </w:rPr>
        <w:drawing>
          <wp:inline distT="0" distB="0" distL="0" distR="0" wp14:anchorId="76441477" wp14:editId="138E046B">
            <wp:extent cx="4572000" cy="2792730"/>
            <wp:effectExtent l="0" t="0" r="0" b="7620"/>
            <wp:docPr id="17414" name="Chart 17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A4881" w:rsidRPr="00047AAC" w:rsidRDefault="00DA4881" w:rsidP="00DA4881">
      <w:pPr>
        <w:spacing w:before="0" w:after="0" w:line="276" w:lineRule="auto"/>
        <w:rPr>
          <w:color w:val="000000" w:themeColor="text1"/>
          <w:sz w:val="18"/>
          <w:szCs w:val="18"/>
        </w:rPr>
      </w:pPr>
      <w:r w:rsidRPr="00047AAC">
        <w:rPr>
          <w:color w:val="000000" w:themeColor="text1"/>
          <w:sz w:val="18"/>
          <w:szCs w:val="18"/>
        </w:rPr>
        <w:t xml:space="preserve">Source: </w:t>
      </w:r>
      <w:r>
        <w:rPr>
          <w:color w:val="000000" w:themeColor="text1"/>
          <w:sz w:val="18"/>
          <w:szCs w:val="18"/>
        </w:rPr>
        <w:t>Annex 2</w:t>
      </w:r>
    </w:p>
    <w:p w:rsidR="0050227D" w:rsidRPr="0050227D" w:rsidRDefault="007A7112" w:rsidP="009C15F3">
      <w:pPr>
        <w:spacing w:before="0" w:after="200" w:line="276" w:lineRule="auto"/>
        <w:rPr>
          <w:color w:val="000000" w:themeColor="text1"/>
          <w:shd w:val="clear" w:color="auto" w:fill="FFFFFF"/>
        </w:rPr>
      </w:pPr>
      <w:r w:rsidRPr="005C464D">
        <w:rPr>
          <w:color w:val="000000" w:themeColor="text1"/>
        </w:rPr>
        <w:t xml:space="preserve">Angola changed from a one party Marxist-Leninist system to a multiparty democracy under 1992 constitution. Under the new 2010 constitution, Angola is a presidential republic with a multiparty system in which the President has absolute power. The 2012 election was considered flawed. The </w:t>
      </w:r>
      <w:r w:rsidR="00856A61" w:rsidRPr="005C464D">
        <w:rPr>
          <w:color w:val="000000" w:themeColor="text1"/>
        </w:rPr>
        <w:lastRenderedPageBreak/>
        <w:t>well-functioning multi-party democracy in Rwanda seems to have settled down for a life-time Presidency of the current incumbent who just received another 7-year mandate. From a one party Marxist-Leninist state the Republic of Congo became democratic with elections held under multi-party system since 1993 but one president has ruled for 26 of last 36 years. One president has ruled Eritrea since independence from Ethiopia in 1993.</w:t>
      </w:r>
      <w:r w:rsidR="001D5B2F" w:rsidRPr="005C464D">
        <w:rPr>
          <w:color w:val="000000" w:themeColor="text1"/>
          <w:shd w:val="clear" w:color="auto" w:fill="FFFFFF"/>
        </w:rPr>
        <w:t xml:space="preserve"> The military has dominated politics and ethnic conflicts have dominated the social landscape for much of post-independence </w:t>
      </w:r>
      <w:r w:rsidR="001D5B2F" w:rsidRPr="0050227D">
        <w:rPr>
          <w:color w:val="000000" w:themeColor="text1"/>
          <w:shd w:val="clear" w:color="auto" w:fill="FFFFFF"/>
        </w:rPr>
        <w:t>era of Myanmar. The military grabbed power in 1962. Since 2010, the government initiated reforms towards liberal democracy.</w:t>
      </w:r>
      <w:r w:rsidR="00572D91" w:rsidRPr="0050227D">
        <w:rPr>
          <w:color w:val="000000" w:themeColor="text1"/>
        </w:rPr>
        <w:t xml:space="preserve"> Zimbabwe has had one government and ruling party leader since independence in 1980 turning the country into nearly a non-functioning state.</w:t>
      </w:r>
      <w:r w:rsidR="005C464D" w:rsidRPr="0050227D">
        <w:rPr>
          <w:color w:val="000000" w:themeColor="text1"/>
          <w:shd w:val="clear" w:color="auto" w:fill="FFFFFF"/>
        </w:rPr>
        <w:t xml:space="preserve"> Since 1993, </w:t>
      </w:r>
    </w:p>
    <w:p w:rsidR="005C464D" w:rsidRPr="0050227D" w:rsidRDefault="005C464D" w:rsidP="009C15F3">
      <w:pPr>
        <w:spacing w:before="0" w:after="200" w:line="276" w:lineRule="auto"/>
        <w:rPr>
          <w:bCs/>
          <w:color w:val="000000" w:themeColor="text1"/>
        </w:rPr>
      </w:pPr>
      <w:r w:rsidRPr="0050227D">
        <w:rPr>
          <w:color w:val="000000" w:themeColor="text1"/>
          <w:shd w:val="clear" w:color="auto" w:fill="FFFFFF"/>
        </w:rPr>
        <w:t>Azerbaijan has been ruled by Aliyev family, first the father and then the son since 2003.</w:t>
      </w:r>
      <w:r w:rsidR="0050227D" w:rsidRPr="0050227D">
        <w:rPr>
          <w:color w:val="000000" w:themeColor="text1"/>
          <w:shd w:val="clear" w:color="auto" w:fill="FFFFFF"/>
        </w:rPr>
        <w:t xml:space="preserve"> </w:t>
      </w:r>
      <w:r w:rsidRPr="0050227D">
        <w:rPr>
          <w:color w:val="000000" w:themeColor="text1"/>
          <w:shd w:val="clear" w:color="auto" w:fill="FFFFFF"/>
        </w:rPr>
        <w:t>Elections have been criticized for voter fraud and corruption. The Marxist-Leninist government of 1975-1990 in Benin gave way to a multi-party republic in 1991. Bolivian history is one of internal and external wars, loss of territory to neighboring countries (Brazil, Peru and Chile), military coup and counter coup until early 20</w:t>
      </w:r>
      <w:r w:rsidRPr="0050227D">
        <w:rPr>
          <w:color w:val="000000" w:themeColor="text1"/>
          <w:shd w:val="clear" w:color="auto" w:fill="FFFFFF"/>
          <w:vertAlign w:val="superscript"/>
        </w:rPr>
        <w:t>th</w:t>
      </w:r>
      <w:r w:rsidRPr="0050227D">
        <w:rPr>
          <w:color w:val="000000" w:themeColor="text1"/>
          <w:shd w:val="clear" w:color="auto" w:fill="FFFFFF"/>
        </w:rPr>
        <w:t xml:space="preserve"> century when Bolivia started being governed by democratically elected governments since 1982, ending a long string of military coups. Bolivia is a multiparty democracy.</w:t>
      </w:r>
      <w:r w:rsidR="00DF4636" w:rsidRPr="0050227D">
        <w:rPr>
          <w:color w:val="000000" w:themeColor="text1"/>
          <w:shd w:val="clear" w:color="auto" w:fill="FFFFFF"/>
        </w:rPr>
        <w:t xml:space="preserve"> Since i</w:t>
      </w:r>
      <w:r w:rsidR="00DF4636" w:rsidRPr="0050227D">
        <w:rPr>
          <w:color w:val="000000" w:themeColor="text1"/>
        </w:rPr>
        <w:t>t gained independence from France in 1960, Burkina Faso went through a series of coup and counter coup until a democratically elected government was installed in 2015.</w:t>
      </w:r>
      <w:r w:rsidRPr="0050227D">
        <w:rPr>
          <w:color w:val="000000" w:themeColor="text1"/>
          <w:shd w:val="clear" w:color="auto" w:fill="FFFFFF"/>
        </w:rPr>
        <w:t xml:space="preserve"> </w:t>
      </w:r>
      <w:r w:rsidR="00DF4636" w:rsidRPr="0050227D">
        <w:rPr>
          <w:color w:val="000000" w:themeColor="text1"/>
          <w:shd w:val="clear" w:color="auto" w:fill="FFFFFF"/>
        </w:rPr>
        <w:t>Cambodia gained independence from France in 1953. Cambodia has lived through Vietnam War, Khmer Rouge and a virtual one party rule since 1997 under which opposition is suppressed. Officially the country is a multiparty democracy.</w:t>
      </w:r>
      <w:r w:rsidR="00DF4636" w:rsidRPr="0050227D">
        <w:rPr>
          <w:color w:val="000000" w:themeColor="text1"/>
        </w:rPr>
        <w:t xml:space="preserve"> Following Marxist-Leninist rule, the Ethiopian People’s Revolutionary Democratic Front (EPRDF) gained power. The 1994 constitution established a parliamentary republic. The first multiparty election was held in 1995. EPRDF has held on to power since 1991 through much debated elections in recent years especially in 2010. The republic of Ghana is a unitary presidential constitutional democracy in West Africa. Since independence in 1957 after a long stint of Kwame Nkrumah (1957-1966) Ghana alternated between civilian and military governments. Presumably election is held every four years. Ghana has been a stable democracy since 1992. There have been complains of electoral fraud from time to time.</w:t>
      </w:r>
      <w:r w:rsidR="0050227D" w:rsidRPr="0050227D">
        <w:rPr>
          <w:color w:val="000000" w:themeColor="text1"/>
        </w:rPr>
        <w:t xml:space="preserve"> The Republic of Kenya is a presidential representative democratic republic. There have been problems with democratic elections in the 2000s. President Moi ruled long from 1978 to 2002.  Under a new 2010 constitution election was held in 2013.The 2017 election has been marred by violence and controversy over election outcome. Pakistan is an Islamic republic. It has alternated between democratic and military government throughout its history since independence from Britain in 1947.</w:t>
      </w:r>
      <w:r w:rsidR="0050227D" w:rsidRPr="0050227D">
        <w:rPr>
          <w:bCs/>
          <w:color w:val="000000" w:themeColor="text1"/>
        </w:rPr>
        <w:t xml:space="preserve"> Rwanda is a presidential democracy. A new constitution was adopted in 2003. Political dissent is not tolerated making Rwanda a virtually one party state. The Rwandan Patriotic Front (RPF) has been the dominant political party since 1994. The President is accused of authoritarianism.</w:t>
      </w:r>
    </w:p>
    <w:p w:rsidR="0050227D" w:rsidRPr="0050227D" w:rsidRDefault="0050227D" w:rsidP="00CA0DA4">
      <w:pPr>
        <w:spacing w:before="0" w:after="200" w:line="276" w:lineRule="auto"/>
        <w:rPr>
          <w:color w:val="000000" w:themeColor="text1"/>
          <w:shd w:val="clear" w:color="auto" w:fill="FFFFFF"/>
        </w:rPr>
      </w:pPr>
      <w:r w:rsidRPr="0050227D">
        <w:rPr>
          <w:bCs/>
          <w:color w:val="000000" w:themeColor="text1"/>
          <w:shd w:val="clear" w:color="auto" w:fill="FFFFFF"/>
        </w:rPr>
        <w:t xml:space="preserve">Republic of India is a country in South Asia. It gained independence from Britain in 1947. India is a parliamentary democracy. India has successfully conducted sixteen elections for the lower house of the parliament, the </w:t>
      </w:r>
      <w:r w:rsidRPr="0050227D">
        <w:rPr>
          <w:bCs/>
          <w:i/>
          <w:color w:val="000000" w:themeColor="text1"/>
          <w:shd w:val="clear" w:color="auto" w:fill="FFFFFF"/>
        </w:rPr>
        <w:t>Lok Sabha</w:t>
      </w:r>
      <w:r w:rsidRPr="0050227D">
        <w:rPr>
          <w:bCs/>
          <w:color w:val="000000" w:themeColor="text1"/>
          <w:shd w:val="clear" w:color="auto" w:fill="FFFFFF"/>
        </w:rPr>
        <w:t xml:space="preserve">, the latest in 2014. </w:t>
      </w:r>
      <w:r w:rsidRPr="0050227D">
        <w:rPr>
          <w:color w:val="000000" w:themeColor="text1"/>
        </w:rPr>
        <w:t xml:space="preserve">India is a stable democracy whose </w:t>
      </w:r>
      <w:r w:rsidRPr="0050227D">
        <w:rPr>
          <w:color w:val="000000" w:themeColor="text1"/>
        </w:rPr>
        <w:lastRenderedPageBreak/>
        <w:t>stability is threatened by extreme wealth and poverty pitted against each other. The future of the Indian democracy which is considered a role model for all developing countries hangs precariously on accelerated inclusive development to put a damper on rich-poor divide. However, Indian belief in democracy is deep rooted and all in politics, public policy and administration, judiciary and law enforcement agencies are fully geared to protecting democratic values and institutions. Unlike many developing countries, India never experienced military intervention in politics although India has seen declaration of emergency in India which curbed civil rights from 25 June 1975 to 21 March 1977. Many consider it a dark period of Indian political history.</w:t>
      </w:r>
    </w:p>
    <w:p w:rsidR="00B704C1" w:rsidRDefault="005C464D" w:rsidP="00CA0DA4">
      <w:pPr>
        <w:spacing w:before="0" w:after="200" w:line="276" w:lineRule="auto"/>
        <w:rPr>
          <w:color w:val="000000" w:themeColor="text1"/>
        </w:rPr>
      </w:pPr>
      <w:r w:rsidRPr="0050227D">
        <w:rPr>
          <w:color w:val="000000" w:themeColor="text1"/>
        </w:rPr>
        <w:t xml:space="preserve">Throughout its post-liberation history, Bangladesh has alternated between multiparty parliamentary representative democracy modeled on the Westminster system of unicameral parliamentary government, presidential democracy and a short-lived one party democracy (BAKSAL). For a brief instant in mid-1970 there was an aborted attempt to establish </w:t>
      </w:r>
      <w:proofErr w:type="gramStart"/>
      <w:r w:rsidRPr="0050227D">
        <w:rPr>
          <w:color w:val="000000" w:themeColor="text1"/>
        </w:rPr>
        <w:t>an</w:t>
      </w:r>
      <w:proofErr w:type="gramEnd"/>
      <w:r w:rsidRPr="0050227D">
        <w:rPr>
          <w:color w:val="000000" w:themeColor="text1"/>
        </w:rPr>
        <w:t xml:space="preserve"> one party state and in the 1980s when military dictatorship ruled the country until democratic rule was re-established in 1992. Since then elections were held at periodical intervals and power was transferred peacefully. Between 2007 and 2008 a military backed caretaker government ruled the country until the 2008 election that returned power to democratically elected government. The 2014 election was controversial as it was boycotted by the major opposition. Critics have accused the government of trying to turn Bangladesh into a dominant party state under the ruling </w:t>
      </w:r>
      <w:proofErr w:type="spellStart"/>
      <w:r w:rsidRPr="0050227D">
        <w:rPr>
          <w:color w:val="000000" w:themeColor="text1"/>
        </w:rPr>
        <w:t>Awami</w:t>
      </w:r>
      <w:proofErr w:type="spellEnd"/>
      <w:r w:rsidRPr="0050227D">
        <w:rPr>
          <w:color w:val="000000" w:themeColor="text1"/>
        </w:rPr>
        <w:t xml:space="preserve"> League. This does not augur well for democratic decision-making in the country</w:t>
      </w:r>
      <w:r w:rsidR="008B61E9">
        <w:rPr>
          <w:color w:val="000000" w:themeColor="text1"/>
        </w:rPr>
        <w:t xml:space="preserve"> given that democracy in Bangladesh suffer from credibility crisis in </w:t>
      </w:r>
      <w:r w:rsidR="008B61E9" w:rsidRPr="008B61E9">
        <w:rPr>
          <w:color w:val="000000" w:themeColor="text1"/>
        </w:rPr>
        <w:t>Election Commission and anti-corruption commission</w:t>
      </w:r>
      <w:r w:rsidR="008B61E9">
        <w:rPr>
          <w:color w:val="000000" w:themeColor="text1"/>
        </w:rPr>
        <w:t xml:space="preserve">. Cross-country data suggest that in democracy index Bangladesh is behind India, Sri Lanka and Tanzania but ahead of Bhutan, Nepal, Pakistan and Myanmar (Figure </w:t>
      </w:r>
      <w:r w:rsidR="00BC28CD">
        <w:rPr>
          <w:color w:val="000000" w:themeColor="text1"/>
        </w:rPr>
        <w:t>3</w:t>
      </w:r>
      <w:r w:rsidR="00D97173">
        <w:rPr>
          <w:color w:val="000000" w:themeColor="text1"/>
        </w:rPr>
        <w:t>0</w:t>
      </w:r>
      <w:r w:rsidR="008B61E9">
        <w:rPr>
          <w:color w:val="000000" w:themeColor="text1"/>
        </w:rPr>
        <w:t>).</w:t>
      </w:r>
    </w:p>
    <w:p w:rsidR="005E7F22" w:rsidRDefault="005E7F22" w:rsidP="00047AAC">
      <w:pPr>
        <w:spacing w:before="0" w:after="0" w:line="276" w:lineRule="auto"/>
        <w:rPr>
          <w:bCs/>
          <w:color w:val="000000" w:themeColor="text1"/>
        </w:rPr>
      </w:pPr>
      <w:r>
        <w:rPr>
          <w:noProof/>
        </w:rPr>
        <w:drawing>
          <wp:inline distT="0" distB="0" distL="0" distR="0" wp14:anchorId="555A2A96" wp14:editId="295E9EC5">
            <wp:extent cx="4587240" cy="2758440"/>
            <wp:effectExtent l="0" t="0" r="3810" b="3810"/>
            <wp:docPr id="17413" name="Chart 17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47AAC" w:rsidRPr="00047AAC" w:rsidRDefault="00047AAC" w:rsidP="00047AAC">
      <w:pPr>
        <w:spacing w:before="0" w:after="0" w:line="276" w:lineRule="auto"/>
        <w:rPr>
          <w:bCs/>
          <w:color w:val="000000" w:themeColor="text1"/>
          <w:sz w:val="18"/>
          <w:szCs w:val="18"/>
        </w:rPr>
      </w:pPr>
      <w:r>
        <w:rPr>
          <w:bCs/>
          <w:color w:val="000000" w:themeColor="text1"/>
          <w:sz w:val="18"/>
          <w:szCs w:val="18"/>
        </w:rPr>
        <w:t>Source: Annex 2</w:t>
      </w:r>
    </w:p>
    <w:p w:rsidR="00E61D7F" w:rsidRPr="00482F2E" w:rsidRDefault="00E61D7F" w:rsidP="00E61D7F">
      <w:pPr>
        <w:spacing w:before="0" w:after="200" w:line="276" w:lineRule="auto"/>
        <w:rPr>
          <w:b/>
          <w:bCs/>
          <w:color w:val="000000" w:themeColor="text1"/>
        </w:rPr>
      </w:pPr>
      <w:r w:rsidRPr="009B45ED">
        <w:rPr>
          <w:bCs/>
          <w:color w:val="000000" w:themeColor="text1"/>
        </w:rPr>
        <w:lastRenderedPageBreak/>
        <w:t xml:space="preserve">Democratization </w:t>
      </w:r>
      <w:r w:rsidRPr="00482F2E">
        <w:rPr>
          <w:color w:val="000000" w:themeColor="text1"/>
        </w:rPr>
        <w:t xml:space="preserve">is a process. </w:t>
      </w:r>
      <w:r w:rsidRPr="003C0B1E">
        <w:t>Cross-country analysis of 90 countries suggest a strong significant positive correlation between democracy</w:t>
      </w:r>
      <w:r w:rsidRPr="00EC1A42">
        <w:t xml:space="preserve"> index and GDP per capita, gross fixed capital formation and total trade all for 2015.</w:t>
      </w:r>
      <w:r>
        <w:t xml:space="preserve"> </w:t>
      </w:r>
      <w:r w:rsidRPr="00482F2E">
        <w:rPr>
          <w:color w:val="000000" w:themeColor="text1"/>
          <w:shd w:val="clear" w:color="auto" w:fill="FFFFFF"/>
        </w:rPr>
        <w:t>The growth and poverty reduction paths of Bangladesh are clearly divided into two phases: pre-democracy (before 1991) of slow growth (3.9% in 1975-1990) and high poverty (56% in 1991) and post-democracy (after 1991) of rapid growth (5.5% in 1990-2015) and reduced poverty (24% in 2015) (Bangladesh Bureau of Statistics). While Bangladesh has clearly reaped what one might call the democracy dividend, t</w:t>
      </w:r>
      <w:r w:rsidRPr="00482F2E">
        <w:rPr>
          <w:color w:val="000000" w:themeColor="text1"/>
        </w:rPr>
        <w:t>he challenge is how w</w:t>
      </w:r>
      <w:r w:rsidRPr="00482F2E">
        <w:rPr>
          <w:rFonts w:eastAsia="Times New Roman"/>
          <w:color w:val="000000" w:themeColor="text1"/>
        </w:rPr>
        <w:t xml:space="preserve">ith an index of 5.73, Bangladesh could escape the hybrid democracy trap. </w:t>
      </w:r>
    </w:p>
    <w:p w:rsidR="00482F2E" w:rsidRDefault="00E61D7F" w:rsidP="00E61D7F">
      <w:pPr>
        <w:spacing w:before="0" w:after="200" w:line="276" w:lineRule="auto"/>
        <w:rPr>
          <w:color w:val="000000"/>
        </w:rPr>
      </w:pPr>
      <w:r w:rsidRPr="00EC1A42">
        <w:rPr>
          <w:color w:val="000000" w:themeColor="text1"/>
        </w:rPr>
        <w:t xml:space="preserve">This is not an enviable choice. </w:t>
      </w:r>
      <w:r w:rsidRPr="00EC1A42">
        <w:rPr>
          <w:color w:val="000000"/>
        </w:rPr>
        <w:t xml:space="preserve">The democratic perspective of Bangladesh </w:t>
      </w:r>
      <w:r>
        <w:rPr>
          <w:color w:val="000000"/>
        </w:rPr>
        <w:t xml:space="preserve">Vision 2041 </w:t>
      </w:r>
      <w:r w:rsidRPr="00EC1A42">
        <w:rPr>
          <w:color w:val="000000"/>
        </w:rPr>
        <w:t xml:space="preserve">is </w:t>
      </w:r>
      <w:r>
        <w:rPr>
          <w:color w:val="000000"/>
        </w:rPr>
        <w:t xml:space="preserve">to move to </w:t>
      </w:r>
      <w:r w:rsidRPr="00EC1A42">
        <w:rPr>
          <w:color w:val="000000"/>
        </w:rPr>
        <w:t>full pluralistic democracy</w:t>
      </w:r>
      <w:r>
        <w:rPr>
          <w:color w:val="000000"/>
        </w:rPr>
        <w:t xml:space="preserve"> from the current hybrid democracy</w:t>
      </w:r>
      <w:r w:rsidRPr="00EC1A42">
        <w:rPr>
          <w:color w:val="000000"/>
        </w:rPr>
        <w:t xml:space="preserve">. </w:t>
      </w:r>
      <w:r>
        <w:rPr>
          <w:color w:val="000000"/>
        </w:rPr>
        <w:t xml:space="preserve">This will mean moving up the score from </w:t>
      </w:r>
      <w:r w:rsidRPr="00030B35">
        <w:rPr>
          <w:color w:val="000000"/>
        </w:rPr>
        <w:t>4 ≤ s &lt; 6</w:t>
      </w:r>
      <w:r>
        <w:rPr>
          <w:color w:val="000000"/>
        </w:rPr>
        <w:t xml:space="preserve"> hybrid group to </w:t>
      </w:r>
      <w:r w:rsidRPr="00030B35">
        <w:rPr>
          <w:color w:val="000000"/>
        </w:rPr>
        <w:t>8 ≤ s ≤ 10</w:t>
      </w:r>
      <w:r>
        <w:rPr>
          <w:color w:val="000000"/>
        </w:rPr>
        <w:t xml:space="preserve"> full democracies which is also pluralistic. This concept is</w:t>
      </w:r>
      <w:r w:rsidRPr="00EC1A42">
        <w:rPr>
          <w:color w:val="000000"/>
        </w:rPr>
        <w:t xml:space="preserve"> inclusive, representative, consultative, equitable, sensitive, bold, patriotic, secular, hands of friendship to all at home and abroad but prepared to defend freedom at all costs</w:t>
      </w:r>
      <w:r>
        <w:rPr>
          <w:color w:val="000000"/>
        </w:rPr>
        <w:t>. Today’s Bangladesh is far behind this ideal.</w:t>
      </w:r>
    </w:p>
    <w:p w:rsidR="00155F2D" w:rsidRDefault="00D97173" w:rsidP="00155F2D">
      <w:pPr>
        <w:spacing w:before="0" w:after="200" w:line="276" w:lineRule="auto"/>
        <w:rPr>
          <w:color w:val="000000" w:themeColor="text1"/>
        </w:rPr>
      </w:pPr>
      <w:r w:rsidRPr="00D97173">
        <w:rPr>
          <w:noProof/>
          <w:color w:val="000000"/>
        </w:rPr>
        <w:drawing>
          <wp:anchor distT="0" distB="0" distL="114300" distR="114300" simplePos="0" relativeHeight="251847680" behindDoc="0" locked="0" layoutInCell="1" allowOverlap="1">
            <wp:simplePos x="0" y="0"/>
            <wp:positionH relativeFrom="margin">
              <wp:align>left</wp:align>
            </wp:positionH>
            <wp:positionV relativeFrom="paragraph">
              <wp:posOffset>1508760</wp:posOffset>
            </wp:positionV>
            <wp:extent cx="3733800" cy="2583180"/>
            <wp:effectExtent l="0" t="0" r="0" b="0"/>
            <wp:wrapSquare wrapText="bothSides"/>
            <wp:docPr id="17439" name="Picture 1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3380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F2D">
        <w:rPr>
          <w:color w:val="000000"/>
        </w:rPr>
        <w:t>More ominous are the three threats to democracy</w:t>
      </w:r>
      <w:r w:rsidR="0033052D">
        <w:rPr>
          <w:color w:val="000000" w:themeColor="text1"/>
        </w:rPr>
        <w:t xml:space="preserve"> that need</w:t>
      </w:r>
      <w:r w:rsidR="00155F2D">
        <w:rPr>
          <w:color w:val="000000" w:themeColor="text1"/>
        </w:rPr>
        <w:t xml:space="preserve"> to be tackled heads on</w:t>
      </w:r>
      <w:r w:rsidR="00155F2D" w:rsidRPr="00110532">
        <w:rPr>
          <w:color w:val="000000" w:themeColor="text1"/>
        </w:rPr>
        <w:t>: winner takes all, violence and money in politics</w:t>
      </w:r>
      <w:r w:rsidR="00155F2D">
        <w:rPr>
          <w:color w:val="000000" w:themeColor="text1"/>
        </w:rPr>
        <w:t>. Bangladesh may have to reconsider winner take it all formula which producing disproportionally higher number of seats with modest share of popular vote, a situation from which both major political parties benefitted.</w:t>
      </w:r>
      <w:r w:rsidR="00C80A4D">
        <w:rPr>
          <w:color w:val="000000" w:themeColor="text1"/>
        </w:rPr>
        <w:t xml:space="preserve"> </w:t>
      </w:r>
      <w:r w:rsidR="00155F2D" w:rsidRPr="00D36AFB">
        <w:rPr>
          <w:color w:val="000000" w:themeColor="text1"/>
        </w:rPr>
        <w:t>Violence can be contained by promoting respect for law and inculcating discipline among party cadres. The principle that no one is above the law and the force of law shall equally apply to all can only be operationalized in a pluralistic democracy where no one single source of power can dominate decision-making and resource allocation.</w:t>
      </w:r>
      <w:r w:rsidR="000C6A3A" w:rsidRPr="00D36AFB">
        <w:rPr>
          <w:color w:val="000000" w:themeColor="text1"/>
        </w:rPr>
        <w:t xml:space="preserve"> Money in politics is found worrisome by eminent persons in Bangladesh (Figure</w:t>
      </w:r>
      <w:r w:rsidR="00414ABF">
        <w:rPr>
          <w:color w:val="000000" w:themeColor="text1"/>
        </w:rPr>
        <w:t xml:space="preserve"> 3</w:t>
      </w:r>
      <w:r>
        <w:rPr>
          <w:color w:val="000000" w:themeColor="text1"/>
        </w:rPr>
        <w:t>1</w:t>
      </w:r>
      <w:r w:rsidR="000C6A3A" w:rsidRPr="00D36AFB">
        <w:rPr>
          <w:color w:val="000000" w:themeColor="text1"/>
        </w:rPr>
        <w:t>).</w:t>
      </w:r>
      <w:r w:rsidR="00063324" w:rsidRPr="00D36AFB">
        <w:rPr>
          <w:color w:val="000000" w:themeColor="text1"/>
        </w:rPr>
        <w:t xml:space="preserve"> Bangladesh needs to institutionalize democracy in order to accelerate growth and poverty reduction. Civil society can play useful role. Even the long standing political parties in Bangladesh behave like clubs, bullies, vote hunters and/or money spinners. </w:t>
      </w:r>
      <w:r w:rsidR="00414ABF">
        <w:rPr>
          <w:color w:val="000000" w:themeColor="text1"/>
        </w:rPr>
        <w:t xml:space="preserve">Professor Mohammad </w:t>
      </w:r>
      <w:r w:rsidR="00063324" w:rsidRPr="00D36AFB">
        <w:rPr>
          <w:color w:val="000000" w:themeColor="text1"/>
        </w:rPr>
        <w:t xml:space="preserve">Yunus </w:t>
      </w:r>
      <w:r w:rsidR="00414ABF">
        <w:rPr>
          <w:color w:val="000000" w:themeColor="text1"/>
        </w:rPr>
        <w:t xml:space="preserve">was criticized by leaders of both AL and BNP for making a statement to the effect that </w:t>
      </w:r>
      <w:r w:rsidR="00063324" w:rsidRPr="00D36AFB">
        <w:rPr>
          <w:color w:val="000000" w:themeColor="text1"/>
        </w:rPr>
        <w:t>‘politicians are in it for money’. Now money in politics has everyone worried from President, Chief Justice to others. Money and politics will always go together as it has in most countries from time immemorial. This must change to minimize the influence of money in administrative. Political, financial, judicial and legislative decision-</w:t>
      </w:r>
      <w:r w:rsidR="00063324" w:rsidRPr="00D36AFB">
        <w:rPr>
          <w:color w:val="000000" w:themeColor="text1"/>
        </w:rPr>
        <w:lastRenderedPageBreak/>
        <w:t xml:space="preserve">making process. Yes, money can buy everything but it should </w:t>
      </w:r>
      <w:r w:rsidR="00063324">
        <w:rPr>
          <w:color w:val="000000" w:themeColor="text1"/>
        </w:rPr>
        <w:t>not be allowed to do so. This is where political institutions must come out in favor of integrity.</w:t>
      </w:r>
    </w:p>
    <w:p w:rsidR="00980138" w:rsidRDefault="00980138" w:rsidP="00155F2D">
      <w:pPr>
        <w:spacing w:before="0" w:after="200" w:line="276" w:lineRule="auto"/>
        <w:rPr>
          <w:color w:val="000000" w:themeColor="text1"/>
        </w:rPr>
      </w:pPr>
      <w:r>
        <w:rPr>
          <w:color w:val="000000" w:themeColor="text1"/>
        </w:rPr>
        <w:t>The first and foremost challenge is, how could Bangladesh escape the hybrid democracy trap and move to pluralistic full democracy? The other challenge is to make political parties adhere to the principles of pluralistic democracy in the conduct in their affairs. Finally, one has to deal with the three threats to democracy</w:t>
      </w:r>
      <w:r w:rsidR="0033052D">
        <w:rPr>
          <w:color w:val="000000" w:themeColor="text1"/>
        </w:rPr>
        <w:t>:</w:t>
      </w:r>
      <w:r w:rsidR="0033052D" w:rsidRPr="0033052D">
        <w:rPr>
          <w:color w:val="000000" w:themeColor="text1"/>
        </w:rPr>
        <w:t xml:space="preserve"> </w:t>
      </w:r>
      <w:r w:rsidR="0033052D" w:rsidRPr="00110532">
        <w:rPr>
          <w:color w:val="000000" w:themeColor="text1"/>
        </w:rPr>
        <w:t>winner takes all, violence and money in politics</w:t>
      </w:r>
      <w:r w:rsidR="0033052D">
        <w:rPr>
          <w:color w:val="000000" w:themeColor="text1"/>
        </w:rPr>
        <w:t>.</w:t>
      </w:r>
    </w:p>
    <w:p w:rsidR="00B01BD8" w:rsidRDefault="00B01BD8" w:rsidP="00931DAE">
      <w:pPr>
        <w:spacing w:before="0" w:after="200" w:line="276" w:lineRule="auto"/>
        <w:rPr>
          <w:b/>
          <w:color w:val="000000" w:themeColor="text1"/>
        </w:rPr>
      </w:pPr>
      <w:r>
        <w:rPr>
          <w:b/>
          <w:color w:val="000000" w:themeColor="text1"/>
        </w:rPr>
        <w:t>Decentralization</w:t>
      </w:r>
    </w:p>
    <w:p w:rsidR="00593BB5" w:rsidRDefault="007B2179" w:rsidP="00931DAE">
      <w:pPr>
        <w:spacing w:before="0" w:after="200" w:line="276" w:lineRule="auto"/>
        <w:rPr>
          <w:color w:val="000000" w:themeColor="text1"/>
        </w:rPr>
      </w:pPr>
      <w:r>
        <w:rPr>
          <w:color w:val="000000" w:themeColor="text1"/>
        </w:rPr>
        <w:t>The search for d</w:t>
      </w:r>
      <w:r w:rsidR="00593BB5" w:rsidRPr="00DB44AA">
        <w:rPr>
          <w:color w:val="000000" w:themeColor="text1"/>
        </w:rPr>
        <w:t xml:space="preserve">ecentralization and devolution- </w:t>
      </w:r>
      <w:r>
        <w:rPr>
          <w:color w:val="000000" w:themeColor="text1"/>
        </w:rPr>
        <w:t>m</w:t>
      </w:r>
      <w:r w:rsidR="00593BB5" w:rsidRPr="00DB44AA">
        <w:rPr>
          <w:color w:val="000000" w:themeColor="text1"/>
        </w:rPr>
        <w:t>yth vs reality</w:t>
      </w:r>
      <w:r>
        <w:rPr>
          <w:color w:val="000000" w:themeColor="text1"/>
        </w:rPr>
        <w:t xml:space="preserve"> has led many scholars and practitioners into labyrinth of classic power struggle in which no one wants to cede an inch. Decentralization is about real power sharing and this is something no one wants to do. Since earlier times, Bangladesh and its predecessor</w:t>
      </w:r>
      <w:r w:rsidR="006C095D">
        <w:rPr>
          <w:color w:val="000000" w:themeColor="text1"/>
        </w:rPr>
        <w:t xml:space="preserve"> countries</w:t>
      </w:r>
      <w:r>
        <w:rPr>
          <w:color w:val="000000" w:themeColor="text1"/>
        </w:rPr>
        <w:t xml:space="preserve"> Pakistan and India initiate</w:t>
      </w:r>
      <w:r w:rsidR="006C095D">
        <w:rPr>
          <w:color w:val="000000" w:themeColor="text1"/>
        </w:rPr>
        <w:t>d</w:t>
      </w:r>
      <w:r>
        <w:rPr>
          <w:color w:val="000000" w:themeColor="text1"/>
        </w:rPr>
        <w:t xml:space="preserve"> multiple measure to decentralize and share power and make administration more manageable, physically</w:t>
      </w:r>
      <w:r w:rsidR="006C095D">
        <w:rPr>
          <w:color w:val="000000" w:themeColor="text1"/>
        </w:rPr>
        <w:t xml:space="preserve"> and politically</w:t>
      </w:r>
      <w:r>
        <w:rPr>
          <w:color w:val="000000" w:themeColor="text1"/>
        </w:rPr>
        <w:t>.</w:t>
      </w:r>
    </w:p>
    <w:p w:rsidR="00DA166D" w:rsidRPr="00584BAD" w:rsidRDefault="00DA166D" w:rsidP="00892990">
      <w:pPr>
        <w:spacing w:before="0" w:after="200" w:line="276" w:lineRule="auto"/>
      </w:pPr>
      <w:r>
        <w:t>Local governments were established in the colonial period under the Local Self-Government Act of 1885. Decentralization was attempted through Basic Democracies since late 1950s. Reform of the local government has been a priority of all governments in Bangladesh. Articles 59 and 60 of the Constitution called for elected bodies of local government with powers to impose taxes, prepare budget and maintain funds. The devolution of power is thus enshrined in the Constitution. Bangladesh abolished the system of basic democracies and established a short-lived District Governorship in 1973 along with a three-tier Union Parishad, Thana Development Committee and Zila Parishad. However, the then government did not follow through constitutional provision for electoral democracy and devolution of power. The Local Government Ordinance of 1976 created Gram Sabha (Village Councils) later transformed into Gram Sarkar (Village Government) that was a mini-government undertaking planning and promotional programs. The Gram Sarkar was abolished in 1982 in favor of Upazila Parishads. In the first half of the 1990s, the bureaucracy-dominated Thana Parishad’s were reinstated only to be replaced by a four-tier structure including Gram/Palli (Village) Parishad, Union Parishad, Thana/</w:t>
      </w:r>
      <w:r w:rsidRPr="00D437F8">
        <w:t xml:space="preserve">Upazila Parishad and Zila (District) Parishad. For all the changes local bodies were controlled by the </w:t>
      </w:r>
      <w:r w:rsidRPr="00584BAD">
        <w:t xml:space="preserve">central government giving rise to a patron-client relationship between the two. The Government in power since 2001 introduced the Gram Sarkar Act to revive Gram Sarkars. </w:t>
      </w:r>
      <w:r w:rsidRPr="00584BAD">
        <w:rPr>
          <w:color w:val="000000" w:themeColor="text1"/>
        </w:rPr>
        <w:t>(Mollah 2007, Panday 2011, Tamanna and Afroz 2015 and Wahab, undated)</w:t>
      </w:r>
    </w:p>
    <w:p w:rsidR="00990D25" w:rsidRPr="00584BAD" w:rsidRDefault="00990D25" w:rsidP="00892990">
      <w:pPr>
        <w:spacing w:before="0" w:after="200" w:line="276" w:lineRule="auto"/>
      </w:pPr>
      <w:r w:rsidRPr="00584BAD">
        <w:t>History suggest</w:t>
      </w:r>
      <w:r w:rsidR="00352F18" w:rsidRPr="00584BAD">
        <w:t>s</w:t>
      </w:r>
      <w:r w:rsidRPr="00584BAD">
        <w:t xml:space="preserve">, local governments have been anything but conduits of effective decentralization in Bangladesh neither have these been drivers of growth, and experience shared with cross country evidence. </w:t>
      </w:r>
      <w:r w:rsidRPr="00584BAD">
        <w:rPr>
          <w:color w:val="000000"/>
        </w:rPr>
        <w:t>Challenges to decentralization are many explaining a weak correlation with growth.</w:t>
      </w:r>
      <w:r w:rsidRPr="00584BAD">
        <w:t xml:space="preserve"> Local bodies are not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 xml:space="preserve">anchored in strong legal and regulatory framework notwithstanding constitutional provisions and various local government Acts (colonial legacy of nomination </w:t>
      </w:r>
      <w:r w:rsidRPr="00584BAD">
        <w:rPr>
          <w:rFonts w:ascii="Times New Roman" w:hAnsi="Times New Roman" w:cs="Times New Roman"/>
        </w:rPr>
        <w:lastRenderedPageBreak/>
        <w:t>system lingers; too many laws and circulars which are contradictory and meaningless; local government is the body of elected persons, however, the bone of contention of partisan vs non-partisan local government polls has only been addressed recently; u</w:t>
      </w:r>
      <w:r w:rsidRPr="00584BAD">
        <w:rPr>
          <w:rFonts w:ascii="Times New Roman" w:hAnsi="Times New Roman" w:cs="Times New Roman"/>
          <w:color w:val="000000" w:themeColor="text1"/>
        </w:rPr>
        <w:t>ntil recently local government elections were held on non-partisan basis which has been changed to partisan election though amendment to the relevant Act, the</w:t>
      </w:r>
      <w:r w:rsidRPr="00584BAD">
        <w:rPr>
          <w:rFonts w:ascii="Times New Roman" w:eastAsia="Times New Roman" w:hAnsi="Times New Roman" w:cs="Times New Roman"/>
          <w:color w:val="252324"/>
        </w:rPr>
        <w:t xml:space="preserve"> Local Government (Amended) Act, 2009, on 30th December 2015; local government elections are often fought and won by might rather than free political choice; flawed democracy at the grassroots raise serious question about fairness of polls at other levels (</w:t>
      </w:r>
      <w:proofErr w:type="spellStart"/>
      <w:r w:rsidRPr="00584BAD">
        <w:rPr>
          <w:rFonts w:ascii="Times New Roman" w:eastAsia="Times New Roman" w:hAnsi="Times New Roman" w:cs="Times New Roman"/>
          <w:color w:val="252324"/>
        </w:rPr>
        <w:t>Alim</w:t>
      </w:r>
      <w:proofErr w:type="spellEnd"/>
      <w:r w:rsidRPr="00584BAD">
        <w:rPr>
          <w:rFonts w:ascii="Times New Roman" w:eastAsia="Times New Roman" w:hAnsi="Times New Roman" w:cs="Times New Roman"/>
          <w:color w:val="252324"/>
        </w:rPr>
        <w:t xml:space="preserve"> 2015, Choudhury 2015, Mollah 2007)</w:t>
      </w:r>
      <w:r w:rsidRPr="00584BAD">
        <w:rPr>
          <w:rFonts w:ascii="Times New Roman" w:hAnsi="Times New Roman" w:cs="Times New Roman"/>
        </w:rPr>
        <w:t>),</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self-governing (undue bureaucratic control - controlled by the center, natural outcome of a s</w:t>
      </w:r>
      <w:r w:rsidRPr="00584BAD">
        <w:rPr>
          <w:rFonts w:ascii="Times New Roman" w:eastAsia="Times New Roman" w:hAnsi="Times New Roman" w:cs="Times New Roman"/>
          <w:color w:val="000000"/>
        </w:rPr>
        <w:t xml:space="preserve">trong unitary character of the government centralized in Dhaka with </w:t>
      </w:r>
      <w:r w:rsidRPr="00584BAD">
        <w:rPr>
          <w:rFonts w:ascii="Times New Roman" w:hAnsi="Times New Roman" w:cs="Times New Roman"/>
        </w:rPr>
        <w:t xml:space="preserve">major political and administrative decisions taken in Dhaka),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institutionally effective (capacity constraint, lack of skills and competence, p</w:t>
      </w:r>
      <w:r w:rsidRPr="00584BAD">
        <w:rPr>
          <w:rFonts w:ascii="Times New Roman" w:eastAsia="Times New Roman" w:hAnsi="Times New Roman" w:cs="Times New Roman"/>
          <w:color w:val="000000"/>
        </w:rPr>
        <w:t>olitical interference and conflict, i</w:t>
      </w:r>
      <w:r w:rsidRPr="00584BAD">
        <w:rPr>
          <w:rFonts w:ascii="Times New Roman" w:hAnsi="Times New Roman" w:cs="Times New Roman"/>
          <w:color w:val="000000"/>
          <w:shd w:val="clear" w:color="auto" w:fill="FFFFFF"/>
        </w:rPr>
        <w:t>neffective coordination</w:t>
      </w:r>
      <w:r w:rsidRPr="00584BAD">
        <w:rPr>
          <w:rFonts w:ascii="Times New Roman" w:eastAsia="Times New Roman" w:hAnsi="Times New Roman" w:cs="Times New Roman"/>
          <w:color w:val="000000"/>
        </w:rPr>
        <w:t xml:space="preserve"> and c</w:t>
      </w:r>
      <w:r w:rsidRPr="00584BAD">
        <w:rPr>
          <w:rFonts w:ascii="Times New Roman" w:hAnsi="Times New Roman" w:cs="Times New Roman"/>
          <w:color w:val="000000"/>
          <w:shd w:val="clear" w:color="auto" w:fill="FFFFFF"/>
        </w:rPr>
        <w:t>ontinuing resistance to decentralization efforts by the bureaucracy and lower-level government officials</w:t>
      </w:r>
      <w:r w:rsidRPr="00584BAD">
        <w:rPr>
          <w:rFonts w:ascii="Times New Roman" w:hAnsi="Times New Roman" w:cs="Times New Roman"/>
        </w:rPr>
        <w:t xml:space="preserve">),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 xml:space="preserve">financially viable (financial disempowerment with limited revenue power because of little fiscal and administrative autonomy and lack of mobilization of local resources),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 xml:space="preserve">development oriented (development functions usurped by line ministries),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 xml:space="preserve">innovative (lacking motivation, capacity and access to information),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 xml:space="preserve">technology driven (lagging technology knowledge, access and resources to avail),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 xml:space="preserve">attractive to the educated self-respecting people (poor image courted by local Mafiosi with patronage from above),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 xml:space="preserve">participatory (more exclusive than inclusive due to </w:t>
      </w:r>
      <w:r w:rsidRPr="00584BAD">
        <w:rPr>
          <w:rFonts w:ascii="Times New Roman" w:hAnsi="Times New Roman" w:cs="Times New Roman"/>
          <w:color w:val="000000"/>
          <w:shd w:val="clear" w:color="auto" w:fill="FFFFFF"/>
        </w:rPr>
        <w:t>non-adherence to the participatory planning process</w:t>
      </w:r>
      <w:r w:rsidRPr="00584BAD">
        <w:rPr>
          <w:rFonts w:ascii="Times New Roman" w:hAnsi="Times New Roman" w:cs="Times New Roman"/>
        </w:rPr>
        <w:t xml:space="preserve">),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rPr>
      </w:pPr>
      <w:r w:rsidRPr="00584BAD">
        <w:rPr>
          <w:rFonts w:ascii="Times New Roman" w:hAnsi="Times New Roman" w:cs="Times New Roman"/>
        </w:rPr>
        <w:t xml:space="preserve">gender sensitive (exclusion of women a norm), </w:t>
      </w:r>
    </w:p>
    <w:p w:rsidR="00990D25" w:rsidRPr="00584BAD" w:rsidRDefault="00990D25" w:rsidP="0075498E">
      <w:pPr>
        <w:pStyle w:val="ListParagraph"/>
        <w:numPr>
          <w:ilvl w:val="0"/>
          <w:numId w:val="9"/>
        </w:numPr>
        <w:spacing w:before="0" w:after="200" w:line="276" w:lineRule="auto"/>
        <w:contextualSpacing w:val="0"/>
        <w:rPr>
          <w:rFonts w:ascii="Times New Roman" w:hAnsi="Times New Roman" w:cs="Times New Roman"/>
          <w:color w:val="000000" w:themeColor="text1"/>
        </w:rPr>
      </w:pPr>
      <w:r w:rsidRPr="00584BAD">
        <w:rPr>
          <w:rFonts w:ascii="Times New Roman" w:hAnsi="Times New Roman" w:cs="Times New Roman"/>
        </w:rPr>
        <w:t xml:space="preserve">transparent (behind the scene and under the table deals, widespread corruption) and </w:t>
      </w:r>
    </w:p>
    <w:p w:rsidR="00DA166D" w:rsidRPr="00584BAD" w:rsidRDefault="00990D25" w:rsidP="0075498E">
      <w:pPr>
        <w:pStyle w:val="ListParagraph"/>
        <w:numPr>
          <w:ilvl w:val="0"/>
          <w:numId w:val="9"/>
        </w:numPr>
        <w:spacing w:before="0" w:after="200" w:line="276" w:lineRule="auto"/>
        <w:contextualSpacing w:val="0"/>
        <w:rPr>
          <w:rFonts w:ascii="Times New Roman" w:hAnsi="Times New Roman" w:cs="Times New Roman"/>
          <w:color w:val="000000" w:themeColor="text1"/>
        </w:rPr>
      </w:pPr>
      <w:r w:rsidRPr="00584BAD">
        <w:rPr>
          <w:rFonts w:ascii="Times New Roman" w:hAnsi="Times New Roman" w:cs="Times New Roman"/>
        </w:rPr>
        <w:t xml:space="preserve">accountable (no checks and balance giving rise to rampant corruption). Politicians use local bodies for patronage and to strengthen their political muscle and extract rent and bureaucrats connived with politicians to maintain bureaucratic hegemony. Hence, conflict and tension arose when local Members of the </w:t>
      </w:r>
      <w:r w:rsidRPr="00584BAD">
        <w:rPr>
          <w:rFonts w:ascii="Times New Roman" w:hAnsi="Times New Roman" w:cs="Times New Roman"/>
        </w:rPr>
        <w:lastRenderedPageBreak/>
        <w:t xml:space="preserve">Parliament (MP) was placed as head of the local body at the Thana level in recent years. The new legal framework for UZP has deepened the rift among UZP Chairman, </w:t>
      </w:r>
      <w:proofErr w:type="spellStart"/>
      <w:r w:rsidRPr="00584BAD">
        <w:rPr>
          <w:rFonts w:ascii="Times New Roman" w:hAnsi="Times New Roman" w:cs="Times New Roman"/>
        </w:rPr>
        <w:t>Upazila</w:t>
      </w:r>
      <w:proofErr w:type="spellEnd"/>
      <w:r w:rsidRPr="00584BAD">
        <w:rPr>
          <w:rFonts w:ascii="Times New Roman" w:hAnsi="Times New Roman" w:cs="Times New Roman"/>
        </w:rPr>
        <w:t xml:space="preserve"> </w:t>
      </w:r>
      <w:proofErr w:type="spellStart"/>
      <w:r w:rsidRPr="00584BAD">
        <w:rPr>
          <w:rFonts w:ascii="Times New Roman" w:hAnsi="Times New Roman" w:cs="Times New Roman"/>
        </w:rPr>
        <w:t>Nirbahi</w:t>
      </w:r>
      <w:proofErr w:type="spellEnd"/>
      <w:r w:rsidRPr="00584BAD">
        <w:rPr>
          <w:rFonts w:ascii="Times New Roman" w:hAnsi="Times New Roman" w:cs="Times New Roman"/>
        </w:rPr>
        <w:t xml:space="preserve"> Officer (UNO) and MP.</w:t>
      </w:r>
    </w:p>
    <w:p w:rsidR="00DA166D" w:rsidRPr="00584BAD" w:rsidRDefault="00DA166D" w:rsidP="00892990">
      <w:pPr>
        <w:spacing w:before="0" w:after="200" w:line="276" w:lineRule="auto"/>
        <w:rPr>
          <w:color w:val="000000" w:themeColor="text1"/>
        </w:rPr>
      </w:pPr>
      <w:r w:rsidRPr="00584BAD">
        <w:rPr>
          <w:color w:val="000000"/>
        </w:rPr>
        <w:t>There are many challenges. For example, c</w:t>
      </w:r>
      <w:r w:rsidRPr="00584BAD">
        <w:t>ompleting the process of Deconcentration and decentralization by 2041 will have to be achieved under six concepts: (</w:t>
      </w:r>
      <w:proofErr w:type="spellStart"/>
      <w:r w:rsidRPr="00584BAD">
        <w:t>i</w:t>
      </w:r>
      <w:proofErr w:type="spellEnd"/>
      <w:r w:rsidRPr="00584BAD">
        <w:t xml:space="preserve">) fiscal and planning decentralization, (ii) political decentralization, (iii) Vertical and law and order decentralization, (iv) </w:t>
      </w:r>
      <w:r w:rsidRPr="00584BAD">
        <w:rPr>
          <w:color w:val="000000" w:themeColor="text1"/>
        </w:rPr>
        <w:t xml:space="preserve">administrative decentralization, (v) electoral decentralization and (vi) judicial decentralization. This is a tall order. </w:t>
      </w:r>
      <w:r w:rsidR="006C095D" w:rsidRPr="00584BAD">
        <w:rPr>
          <w:color w:val="000000" w:themeColor="text1"/>
        </w:rPr>
        <w:t>At the regional level, the relative progress has been modest</w:t>
      </w:r>
      <w:r w:rsidR="00352F18" w:rsidRPr="00584BAD">
        <w:rPr>
          <w:color w:val="000000" w:themeColor="text1"/>
        </w:rPr>
        <w:t xml:space="preserve"> with Bangladesh behind others (Table 4)</w:t>
      </w:r>
      <w:r w:rsidR="006C095D" w:rsidRPr="00584BAD">
        <w:rPr>
          <w:color w:val="000000" w:themeColor="text1"/>
        </w:rPr>
        <w:t>.</w:t>
      </w:r>
      <w:r w:rsidR="00352F18" w:rsidRPr="00584BAD">
        <w:rPr>
          <w:color w:val="000000" w:themeColor="text1"/>
        </w:rPr>
        <w:t xml:space="preserve"> </w:t>
      </w:r>
      <w:r w:rsidRPr="00584BAD">
        <w:rPr>
          <w:color w:val="000000" w:themeColor="text1"/>
        </w:rPr>
        <w:t>It will require, among others, a comprehensive Law replacing 130 laws and over 100 sub-laws and rules clarifying powers and functions of local bodies at all levels. This has been a battle cry for many stakeholders in recent times. Furthermore</w:t>
      </w:r>
      <w:r w:rsidRPr="00584BAD">
        <w:t>, consideration may have to be given to converting present administrative divisions into provinces as some have suggested (Wahab, undated). This will have implication for urban and land use planning and shifting power away from Dhaka in favor of other nodes like the Faridpur region just beyond the Padma Bridge under construction. The point is who will bell the cat.</w:t>
      </w:r>
    </w:p>
    <w:p w:rsidR="00352F18" w:rsidRPr="00584BAD" w:rsidRDefault="00352F18" w:rsidP="00352F18">
      <w:pPr>
        <w:spacing w:after="0" w:line="276" w:lineRule="auto"/>
        <w:rPr>
          <w:b/>
        </w:rPr>
      </w:pPr>
      <w:r w:rsidRPr="00584BAD">
        <w:rPr>
          <w:b/>
        </w:rPr>
        <w:t xml:space="preserve">Table 4: Decentralization in Bangladesh and South Asian Neighbors    </w:t>
      </w:r>
    </w:p>
    <w:tbl>
      <w:tblPr>
        <w:tblStyle w:val="TableGrid"/>
        <w:tblW w:w="10494" w:type="dxa"/>
        <w:tblInd w:w="-365" w:type="dxa"/>
        <w:tblLook w:val="04A0" w:firstRow="1" w:lastRow="0" w:firstColumn="1" w:lastColumn="0" w:noHBand="0" w:noVBand="1"/>
      </w:tblPr>
      <w:tblGrid>
        <w:gridCol w:w="1194"/>
        <w:gridCol w:w="1494"/>
        <w:gridCol w:w="1549"/>
        <w:gridCol w:w="1549"/>
        <w:gridCol w:w="1549"/>
        <w:gridCol w:w="1665"/>
        <w:gridCol w:w="1494"/>
      </w:tblGrid>
      <w:tr w:rsidR="00352F18" w:rsidRPr="00584BAD" w:rsidTr="00BD0EA7">
        <w:tc>
          <w:tcPr>
            <w:tcW w:w="11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Country</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eastAsia="Times New Roman" w:hAnsi="Times New Roman" w:cs="Times New Roman"/>
                <w:b w:val="0"/>
                <w:color w:val="000000"/>
                <w:sz w:val="20"/>
                <w:szCs w:val="20"/>
              </w:rPr>
              <w:t>Vertical decentralization including law and order  (Number of tiers)</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eastAsia="Times New Roman" w:hAnsi="Times New Roman" w:cs="Times New Roman"/>
                <w:b w:val="0"/>
                <w:color w:val="000000"/>
                <w:sz w:val="20"/>
                <w:szCs w:val="20"/>
              </w:rPr>
              <w:t>Political decision-making decentralization: Extent to which subnational actors have right to make political decisions</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eastAsia="Times New Roman" w:hAnsi="Times New Roman" w:cs="Times New Roman"/>
                <w:b w:val="0"/>
                <w:color w:val="000000"/>
                <w:sz w:val="20"/>
                <w:szCs w:val="20"/>
              </w:rPr>
              <w:t>Administrative decentralization: extent to which executive appointments are made by actors at same (or lower) tier, rather than from above</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eastAsia="Times New Roman" w:hAnsi="Times New Roman" w:cs="Times New Roman"/>
                <w:b w:val="0"/>
                <w:color w:val="000000"/>
                <w:sz w:val="20"/>
                <w:szCs w:val="20"/>
              </w:rPr>
              <w:t>Electoral decentralization: Extent to which subnational officials are elected</w:t>
            </w:r>
          </w:p>
        </w:tc>
        <w:tc>
          <w:tcPr>
            <w:tcW w:w="1665"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eastAsia="Times New Roman" w:hAnsi="Times New Roman" w:cs="Times New Roman"/>
                <w:b w:val="0"/>
                <w:color w:val="000000"/>
                <w:sz w:val="20"/>
                <w:szCs w:val="20"/>
              </w:rPr>
              <w:t>Fiscal decentralization: Share of subnational governments in total tax revenues or public expenditures</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eastAsia="Times New Roman" w:hAnsi="Times New Roman" w:cs="Times New Roman"/>
                <w:b w:val="0"/>
                <w:color w:val="000000"/>
                <w:sz w:val="20"/>
                <w:szCs w:val="20"/>
              </w:rPr>
              <w:t>Judicial decentralization Share of cases resolved at subnational level</w:t>
            </w:r>
          </w:p>
          <w:p w:rsidR="00352F18" w:rsidRPr="00584BAD" w:rsidRDefault="00352F18" w:rsidP="00BD0EA7">
            <w:pPr>
              <w:spacing w:line="276" w:lineRule="auto"/>
              <w:rPr>
                <w:rFonts w:ascii="Times New Roman" w:eastAsia="Times New Roman" w:hAnsi="Times New Roman" w:cs="Times New Roman"/>
                <w:b w:val="0"/>
                <w:color w:val="000000"/>
                <w:sz w:val="20"/>
                <w:szCs w:val="20"/>
              </w:rPr>
            </w:pPr>
          </w:p>
        </w:tc>
      </w:tr>
      <w:tr w:rsidR="00352F18" w:rsidRPr="00584BAD" w:rsidTr="00BD0EA7">
        <w:tc>
          <w:tcPr>
            <w:tcW w:w="11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Bangladesh</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 (5)</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Very limited</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665"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Very limited</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r>
      <w:tr w:rsidR="00352F18" w:rsidRPr="00584BAD" w:rsidTr="00BD0EA7">
        <w:tc>
          <w:tcPr>
            <w:tcW w:w="11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India</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 (6)</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665"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r>
      <w:tr w:rsidR="00352F18" w:rsidRPr="00584BAD" w:rsidTr="00BD0EA7">
        <w:tc>
          <w:tcPr>
            <w:tcW w:w="11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Sri Lanka</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 (5)</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665"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High</w:t>
            </w:r>
          </w:p>
        </w:tc>
      </w:tr>
      <w:tr w:rsidR="00352F18" w:rsidRPr="00584BAD" w:rsidTr="00BD0EA7">
        <w:tc>
          <w:tcPr>
            <w:tcW w:w="11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Nepal</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 (5)</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665"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r>
      <w:tr w:rsidR="00352F18" w:rsidRPr="00584BAD" w:rsidTr="00BD0EA7">
        <w:tc>
          <w:tcPr>
            <w:tcW w:w="11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Pakistan</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 (6)</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665"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High</w:t>
            </w:r>
          </w:p>
        </w:tc>
      </w:tr>
      <w:tr w:rsidR="00352F18" w:rsidRPr="00584BAD" w:rsidTr="00BD0EA7">
        <w:tc>
          <w:tcPr>
            <w:tcW w:w="11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Bhutan</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 (5)</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665"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High</w:t>
            </w:r>
          </w:p>
        </w:tc>
      </w:tr>
      <w:tr w:rsidR="00352F18" w:rsidRPr="00584BAD" w:rsidTr="00BD0EA7">
        <w:tc>
          <w:tcPr>
            <w:tcW w:w="11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Afghanistan</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 (4)</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549"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Partial</w:t>
            </w:r>
          </w:p>
        </w:tc>
        <w:tc>
          <w:tcPr>
            <w:tcW w:w="1665"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Limited</w:t>
            </w:r>
          </w:p>
        </w:tc>
        <w:tc>
          <w:tcPr>
            <w:tcW w:w="1494" w:type="dxa"/>
          </w:tcPr>
          <w:p w:rsidR="00352F18" w:rsidRPr="00584BAD" w:rsidRDefault="00352F18" w:rsidP="00BD0EA7">
            <w:pPr>
              <w:spacing w:line="276" w:lineRule="auto"/>
              <w:rPr>
                <w:rFonts w:ascii="Times New Roman" w:hAnsi="Times New Roman" w:cs="Times New Roman"/>
                <w:b w:val="0"/>
                <w:sz w:val="20"/>
                <w:szCs w:val="20"/>
              </w:rPr>
            </w:pPr>
            <w:r w:rsidRPr="00584BAD">
              <w:rPr>
                <w:rFonts w:ascii="Times New Roman" w:hAnsi="Times New Roman" w:cs="Times New Roman"/>
                <w:b w:val="0"/>
                <w:sz w:val="20"/>
                <w:szCs w:val="20"/>
              </w:rPr>
              <w:t>High</w:t>
            </w:r>
          </w:p>
        </w:tc>
      </w:tr>
    </w:tbl>
    <w:p w:rsidR="00352F18" w:rsidRPr="00584BAD" w:rsidRDefault="00352F18" w:rsidP="00352F18">
      <w:pPr>
        <w:spacing w:before="0" w:after="0" w:line="276" w:lineRule="auto"/>
        <w:rPr>
          <w:sz w:val="18"/>
          <w:szCs w:val="18"/>
        </w:rPr>
      </w:pPr>
      <w:r w:rsidRPr="00584BAD">
        <w:rPr>
          <w:sz w:val="18"/>
          <w:szCs w:val="18"/>
        </w:rPr>
        <w:t>Source: Country analysis.</w:t>
      </w:r>
    </w:p>
    <w:p w:rsidR="00352F18" w:rsidRPr="00584BAD" w:rsidRDefault="00352F18" w:rsidP="00352F18">
      <w:pPr>
        <w:spacing w:before="0" w:after="200" w:line="276" w:lineRule="auto"/>
        <w:rPr>
          <w:b/>
          <w:color w:val="000000" w:themeColor="text1"/>
        </w:rPr>
      </w:pPr>
      <w:r w:rsidRPr="00584BAD">
        <w:rPr>
          <w:sz w:val="18"/>
          <w:szCs w:val="18"/>
        </w:rPr>
        <w:t>Note: Country characterization of the level of decentralization is very limited, limited, partial and high in that order.</w:t>
      </w:r>
    </w:p>
    <w:p w:rsidR="00B01BD8" w:rsidRPr="00584BAD" w:rsidRDefault="00B01BD8" w:rsidP="00931DAE">
      <w:pPr>
        <w:spacing w:before="0" w:after="200" w:line="276" w:lineRule="auto"/>
        <w:rPr>
          <w:b/>
          <w:color w:val="000000" w:themeColor="text1"/>
        </w:rPr>
      </w:pPr>
      <w:r w:rsidRPr="00584BAD">
        <w:rPr>
          <w:b/>
          <w:color w:val="000000" w:themeColor="text1"/>
        </w:rPr>
        <w:t>Capacity</w:t>
      </w:r>
    </w:p>
    <w:p w:rsidR="00B01BD8" w:rsidRPr="00584BAD" w:rsidRDefault="00B01BD8" w:rsidP="00931DAE">
      <w:pPr>
        <w:spacing w:before="0" w:after="200" w:line="276" w:lineRule="auto"/>
        <w:rPr>
          <w:color w:val="000000" w:themeColor="text1"/>
        </w:rPr>
      </w:pPr>
      <w:r w:rsidRPr="00584BAD">
        <w:rPr>
          <w:b/>
          <w:color w:val="000000" w:themeColor="text1"/>
        </w:rPr>
        <w:tab/>
      </w:r>
      <w:r w:rsidRPr="00584BAD">
        <w:rPr>
          <w:color w:val="000000" w:themeColor="text1"/>
        </w:rPr>
        <w:t>Gender empowerment</w:t>
      </w:r>
    </w:p>
    <w:p w:rsidR="004550E9" w:rsidRDefault="00B61BA4" w:rsidP="00B61BA4">
      <w:pPr>
        <w:spacing w:before="0" w:after="200" w:line="276" w:lineRule="auto"/>
        <w:rPr>
          <w:rFonts w:eastAsia="Times New Roman"/>
          <w:color w:val="000000"/>
        </w:rPr>
      </w:pPr>
      <w:r w:rsidRPr="00584BAD">
        <w:rPr>
          <w:rFonts w:eastAsia="Times New Roman"/>
          <w:color w:val="000000"/>
        </w:rPr>
        <w:t>According to OECD (2014), Bangladesh along with other countries in the South Asia region has some of the highest levels of discrimina</w:t>
      </w:r>
      <w:r>
        <w:rPr>
          <w:rFonts w:eastAsia="Times New Roman"/>
          <w:color w:val="000000"/>
        </w:rPr>
        <w:t xml:space="preserve">tion by all sub-indices of </w:t>
      </w:r>
      <w:proofErr w:type="spellStart"/>
      <w:r>
        <w:rPr>
          <w:rFonts w:eastAsia="Times New Roman"/>
          <w:color w:val="000000"/>
        </w:rPr>
        <w:t>SiGi</w:t>
      </w:r>
      <w:proofErr w:type="spellEnd"/>
      <w:r>
        <w:rPr>
          <w:rFonts w:eastAsia="Times New Roman"/>
          <w:color w:val="000000"/>
        </w:rPr>
        <w:t xml:space="preserve">. Most problematic is </w:t>
      </w:r>
      <w:r>
        <w:rPr>
          <w:rFonts w:eastAsia="Times New Roman"/>
          <w:color w:val="000000"/>
        </w:rPr>
        <w:lastRenderedPageBreak/>
        <w:t>family code and son bias. Legal age at marriage is always controversial and son bias is often taken to the extreme of aborting the girl child. The issue is cultural bias, belief and social norm which can and have been challenged by legal instruments but that has limitation too in the sense that people find ways to bypass these. According to Social Institutions and Gender Index (</w:t>
      </w:r>
      <w:proofErr w:type="spellStart"/>
      <w:r>
        <w:rPr>
          <w:rFonts w:eastAsia="Times New Roman"/>
          <w:color w:val="000000"/>
        </w:rPr>
        <w:t>SiGi</w:t>
      </w:r>
      <w:proofErr w:type="spellEnd"/>
      <w:r>
        <w:rPr>
          <w:rFonts w:eastAsia="Times New Roman"/>
          <w:color w:val="000000"/>
        </w:rPr>
        <w:t>) score, Bangladesh with its score of 0.39 is grouped together with countries with very high gender discrimination (Figure 3</w:t>
      </w:r>
      <w:r w:rsidR="009B3943">
        <w:rPr>
          <w:rFonts w:eastAsia="Times New Roman"/>
          <w:color w:val="000000"/>
        </w:rPr>
        <w:t>2</w:t>
      </w:r>
      <w:r>
        <w:rPr>
          <w:rFonts w:eastAsia="Times New Roman"/>
          <w:color w:val="000000"/>
        </w:rPr>
        <w:t>). More specifically Bangladesh is well behind likes of Nepal, Afghanistan, Pakistan, Cameroon, Cote d’Ivoire, Tanzania, Azerbaijan, Uganda, Kenya and many oth</w:t>
      </w:r>
      <w:r w:rsidR="00086585">
        <w:rPr>
          <w:rFonts w:eastAsia="Times New Roman"/>
          <w:color w:val="000000"/>
        </w:rPr>
        <w:t>ers (Figure 3</w:t>
      </w:r>
      <w:r w:rsidR="009B3943">
        <w:rPr>
          <w:rFonts w:eastAsia="Times New Roman"/>
          <w:color w:val="000000"/>
        </w:rPr>
        <w:t>3</w:t>
      </w:r>
      <w:r>
        <w:rPr>
          <w:rFonts w:eastAsia="Times New Roman"/>
          <w:color w:val="000000"/>
        </w:rPr>
        <w:t xml:space="preserve">). </w:t>
      </w:r>
    </w:p>
    <w:p w:rsidR="00221B36" w:rsidRDefault="009B4F12" w:rsidP="009E349E">
      <w:pPr>
        <w:spacing w:before="0" w:after="200" w:line="276" w:lineRule="auto"/>
      </w:pPr>
      <w:r>
        <w:rPr>
          <w:noProof/>
        </w:rPr>
        <w:drawing>
          <wp:anchor distT="0" distB="0" distL="114300" distR="114300" simplePos="0" relativeHeight="251848704" behindDoc="0" locked="0" layoutInCell="1" allowOverlap="1" wp14:anchorId="47A643C2" wp14:editId="508248C9">
            <wp:simplePos x="0" y="0"/>
            <wp:positionH relativeFrom="margin">
              <wp:align>left</wp:align>
            </wp:positionH>
            <wp:positionV relativeFrom="paragraph">
              <wp:posOffset>449580</wp:posOffset>
            </wp:positionV>
            <wp:extent cx="4130040" cy="2438400"/>
            <wp:effectExtent l="0" t="0" r="3810" b="0"/>
            <wp:wrapSquare wrapText="bothSides"/>
            <wp:docPr id="17428" name="Chart 17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B61BA4">
        <w:rPr>
          <w:rFonts w:eastAsia="Times New Roman"/>
          <w:color w:val="000000"/>
        </w:rPr>
        <w:t xml:space="preserve">Highest political leadership has been vested in women in Bangladesh but politics in general has not been gender neutral. Bangladesh has made immense gain in female education, infant mortality, maternal mortality, fertility and access to credit but these have not translated into gains in terms of property rights, inheritance, entry to business, access to financial services, government service, parliament, local government, access to public space, law enforcement, army, legal profession, sports, violence against women, reproductive autonomy, fertility preferences, divorce, parental authority, gender sensitive budget and the like. </w:t>
      </w:r>
      <w:r w:rsidR="00B61BA4" w:rsidRPr="00611A24">
        <w:rPr>
          <w:rFonts w:eastAsia="Times New Roman"/>
          <w:color w:val="000000"/>
        </w:rPr>
        <w:t xml:space="preserve">According to grouped </w:t>
      </w:r>
      <w:proofErr w:type="spellStart"/>
      <w:r w:rsidR="00B61BA4" w:rsidRPr="00611A24">
        <w:rPr>
          <w:rFonts w:eastAsia="Times New Roman"/>
          <w:color w:val="000000"/>
        </w:rPr>
        <w:t>SiGi</w:t>
      </w:r>
      <w:proofErr w:type="spellEnd"/>
      <w:r w:rsidR="00B61BA4" w:rsidRPr="00611A24">
        <w:rPr>
          <w:rFonts w:eastAsia="Times New Roman"/>
          <w:color w:val="000000"/>
        </w:rPr>
        <w:t xml:space="preserve"> sub-indices, gender discrimination is very high in Bangladesh in discriminatory family code, medium in </w:t>
      </w:r>
      <w:r w:rsidR="00B61BA4">
        <w:rPr>
          <w:rFonts w:eastAsia="Times New Roman"/>
          <w:color w:val="000000"/>
        </w:rPr>
        <w:t>r</w:t>
      </w:r>
      <w:r w:rsidR="00B61BA4" w:rsidRPr="00611A24">
        <w:rPr>
          <w:rFonts w:eastAsia="Times New Roman"/>
          <w:color w:val="000000"/>
        </w:rPr>
        <w:t>estricted physical integrity, very high in son bias, high in restricted resource and assets</w:t>
      </w:r>
      <w:r w:rsidR="00B61BA4">
        <w:rPr>
          <w:rFonts w:eastAsia="Times New Roman"/>
          <w:color w:val="000000"/>
        </w:rPr>
        <w:t xml:space="preserve"> and</w:t>
      </w:r>
      <w:r w:rsidR="00B61BA4" w:rsidRPr="00611A24">
        <w:rPr>
          <w:rFonts w:eastAsia="Times New Roman"/>
          <w:color w:val="000000"/>
        </w:rPr>
        <w:t xml:space="preserve"> medium in restricted civil liberties</w:t>
      </w:r>
      <w:r w:rsidR="00B61BA4">
        <w:rPr>
          <w:rFonts w:eastAsia="Times New Roman"/>
          <w:color w:val="000000"/>
        </w:rPr>
        <w:t xml:space="preserve"> </w:t>
      </w:r>
      <w:r w:rsidR="00B61BA4" w:rsidRPr="00616CE0">
        <w:rPr>
          <w:rFonts w:eastAsia="Times New Roman"/>
          <w:color w:val="000000"/>
        </w:rPr>
        <w:t>(</w:t>
      </w:r>
      <w:r w:rsidR="00B61BA4" w:rsidRPr="00616CE0">
        <w:rPr>
          <w:color w:val="000000" w:themeColor="text1"/>
        </w:rPr>
        <w:t>OECD Development Center, 2014)</w:t>
      </w:r>
      <w:r w:rsidR="00B61BA4" w:rsidRPr="00616CE0">
        <w:rPr>
          <w:rFonts w:eastAsia="Times New Roman"/>
          <w:color w:val="000000"/>
        </w:rPr>
        <w:t>.</w:t>
      </w:r>
      <w:r w:rsidR="00B61BA4">
        <w:rPr>
          <w:rFonts w:eastAsia="Times New Roman"/>
          <w:color w:val="000000"/>
        </w:rPr>
        <w:t xml:space="preserve"> </w:t>
      </w:r>
      <w:r w:rsidR="009E349E">
        <w:rPr>
          <w:rFonts w:eastAsia="Times New Roman"/>
          <w:color w:val="000000"/>
        </w:rPr>
        <w:t xml:space="preserve">The horrifying stories of son preference leading to female infanticide is reported often in newspaper (Huda,2017). </w:t>
      </w:r>
      <w:r w:rsidR="00B61BA4">
        <w:rPr>
          <w:rFonts w:eastAsia="Times New Roman"/>
          <w:color w:val="000000"/>
        </w:rPr>
        <w:t xml:space="preserve">Indeed, improving the status of women in accordance with </w:t>
      </w:r>
      <w:proofErr w:type="spellStart"/>
      <w:r w:rsidR="00B61BA4">
        <w:rPr>
          <w:rFonts w:eastAsia="Times New Roman"/>
          <w:color w:val="000000"/>
        </w:rPr>
        <w:t>SiGi</w:t>
      </w:r>
      <w:proofErr w:type="spellEnd"/>
      <w:r w:rsidR="00B61BA4">
        <w:rPr>
          <w:rFonts w:eastAsia="Times New Roman"/>
          <w:color w:val="000000"/>
        </w:rPr>
        <w:t xml:space="preserve"> score and sub-indices is very daunting. That is the challenge Bangladesh has to take up under SPPB. </w:t>
      </w:r>
    </w:p>
    <w:p w:rsidR="007E7ADA" w:rsidRDefault="00665431" w:rsidP="00221B36">
      <w:pPr>
        <w:rPr>
          <w:sz w:val="18"/>
          <w:szCs w:val="18"/>
        </w:rPr>
      </w:pPr>
      <w:r>
        <w:rPr>
          <w:noProof/>
        </w:rPr>
        <w:lastRenderedPageBreak/>
        <w:drawing>
          <wp:inline distT="0" distB="0" distL="0" distR="0" wp14:anchorId="4C40524F" wp14:editId="5AA281F4">
            <wp:extent cx="4572000" cy="2842260"/>
            <wp:effectExtent l="0" t="0" r="0" b="15240"/>
            <wp:docPr id="17431" name="Chart 17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24E8E" w:rsidRPr="007E7ADA" w:rsidRDefault="00724E8E" w:rsidP="00221B36">
      <w:pPr>
        <w:rPr>
          <w:sz w:val="18"/>
          <w:szCs w:val="18"/>
        </w:rPr>
      </w:pPr>
      <w:r>
        <w:rPr>
          <w:sz w:val="18"/>
          <w:szCs w:val="18"/>
        </w:rPr>
        <w:t>Source: Annex 3</w:t>
      </w:r>
    </w:p>
    <w:p w:rsidR="00B01BD8" w:rsidRDefault="00B01BD8" w:rsidP="003E50F4">
      <w:pPr>
        <w:spacing w:before="0" w:after="200" w:line="276" w:lineRule="auto"/>
        <w:ind w:firstLine="720"/>
        <w:rPr>
          <w:color w:val="000000" w:themeColor="text1"/>
        </w:rPr>
      </w:pPr>
      <w:r w:rsidRPr="00B01BD8">
        <w:rPr>
          <w:color w:val="000000" w:themeColor="text1"/>
        </w:rPr>
        <w:t>Legislature</w:t>
      </w:r>
    </w:p>
    <w:p w:rsidR="008062DF" w:rsidRPr="008062DF" w:rsidRDefault="008062DF" w:rsidP="00931DAE">
      <w:pPr>
        <w:spacing w:before="0" w:after="200" w:line="276" w:lineRule="auto"/>
      </w:pPr>
      <w:r w:rsidRPr="008062DF">
        <w:t xml:space="preserve">Over past decade, the parliament as a decision-making body has become almost dysfunctional with a culture of boycott dominating the landscape since 1991. The parliament is often completely dominated by one major political party with one-sided legislation and constitutional amendment </w:t>
      </w:r>
    </w:p>
    <w:p w:rsidR="004345B3" w:rsidRPr="00132C70" w:rsidRDefault="008062DF" w:rsidP="00132C70">
      <w:pPr>
        <w:spacing w:before="0" w:after="200" w:line="276" w:lineRule="auto"/>
      </w:pPr>
      <w:r>
        <w:t>It is not surprising that t</w:t>
      </w:r>
      <w:r w:rsidR="00EA0B96">
        <w:t xml:space="preserve">he legislature in Bangladesh is non-functional, argumentative, one-sided legislation and more of a theater than serious policy making and legislation. With this state of affairs, the judiciary chooses when or whether or not to play the ball with the legislature. The bureaucracy, on the other hand, welcomes this state of suspended animation because it makes legislators their captive doling out little favors here and there, playing happily the role of sugar daddy benefactors ceding power to the bureaucrats. All governments in Bangladesh have been pawn in the hand of bureaucrats who have consciously decided to be holders of party cadres so to speak permanently stamped as such thereby uplifting or destroying their careers in the process. Surprisingly, both the legislators as well as the bureaucrats consider the game worth it sidelining the interest of the nation and the people. Both the democratic and authoritarian executives of Bangladesh treated the unicameral parliament as rubber stamp bodies and bureaucrats as gatekeepers of privileges to be dispensed to the legislators. Historically, the legislature in Bangladesh has been an insecure body being suspended or sidelined along with the constitution several times in 1979 (the first parliament), 1982 (the second parliament) and twice more (the third </w:t>
      </w:r>
      <w:r w:rsidR="00EA0B96" w:rsidRPr="00132C70">
        <w:t>and the fourth parliament) by the military ruler on demand from the vocal opposition. Even after the restoration of democracy in 1991, the parliament was under seize in 2006 due to a fraudulent election and postponement of election the same year by military intervention (Islam 2005).</w:t>
      </w:r>
    </w:p>
    <w:p w:rsidR="008062DF" w:rsidRPr="00132C70" w:rsidRDefault="008062DF" w:rsidP="00132C70">
      <w:pPr>
        <w:spacing w:before="0" w:after="200" w:line="276" w:lineRule="auto"/>
        <w:rPr>
          <w:color w:val="000000" w:themeColor="text1"/>
        </w:rPr>
      </w:pPr>
      <w:r w:rsidRPr="00132C70">
        <w:lastRenderedPageBreak/>
        <w:t xml:space="preserve">The challenge is how to raise effectiveness of legislature in Bangladesh to institutionalize democracy in Bangladesh. Without a functional legislature, democracy will be meaningless as it is almost now in Bangladesh. One can follow the lead of India. The constitution declared India as a democratic federal republic with a parliamentary system of government. The Indian Parliament is bicameral, Bangladesh unicameral. India is </w:t>
      </w:r>
      <w:proofErr w:type="gramStart"/>
      <w:r w:rsidRPr="00132C70">
        <w:t>an</w:t>
      </w:r>
      <w:proofErr w:type="gramEnd"/>
      <w:r w:rsidRPr="00132C70">
        <w:t xml:space="preserve"> unique example of complete independence of the executive, legislature and the judiciary. </w:t>
      </w:r>
      <w:r w:rsidR="00132C70">
        <w:t xml:space="preserve">As the law-making, law enforcement and adjudicating body, the legislature is presumably the first organ of the government. India understands it and acts accordingly. The legislature provides guidance and lays down rules but in </w:t>
      </w:r>
      <w:proofErr w:type="spellStart"/>
      <w:r w:rsidR="00132C70">
        <w:t>cse</w:t>
      </w:r>
      <w:proofErr w:type="spellEnd"/>
      <w:r w:rsidR="00132C70">
        <w:t xml:space="preserve"> it imposes its will on the other two organs of the government that is not admissible under the constitutions. </w:t>
      </w:r>
      <w:r w:rsidR="00083574">
        <w:t>Parliamentary decisions and legislations follow sensible deliberations, not mired by theatrics and demagoguery. Under no circumstances a parliament is a rubber stamping body. The challenge is how to make these characterizations stick to the national assembly of Bangladesh. The functioning of the national and state legislatures is clearly laid out in the Indian constitution. That is something to be considered when Bangladesh decides to have central as well as provincial legislatures the current divisions converted into provinces.</w:t>
      </w:r>
      <w:r w:rsidR="006E6CC7">
        <w:t xml:space="preserve"> The Indian parliament takes its budget making function very judiciously looking carefully into all proposals for </w:t>
      </w:r>
      <w:r w:rsidR="00FA646C">
        <w:t>revenue and expenditure while going carefully over the previous years’ account. In a way the legislature maintains control over all financial transactions and expenditures incurred by the executive. The Indian parliament has control over the executive through it power to remove the executive or reject a policy or budget or law of the executive.</w:t>
      </w:r>
      <w:r w:rsidR="004B2753">
        <w:t xml:space="preserve"> These are powers as well as responsibilities. The challenge is to raise the comprehension of the Bangladesh legislature to this level.</w:t>
      </w:r>
      <w:r w:rsidR="00083574">
        <w:t xml:space="preserve"> </w:t>
      </w:r>
    </w:p>
    <w:p w:rsidR="00B01BD8" w:rsidRDefault="00B01BD8" w:rsidP="00931DAE">
      <w:pPr>
        <w:spacing w:before="0" w:after="200" w:line="276" w:lineRule="auto"/>
        <w:rPr>
          <w:color w:val="000000" w:themeColor="text1"/>
        </w:rPr>
      </w:pPr>
      <w:r w:rsidRPr="00B01BD8">
        <w:rPr>
          <w:color w:val="000000" w:themeColor="text1"/>
        </w:rPr>
        <w:tab/>
        <w:t>Judiciary</w:t>
      </w:r>
      <w:r w:rsidR="004345B3">
        <w:rPr>
          <w:color w:val="000000" w:themeColor="text1"/>
        </w:rPr>
        <w:t xml:space="preserve"> and the Rule of Law</w:t>
      </w:r>
    </w:p>
    <w:p w:rsidR="00CE380F" w:rsidRPr="005B24C2" w:rsidRDefault="00F332C9" w:rsidP="005B24C2">
      <w:pPr>
        <w:spacing w:before="0" w:after="200" w:line="276" w:lineRule="auto"/>
      </w:pPr>
      <w:r w:rsidRPr="005B24C2">
        <w:t xml:space="preserve">There is an eternal search for independent, separate, effective, efficient, just, impartial, corruption-free, a political and victim-friendly judiciary all over the world Bangladesh included. This is Bangladesh’s perspective for 2041. </w:t>
      </w:r>
      <w:r w:rsidR="00CE380F" w:rsidRPr="005B24C2">
        <w:t xml:space="preserve">Democracy thrives on independence of the three organs of the government namely, the executive, the legislative and the judiciary but preserving the independence (personal, substantive, internal and collective) of judiciary is a challenge even in developed country. Personal independence is freedom from influence including government; substantive independence is decisional freedom; internal freedom means independence from superiors and colleagues; and collective independence means institutional independence. In other words, the judiciary has to be an independent institution. </w:t>
      </w:r>
    </w:p>
    <w:p w:rsidR="005B24C2" w:rsidRPr="005B24C2" w:rsidRDefault="005B24C2" w:rsidP="005B24C2">
      <w:pPr>
        <w:spacing w:before="0" w:after="200" w:line="276" w:lineRule="auto"/>
        <w:rPr>
          <w:color w:val="000000" w:themeColor="text1"/>
        </w:rPr>
      </w:pPr>
      <w:r w:rsidRPr="005B24C2">
        <w:t>The Constitution of Bangladesh provides for independence of judiciary under Articles 7, 35(3) and 116A of Part VI that deals with judiciary. The separation of judiciary is enshrined in Articles 22, 95 (1), 107, 113, 115 and 116. However, despite several attempts to institutionalize separation of power, it finally happened under the caretaker government in 2007.</w:t>
      </w:r>
    </w:p>
    <w:p w:rsidR="00593BB5" w:rsidRPr="00097488" w:rsidRDefault="005B24C2" w:rsidP="00097488">
      <w:pPr>
        <w:spacing w:before="0" w:after="200" w:line="276" w:lineRule="auto"/>
      </w:pPr>
      <w:r w:rsidRPr="005B24C2">
        <w:rPr>
          <w:color w:val="000000" w:themeColor="text1"/>
        </w:rPr>
        <w:t>Hence, i</w:t>
      </w:r>
      <w:r w:rsidR="00593BB5" w:rsidRPr="005B24C2">
        <w:rPr>
          <w:color w:val="000000" w:themeColor="text1"/>
        </w:rPr>
        <w:t>ndependence and separation of judiciary another must</w:t>
      </w:r>
      <w:r w:rsidR="00F2679D" w:rsidRPr="005B24C2">
        <w:rPr>
          <w:color w:val="000000" w:themeColor="text1"/>
        </w:rPr>
        <w:t xml:space="preserve"> </w:t>
      </w:r>
      <w:r w:rsidR="00F2679D" w:rsidRPr="005B24C2">
        <w:t xml:space="preserve">“But in Bangladesh the executive heavily influences the judiciary as the enforcing agency of rules of law. The judiciary appears to be largely subservient to the government in relation to other political such as executive, </w:t>
      </w:r>
      <w:r w:rsidR="00F2679D" w:rsidRPr="005B24C2">
        <w:lastRenderedPageBreak/>
        <w:t xml:space="preserve">legislature and bureaucracy. Particularly the appointment process of justices in the higher courts were not made in line of the </w:t>
      </w:r>
      <w:r w:rsidR="00F2679D" w:rsidRPr="00097488">
        <w:t>spirit of establishing rule of law in the society.” (Islam 2005)</w:t>
      </w:r>
    </w:p>
    <w:p w:rsidR="005B24C2" w:rsidRPr="00097488" w:rsidRDefault="005B24C2" w:rsidP="00097488">
      <w:pPr>
        <w:spacing w:before="0" w:after="200" w:line="276" w:lineRule="auto"/>
      </w:pPr>
      <w:r w:rsidRPr="00097488">
        <w:t>This can be attributed to lack of consciousness, lack of political will, lack of interaction with other courts in foreign countries, lack of strong civil society, lack of democratic culture, executive dominated judiciary (Article 115 requiring appointments by the President has kept the door open for influence), lack of popular access to justice, overlapping competencies, corruption among lawmakers and government negligence. Way out is in independence and separation, respect for judicial decisions and mutual respect, independence in judicial appointments, improvement in court administration, reduced workload, disposal of case back log and improvement of administration of justice (Mollah undated).</w:t>
      </w:r>
    </w:p>
    <w:p w:rsidR="00097488" w:rsidRPr="00097488" w:rsidRDefault="00097488" w:rsidP="00097488">
      <w:pPr>
        <w:spacing w:before="0" w:after="200" w:line="276" w:lineRule="auto"/>
      </w:pPr>
      <w:r w:rsidRPr="00A35463">
        <w:rPr>
          <w:rFonts w:eastAsia="Times New Roman"/>
          <w:color w:val="000000"/>
        </w:rPr>
        <w:t>Looking at the situation in neighboring countries, the Indian judiciary is tainted by corruption even at the highest level, that is the Supreme Court. The system has some of the features observed in Bangladesh, namely, delays</w:t>
      </w:r>
      <w:r w:rsidRPr="00A35463">
        <w:t xml:space="preserve"> in the disposal of cases, shortage of judges and complex procedures (Wikipedia, </w:t>
      </w:r>
      <w:hyperlink r:id="rId67" w:history="1">
        <w:r w:rsidRPr="00A35463">
          <w:rPr>
            <w:rStyle w:val="Hyperlink"/>
            <w:color w:val="000000" w:themeColor="text1"/>
            <w:u w:val="none"/>
          </w:rPr>
          <w:t>https://en.wikipedia.org/wiki/Judiciary_of_India</w:t>
        </w:r>
      </w:hyperlink>
      <w:r w:rsidRPr="00A35463">
        <w:rPr>
          <w:color w:val="000000" w:themeColor="text1"/>
        </w:rPr>
        <w:t>). In Sri Lanka,</w:t>
      </w:r>
      <w:r w:rsidRPr="00A35463">
        <w:t xml:space="preserve"> New constitutions in 1972 and 1978, however, cut back on the judiciary’s protection from</w:t>
      </w:r>
      <w:r w:rsidRPr="00097488">
        <w:t xml:space="preserve"> parliamentary and presidential intrusions. South Asia has been the bastion of judicial independence but at the same time shied away from it.</w:t>
      </w:r>
    </w:p>
    <w:p w:rsidR="006F4BD9" w:rsidRPr="006F4BD9" w:rsidRDefault="00097488" w:rsidP="00097488">
      <w:pPr>
        <w:spacing w:before="0" w:after="200" w:line="276" w:lineRule="auto"/>
        <w:rPr>
          <w:color w:val="000000" w:themeColor="text1"/>
        </w:rPr>
      </w:pPr>
      <w:r>
        <w:t>H</w:t>
      </w:r>
      <w:r w:rsidR="00F2679D" w:rsidRPr="00097488">
        <w:t>aving been threatened by the 16</w:t>
      </w:r>
      <w:r w:rsidR="00F2679D" w:rsidRPr="00097488">
        <w:rPr>
          <w:vertAlign w:val="superscript"/>
        </w:rPr>
        <w:t>th</w:t>
      </w:r>
      <w:r w:rsidR="00F2679D" w:rsidRPr="00097488">
        <w:t xml:space="preserve"> amendment, the judiciary fought back by striking down the amendment through a Supreme</w:t>
      </w:r>
      <w:r w:rsidR="00F2679D" w:rsidRPr="005B24C2">
        <w:t xml:space="preserve"> Court judgement creating an impasse with the legislature and the executive. How this will end will determine the state of independence of judiciary in Bangladesh. </w:t>
      </w:r>
      <w:r w:rsidR="003570BB" w:rsidRPr="005B24C2">
        <w:t>Cross country review shows that the i</w:t>
      </w:r>
      <w:r w:rsidR="00F2679D" w:rsidRPr="005B24C2">
        <w:t>ndependence and integrity of the judiciary is under threat in the majority of developing countries from Angola to Zimbabwe</w:t>
      </w:r>
      <w:r w:rsidR="003570BB" w:rsidRPr="005B24C2">
        <w:t xml:space="preserve"> (author’s analysis of 100 countries).</w:t>
      </w:r>
      <w:r w:rsidR="006F4BD9" w:rsidRPr="005B24C2">
        <w:t xml:space="preserve"> The judiciary in Bangladesh is under stress and threat. The challenge is to have it function independently, honestly, effectively in favor of the aggrieved. Specific challenges are case overload, quality of people, poor incentive, litigating public, political influence, corruption, poor legal education and capacity</w:t>
      </w:r>
      <w:r w:rsidR="00F332C9" w:rsidRPr="005B24C2">
        <w:t>.</w:t>
      </w:r>
    </w:p>
    <w:p w:rsidR="00B01BD8" w:rsidRDefault="00B01BD8" w:rsidP="00063324">
      <w:pPr>
        <w:spacing w:before="0" w:after="200" w:line="276" w:lineRule="auto"/>
      </w:pPr>
      <w:r w:rsidRPr="00B01BD8">
        <w:rPr>
          <w:color w:val="000000" w:themeColor="text1"/>
        </w:rPr>
        <w:tab/>
      </w:r>
      <w:r w:rsidR="0070356F">
        <w:rPr>
          <w:color w:val="000000" w:themeColor="text1"/>
        </w:rPr>
        <w:t xml:space="preserve">The </w:t>
      </w:r>
      <w:r w:rsidRPr="00B01BD8">
        <w:t>Executive</w:t>
      </w:r>
      <w:r w:rsidR="0070356F">
        <w:t>,</w:t>
      </w:r>
      <w:r w:rsidRPr="00B01BD8">
        <w:t xml:space="preserve"> </w:t>
      </w:r>
      <w:r w:rsidR="0070356F">
        <w:t>t</w:t>
      </w:r>
      <w:r w:rsidRPr="00B01BD8">
        <w:t>he Bureaucracy</w:t>
      </w:r>
      <w:r w:rsidR="00D556DA">
        <w:t xml:space="preserve"> and </w:t>
      </w:r>
      <w:r w:rsidR="0070356F">
        <w:t>the L</w:t>
      </w:r>
      <w:r w:rsidR="00D556DA">
        <w:t xml:space="preserve">aw and </w:t>
      </w:r>
      <w:r w:rsidR="0070356F">
        <w:t>O</w:t>
      </w:r>
      <w:r w:rsidR="00D556DA">
        <w:t>rder</w:t>
      </w:r>
      <w:r w:rsidR="0070356F">
        <w:t xml:space="preserve"> agencies</w:t>
      </w:r>
    </w:p>
    <w:p w:rsidR="0070356F" w:rsidRPr="00D375AB" w:rsidRDefault="0070356F" w:rsidP="00D375AB">
      <w:pPr>
        <w:spacing w:before="0" w:after="200" w:line="276" w:lineRule="auto"/>
      </w:pPr>
      <w:r>
        <w:t>The Executive comprising the President, Prime Ministers and the Cabinet ex</w:t>
      </w:r>
      <w:r w:rsidR="00281A9B">
        <w:t xml:space="preserve">ercise enormous power, almost dictatorial sometimes making the working of democracy and law and order agencies a mockery. Islam (2005) says, “… the executive in Bangladesh enjoyed unparalleled power in </w:t>
      </w:r>
      <w:r w:rsidR="00281A9B" w:rsidRPr="00D375AB">
        <w:t xml:space="preserve">the hierarchy of governing organizations virtually with no accountability and minimum concern for public goods. The public sector based economic system also contributed to a further expansion of the role of executive.”  </w:t>
      </w:r>
    </w:p>
    <w:p w:rsidR="00D556DA" w:rsidRPr="00D375AB" w:rsidRDefault="00593BB5" w:rsidP="00D375AB">
      <w:pPr>
        <w:spacing w:before="0" w:after="200" w:line="276" w:lineRule="auto"/>
        <w:rPr>
          <w:color w:val="000000" w:themeColor="text1"/>
        </w:rPr>
      </w:pPr>
      <w:r w:rsidRPr="00D375AB">
        <w:rPr>
          <w:color w:val="000000" w:themeColor="text1"/>
        </w:rPr>
        <w:t>The weakening of the civil service is a fundamental reason for the weakness in public administration today in Bangladesh. Politicization, aborted reform initiatives, ceding of power by politicians to bureaucracy have been the order of the day contrary to the interest of effective service in service of the nation.</w:t>
      </w:r>
    </w:p>
    <w:p w:rsidR="00010D33" w:rsidRPr="00D375AB" w:rsidRDefault="00010D33" w:rsidP="00D375AB">
      <w:pPr>
        <w:spacing w:before="0" w:after="200" w:line="276" w:lineRule="auto"/>
      </w:pPr>
      <w:r w:rsidRPr="00D375AB">
        <w:lastRenderedPageBreak/>
        <w:t>Elitism in civil bureaucracy since the British and successor Pakistani Raj carried over into liberated Bangladesh was degenerative as it led to stunted growth of representative institutions, undermining of democratic values and political leadership, impeded administrative reforms, and contributed to administrative inefficiency and corruption and lack of transparency and accountability. Post liberation Bangladesh could have started fresh with a revolutionary civil service reform but it chose or better was led not to. The Bangladeshi bureaucracy was weak, unprepared and intellectually inferior to the Pakistani breed. The two breeds did not mix well. This served the purpose neither of growth which was pitifully slow nor of poverty reduction which probably increased since the late 1960s culminating in the 1974 famine a direct outcome of mismanagement.</w:t>
      </w:r>
    </w:p>
    <w:p w:rsidR="00D375AB" w:rsidRPr="00D375AB" w:rsidRDefault="00D375AB" w:rsidP="00D375AB">
      <w:pPr>
        <w:spacing w:before="0" w:after="200" w:line="276" w:lineRule="auto"/>
        <w:rPr>
          <w:color w:val="000000" w:themeColor="text1"/>
        </w:rPr>
      </w:pPr>
      <w:r w:rsidRPr="00D375AB">
        <w:t>Amidst all this Bangladesh tried to turn a meek provincial Planning Board into a super bureaucratic institution called the Planning Commission which, instead of addressing the pressing problems of the day focused primarily on preparing the First Five Year Plan. The Plan was a reasonable first attempt but it arrived in the backdrop of an economy that was in doldrums. Economic management was poor especially in the public sector overloaded with nationalized enterprises led mostly by CSPs who were anything but economic managers. The Plan had no answer for how the hapless nation were to face two shocking events, the 1974 famine and the brutal killing of the father of the nation Bangabandhu Sheikh Mujibur Rahman the year after</w:t>
      </w:r>
      <w:r>
        <w:t>. The bureaucracy until today decided to join hand with the power of the day, being totally subservient to it while making conscious efforts to make inroads to influence it.</w:t>
      </w:r>
    </w:p>
    <w:p w:rsidR="00CD4649" w:rsidRDefault="00593BB5" w:rsidP="00010D33">
      <w:pPr>
        <w:spacing w:before="0" w:after="200" w:line="276" w:lineRule="auto"/>
      </w:pPr>
      <w:r w:rsidRPr="00010D33">
        <w:rPr>
          <w:color w:val="000000" w:themeColor="text1"/>
        </w:rPr>
        <w:t>Administrative reform is a must</w:t>
      </w:r>
      <w:r w:rsidR="00CD4649">
        <w:rPr>
          <w:color w:val="000000" w:themeColor="text1"/>
        </w:rPr>
        <w:t xml:space="preserve">. </w:t>
      </w:r>
      <w:r w:rsidR="00CD4649" w:rsidRPr="002B5866">
        <w:t xml:space="preserve">Bangladesh must continue to uphold the principles of nationalism, secularism, democracy and inclusivity in politics and economics and introduce true civil service reforms which have been in limbo for years. The Administrative and Services Reorganization Committee (ASRC) and the National Pay Commission were set up to address imbalances in the civil bureaucracy but given the hostility of the elite senior bureaucrats not much happened by way of implementation, service reorganization was shelved (Mollah 2011). Pay revision appears to be easier deal than service reorganization. The latest round of pay revision in 2015 was received well though some quarters had expressed reservations. </w:t>
      </w:r>
    </w:p>
    <w:p w:rsidR="00593BB5" w:rsidRPr="00010D33" w:rsidRDefault="00CD4649" w:rsidP="00010D33">
      <w:pPr>
        <w:spacing w:before="0" w:after="200" w:line="276" w:lineRule="auto"/>
        <w:rPr>
          <w:color w:val="000000" w:themeColor="text1"/>
        </w:rPr>
      </w:pPr>
      <w:r w:rsidRPr="002B5866">
        <w:t>The effort of the late 1970s to professionalize civil service creating classless service and instituting a senior service pool (SSP) and the subsequent ascendency of the civil service sharing power with the army during much of the 1980s supported by administrative reorganization and streamlining did not make any material difference in the character of the bureaucracy or its impact on growth and poverty reduction due primarily to reluctance to reform (</w:t>
      </w:r>
      <w:proofErr w:type="spellStart"/>
      <w:r w:rsidRPr="002B5866">
        <w:t>Zafarullah</w:t>
      </w:r>
      <w:proofErr w:type="spellEnd"/>
      <w:r w:rsidRPr="002B5866">
        <w:t xml:space="preserve"> as quoted in Mollah 2011). The Administrative Reorganization Committee (ARC) of the early 1990s produced a detailed report with nowhere to go amid mutual suspicion of bureaucrats and politicians. The same was the fate of the recommendations made later by the Public Administration Reform Commission (PARC) which could not be implemented due to bureaucratic resistance and politics.</w:t>
      </w:r>
    </w:p>
    <w:p w:rsidR="00010D33" w:rsidRPr="00F476A2" w:rsidRDefault="00593BB5" w:rsidP="00F476A2">
      <w:pPr>
        <w:spacing w:before="0" w:after="200" w:line="276" w:lineRule="auto"/>
        <w:rPr>
          <w:color w:val="000000" w:themeColor="text1"/>
        </w:rPr>
      </w:pPr>
      <w:r w:rsidRPr="00010D33">
        <w:rPr>
          <w:color w:val="000000" w:themeColor="text1"/>
        </w:rPr>
        <w:lastRenderedPageBreak/>
        <w:t xml:space="preserve">Khalid </w:t>
      </w:r>
      <w:r w:rsidR="00D82141">
        <w:rPr>
          <w:color w:val="000000" w:themeColor="text1"/>
        </w:rPr>
        <w:t xml:space="preserve">Shams </w:t>
      </w:r>
      <w:r w:rsidR="00D82141" w:rsidRPr="00F476A2">
        <w:rPr>
          <w:color w:val="000000" w:themeColor="text1"/>
        </w:rPr>
        <w:t xml:space="preserve">summarizes the state of law enforcement in Bangladesh </w:t>
      </w:r>
      <w:r w:rsidRPr="00F476A2">
        <w:rPr>
          <w:color w:val="000000" w:themeColor="text1"/>
        </w:rPr>
        <w:t>say</w:t>
      </w:r>
      <w:r w:rsidR="00D82141" w:rsidRPr="00F476A2">
        <w:rPr>
          <w:color w:val="000000" w:themeColor="text1"/>
        </w:rPr>
        <w:t>ing</w:t>
      </w:r>
      <w:r w:rsidRPr="00F476A2">
        <w:rPr>
          <w:color w:val="000000" w:themeColor="text1"/>
        </w:rPr>
        <w:t xml:space="preserve"> law enforcement system in almost all the sectors needs to be strengthened and professionalized</w:t>
      </w:r>
      <w:r w:rsidR="00F476A2">
        <w:rPr>
          <w:color w:val="000000" w:themeColor="text1"/>
        </w:rPr>
        <w:t xml:space="preserve"> (</w:t>
      </w:r>
      <w:r w:rsidR="002C02F5">
        <w:rPr>
          <w:color w:val="000000" w:themeColor="text1"/>
        </w:rPr>
        <w:t xml:space="preserve">Shams </w:t>
      </w:r>
      <w:r w:rsidR="00F476A2">
        <w:rPr>
          <w:color w:val="000000" w:themeColor="text1"/>
        </w:rPr>
        <w:t>2015)</w:t>
      </w:r>
      <w:r w:rsidR="00010D33" w:rsidRPr="00F476A2">
        <w:rPr>
          <w:color w:val="000000" w:themeColor="text1"/>
        </w:rPr>
        <w:t>.</w:t>
      </w:r>
    </w:p>
    <w:p w:rsidR="007E021B" w:rsidRPr="002C02F5" w:rsidRDefault="00F476A2" w:rsidP="002C02F5">
      <w:pPr>
        <w:spacing w:before="0" w:after="200" w:line="276" w:lineRule="auto"/>
        <w:rPr>
          <w:color w:val="000000" w:themeColor="text1"/>
        </w:rPr>
      </w:pPr>
      <w:r w:rsidRPr="00F476A2">
        <w:rPr>
          <w:color w:val="000000" w:themeColor="text1"/>
        </w:rPr>
        <w:t xml:space="preserve">No one can deny that law and order is an important element in the peace, stability, growth and poverty reduction nexus. Institutions of law and order have to abide by norms of law and order behaving as source of </w:t>
      </w:r>
      <w:r w:rsidRPr="002C02F5">
        <w:rPr>
          <w:color w:val="000000" w:themeColor="text1"/>
        </w:rPr>
        <w:t>comfort, security and stability and should not pose as threat to life and property of ordinary or corporate citizens alike. Bangladesh scores poorly in rule of law index (Figure 34). In Bangladesh the line is often blurred due to over enthusiasm, political patronage and criminal intent. However, there is the issue of manpower. Bangladesh has one of the lowest ratio of police personnel to population</w:t>
      </w:r>
      <w:r w:rsidR="002C02F5">
        <w:rPr>
          <w:color w:val="000000" w:themeColor="text1"/>
        </w:rPr>
        <w:t xml:space="preserve"> (Shams 2015)</w:t>
      </w:r>
      <w:r w:rsidRPr="002C02F5">
        <w:rPr>
          <w:color w:val="000000" w:themeColor="text1"/>
        </w:rPr>
        <w:t>.</w:t>
      </w:r>
    </w:p>
    <w:tbl>
      <w:tblPr>
        <w:tblW w:w="7416" w:type="dxa"/>
        <w:tblLook w:val="04A0" w:firstRow="1" w:lastRow="0" w:firstColumn="1" w:lastColumn="0" w:noHBand="0" w:noVBand="1"/>
      </w:tblPr>
      <w:tblGrid>
        <w:gridCol w:w="1176"/>
        <w:gridCol w:w="960"/>
        <w:gridCol w:w="960"/>
        <w:gridCol w:w="960"/>
        <w:gridCol w:w="960"/>
        <w:gridCol w:w="960"/>
        <w:gridCol w:w="960"/>
        <w:gridCol w:w="480"/>
      </w:tblGrid>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ascii="Calibri" w:eastAsia="Times New Roman" w:hAnsi="Calibri" w:cs="Calibri"/>
                <w:color w:val="000000"/>
              </w:rPr>
            </w:pPr>
            <w:r w:rsidRPr="007E021B">
              <w:rPr>
                <w:rFonts w:ascii="Calibri" w:eastAsia="Times New Roman" w:hAnsi="Calibri" w:cs="Calibri"/>
                <w:noProof/>
                <w:color w:val="000000"/>
              </w:rPr>
              <w:drawing>
                <wp:anchor distT="0" distB="0" distL="114300" distR="114300" simplePos="0" relativeHeight="251850752" behindDoc="0" locked="0" layoutInCell="1" allowOverlap="1" wp14:anchorId="683C2156" wp14:editId="242C59B6">
                  <wp:simplePos x="0" y="0"/>
                  <wp:positionH relativeFrom="column">
                    <wp:posOffset>7620</wp:posOffset>
                  </wp:positionH>
                  <wp:positionV relativeFrom="paragraph">
                    <wp:posOffset>-15240</wp:posOffset>
                  </wp:positionV>
                  <wp:extent cx="4572000" cy="2750820"/>
                  <wp:effectExtent l="0" t="0" r="0" b="1143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476A2" w:rsidRPr="007E021B" w:rsidTr="00386CD1">
              <w:trPr>
                <w:trHeight w:val="240"/>
                <w:tblCellSpacing w:w="0" w:type="dxa"/>
              </w:trPr>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ascii="Calibri" w:eastAsia="Times New Roman" w:hAnsi="Calibri" w:cs="Calibri"/>
                      <w:color w:val="000000"/>
                    </w:rPr>
                  </w:pPr>
                </w:p>
              </w:tc>
            </w:tr>
          </w:tbl>
          <w:p w:rsidR="00F476A2" w:rsidRPr="007E021B" w:rsidRDefault="00F476A2" w:rsidP="00386CD1">
            <w:pPr>
              <w:spacing w:before="0" w:after="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1176"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r w:rsidR="00F476A2" w:rsidRPr="007E021B" w:rsidTr="00386CD1">
        <w:trPr>
          <w:trHeight w:val="240"/>
        </w:trPr>
        <w:tc>
          <w:tcPr>
            <w:tcW w:w="2136" w:type="dxa"/>
            <w:gridSpan w:val="2"/>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color w:val="000000"/>
                <w:sz w:val="18"/>
                <w:szCs w:val="18"/>
              </w:rPr>
            </w:pPr>
            <w:r w:rsidRPr="007E021B">
              <w:rPr>
                <w:rFonts w:eastAsia="Times New Roman"/>
                <w:color w:val="000000"/>
                <w:sz w:val="18"/>
                <w:szCs w:val="18"/>
              </w:rPr>
              <w:t>Source: Annex 2</w:t>
            </w: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color w:val="000000"/>
                <w:sz w:val="18"/>
                <w:szCs w:val="18"/>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96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c>
          <w:tcPr>
            <w:tcW w:w="480" w:type="dxa"/>
            <w:tcBorders>
              <w:top w:val="nil"/>
              <w:left w:val="nil"/>
              <w:bottom w:val="nil"/>
              <w:right w:val="nil"/>
            </w:tcBorders>
            <w:shd w:val="clear" w:color="auto" w:fill="auto"/>
            <w:noWrap/>
            <w:vAlign w:val="bottom"/>
            <w:hideMark/>
          </w:tcPr>
          <w:p w:rsidR="00F476A2" w:rsidRPr="007E021B" w:rsidRDefault="00F476A2" w:rsidP="00386CD1">
            <w:pPr>
              <w:spacing w:before="0" w:after="0"/>
              <w:rPr>
                <w:rFonts w:eastAsia="Times New Roman"/>
                <w:sz w:val="20"/>
                <w:szCs w:val="20"/>
              </w:rPr>
            </w:pPr>
          </w:p>
        </w:tc>
      </w:tr>
    </w:tbl>
    <w:p w:rsidR="00F476A2" w:rsidRDefault="00F476A2" w:rsidP="00010D33">
      <w:pPr>
        <w:spacing w:before="0" w:after="200" w:line="276" w:lineRule="auto"/>
      </w:pPr>
    </w:p>
    <w:p w:rsidR="00593BB5" w:rsidRPr="00010D33" w:rsidRDefault="00010D33" w:rsidP="00010D33">
      <w:pPr>
        <w:spacing w:before="0" w:after="200" w:line="276" w:lineRule="auto"/>
      </w:pPr>
      <w:r w:rsidRPr="00010D33">
        <w:t xml:space="preserve">The challenge is embedded in this quote “The structure and working patterns of bureaucracy in Bangladesh are a legacy of British colonial rule, which impeded reform efforts after Independence and caused </w:t>
      </w:r>
      <w:r w:rsidR="00D375AB" w:rsidRPr="00010D33">
        <w:t>politicization</w:t>
      </w:r>
      <w:r w:rsidRPr="00010D33">
        <w:t xml:space="preserve"> of the administration and governance. Civil-military elitisms reduced accountability of the administration, resulting in a dominating bureaucratic structure with corruption.” (Mollah 2011) from Ahmed, Alamgir and Mujeri (2016)</w:t>
      </w:r>
      <w:r w:rsidR="002C02F5">
        <w:t xml:space="preserve">. As for rule </w:t>
      </w:r>
      <w:proofErr w:type="spellStart"/>
      <w:r w:rsidR="002C02F5">
        <w:t>od</w:t>
      </w:r>
      <w:proofErr w:type="spellEnd"/>
      <w:r w:rsidR="002C02F5">
        <w:t xml:space="preserve"> law the twin challenges are corruption and institutional subversion of the rule of law.</w:t>
      </w:r>
      <w:r w:rsidR="00396777" w:rsidRPr="00010D33">
        <w:rPr>
          <w:color w:val="000000" w:themeColor="text1"/>
        </w:rPr>
        <w:t xml:space="preserve"> </w:t>
      </w:r>
    </w:p>
    <w:p w:rsidR="00396777" w:rsidRPr="00010D33" w:rsidRDefault="00396777" w:rsidP="00010D33">
      <w:pPr>
        <w:spacing w:before="0" w:after="200" w:line="276" w:lineRule="auto"/>
        <w:ind w:firstLine="720"/>
      </w:pPr>
      <w:r w:rsidRPr="00010D33">
        <w:t>Political institutions</w:t>
      </w:r>
    </w:p>
    <w:p w:rsidR="00CA02A0" w:rsidRPr="00CA02A0" w:rsidRDefault="00CA02A0" w:rsidP="00010D33">
      <w:pPr>
        <w:spacing w:before="0" w:after="200" w:line="276" w:lineRule="auto"/>
        <w:rPr>
          <w:color w:val="000000" w:themeColor="text1"/>
        </w:rPr>
      </w:pPr>
      <w:r w:rsidRPr="00CA02A0">
        <w:rPr>
          <w:color w:val="282828"/>
        </w:rPr>
        <w:t>Political institutions are organizations which create, enforce and apply laws. They often mediate conflict, make (governmental) policy on the economy and social systems and otherwise provide representation for the populous. Learn how political institutions impact the law, economy, culture and society as a whole</w:t>
      </w:r>
      <w:proofErr w:type="gramStart"/>
      <w:r w:rsidRPr="00CA02A0">
        <w:rPr>
          <w:color w:val="282828"/>
        </w:rPr>
        <w:t>….Examples</w:t>
      </w:r>
      <w:proofErr w:type="gramEnd"/>
      <w:r w:rsidRPr="00CA02A0">
        <w:rPr>
          <w:color w:val="282828"/>
        </w:rPr>
        <w:t xml:space="preserve"> of such political institutions include political parties, trade unions, and the (legal) courts. (</w:t>
      </w:r>
      <w:proofErr w:type="spellStart"/>
      <w:r w:rsidRPr="00CA02A0">
        <w:rPr>
          <w:color w:val="282828"/>
        </w:rPr>
        <w:t>Allstair</w:t>
      </w:r>
      <w:proofErr w:type="spellEnd"/>
      <w:r w:rsidRPr="00CA02A0">
        <w:rPr>
          <w:color w:val="282828"/>
        </w:rPr>
        <w:t xml:space="preserve"> Boddy-Evans, 2017 </w:t>
      </w:r>
      <w:hyperlink r:id="rId69" w:history="1">
        <w:r w:rsidRPr="00CA02A0">
          <w:rPr>
            <w:rStyle w:val="Hyperlink"/>
          </w:rPr>
          <w:t>https://www.thoughtco.com/political-institutions-44026</w:t>
        </w:r>
      </w:hyperlink>
      <w:r w:rsidRPr="00CA02A0">
        <w:rPr>
          <w:color w:val="282828"/>
        </w:rPr>
        <w:t>)</w:t>
      </w:r>
    </w:p>
    <w:p w:rsidR="001F7F6E" w:rsidRDefault="00900420" w:rsidP="00010D33">
      <w:pPr>
        <w:spacing w:before="0" w:after="200" w:line="276" w:lineRule="auto"/>
        <w:rPr>
          <w:color w:val="000000" w:themeColor="text1"/>
        </w:rPr>
      </w:pPr>
      <w:r w:rsidRPr="00010D33">
        <w:rPr>
          <w:color w:val="000000" w:themeColor="text1"/>
        </w:rPr>
        <w:lastRenderedPageBreak/>
        <w:t xml:space="preserve">Political institutions are countervailing force to authoritarian trend or tendency in the government, the leadership or any other institution like the armed forces and the law and order agencies. </w:t>
      </w:r>
      <w:r w:rsidR="003F397D" w:rsidRPr="00010D33">
        <w:rPr>
          <w:color w:val="000000" w:themeColor="text1"/>
        </w:rPr>
        <w:t xml:space="preserve">According to Islam (2005) </w:t>
      </w:r>
      <w:r w:rsidRPr="00010D33">
        <w:rPr>
          <w:color w:val="000000" w:themeColor="text1"/>
        </w:rPr>
        <w:t>“</w:t>
      </w:r>
      <w:r w:rsidR="003F397D" w:rsidRPr="00010D33">
        <w:rPr>
          <w:color w:val="000000" w:themeColor="text1"/>
        </w:rPr>
        <w:t>Political institutions matter for the quality of governance in a country. …</w:t>
      </w:r>
      <w:r w:rsidRPr="00010D33">
        <w:t xml:space="preserve">Political institutions could help determine the limits on the arbitrary exercise of power by politicians and bureaucrats.” </w:t>
      </w:r>
      <w:r w:rsidR="008502BF" w:rsidRPr="00010D33">
        <w:t xml:space="preserve">In Bangladesh, political institutions are inherently weak resulting in occasional surrender of power to military autocracy until </w:t>
      </w:r>
      <w:r w:rsidR="00716E6C" w:rsidRPr="00010D33">
        <w:t>people rise to the occasion and reclaim power</w:t>
      </w:r>
      <w:r w:rsidR="00716E6C">
        <w:t xml:space="preserve"> from the usurpers of power.</w:t>
      </w:r>
      <w:r w:rsidR="008502BF">
        <w:t xml:space="preserve"> </w:t>
      </w:r>
    </w:p>
    <w:p w:rsidR="00CA3550" w:rsidRDefault="00CA3550" w:rsidP="00694F2A">
      <w:pPr>
        <w:spacing w:before="0" w:after="200" w:line="276" w:lineRule="auto"/>
        <w:rPr>
          <w:color w:val="000000" w:themeColor="text1"/>
        </w:rPr>
      </w:pPr>
      <w:r>
        <w:rPr>
          <w:color w:val="000000" w:themeColor="text1"/>
        </w:rPr>
        <w:t>Political institutions are pillars of pluralistic democracy and representative government.</w:t>
      </w:r>
      <w:r w:rsidR="00716E6C">
        <w:rPr>
          <w:color w:val="000000" w:themeColor="text1"/>
        </w:rPr>
        <w:t xml:space="preserve"> This is not fully appreciated by political forces in Bangladesh which considers institutions as barriers to rather than aid to political processes to play their legitimate role of resolving conflicts and promoting collective welfare in the spirit of cooperation and coordination.  </w:t>
      </w:r>
    </w:p>
    <w:p w:rsidR="00CA3550" w:rsidRDefault="00CA3550" w:rsidP="00694F2A">
      <w:pPr>
        <w:spacing w:before="0" w:after="200" w:line="276" w:lineRule="auto"/>
        <w:rPr>
          <w:color w:val="000000" w:themeColor="text1"/>
        </w:rPr>
      </w:pPr>
      <w:r>
        <w:rPr>
          <w:color w:val="000000" w:themeColor="text1"/>
        </w:rPr>
        <w:t>Political institutions should have clear mandate and philosophy.</w:t>
      </w:r>
      <w:r w:rsidR="00716E6C">
        <w:rPr>
          <w:color w:val="000000" w:themeColor="text1"/>
        </w:rPr>
        <w:t xml:space="preserve"> This is lacking in Bangladesh. </w:t>
      </w:r>
    </w:p>
    <w:p w:rsidR="00396777" w:rsidRPr="00396777" w:rsidRDefault="00396777" w:rsidP="00694F2A">
      <w:pPr>
        <w:spacing w:before="0" w:after="200" w:line="276" w:lineRule="auto"/>
        <w:rPr>
          <w:color w:val="000000" w:themeColor="text1"/>
        </w:rPr>
      </w:pPr>
      <w:r w:rsidRPr="00396777">
        <w:rPr>
          <w:color w:val="000000" w:themeColor="text1"/>
        </w:rPr>
        <w:t>Political institutions are critical to ensure political stability while also providing an enabling environment for rapid growth and poverty reduction</w:t>
      </w:r>
      <w:r w:rsidR="00CA3550">
        <w:rPr>
          <w:color w:val="000000" w:themeColor="text1"/>
        </w:rPr>
        <w:t>.</w:t>
      </w:r>
    </w:p>
    <w:p w:rsidR="00396777" w:rsidRPr="00396777" w:rsidRDefault="00396777" w:rsidP="00694F2A">
      <w:pPr>
        <w:spacing w:before="0" w:after="200" w:line="276" w:lineRule="auto"/>
        <w:rPr>
          <w:color w:val="000000" w:themeColor="text1"/>
        </w:rPr>
      </w:pPr>
      <w:r w:rsidRPr="00396777">
        <w:rPr>
          <w:color w:val="000000" w:themeColor="text1"/>
        </w:rPr>
        <w:t xml:space="preserve">All political institutions and political parties are the custodian of political stability. </w:t>
      </w:r>
    </w:p>
    <w:p w:rsidR="00396777" w:rsidRPr="00396777" w:rsidRDefault="00396777" w:rsidP="00694F2A">
      <w:pPr>
        <w:spacing w:before="0" w:after="200" w:line="276" w:lineRule="auto"/>
        <w:rPr>
          <w:color w:val="000000" w:themeColor="text1"/>
        </w:rPr>
      </w:pPr>
      <w:r w:rsidRPr="00396777">
        <w:rPr>
          <w:color w:val="000000" w:themeColor="text1"/>
        </w:rPr>
        <w:t xml:space="preserve">Representative governments and fair and balanced representation bring maturity to political institutions. Otherwise political institutions remain weak and instability reigns supreme. </w:t>
      </w:r>
    </w:p>
    <w:p w:rsidR="009B4F12" w:rsidRDefault="009B4F12" w:rsidP="009B4F12">
      <w:pPr>
        <w:spacing w:before="0" w:after="200" w:line="276" w:lineRule="auto"/>
        <w:rPr>
          <w:color w:val="000000" w:themeColor="text1"/>
        </w:rPr>
      </w:pPr>
      <w:r>
        <w:rPr>
          <w:color w:val="000000" w:themeColor="text1"/>
        </w:rPr>
        <w:t>Democracy can thrive only on democratic political institutions. Political parties have to be democratic, transparent, accountable and inclusive. According to analysts the situation in Bangladesh is to the contrary. Political leadership tends to be autocratic, dismissive of dissenting voices including the opposition. The political parties and their leadership are in principle guardians of democracy and protectors of democratic values but the process is undermined by non-democratic practices within parties themselves.</w:t>
      </w:r>
      <w:r w:rsidRPr="00155F2D">
        <w:rPr>
          <w:color w:val="000000" w:themeColor="text1"/>
        </w:rPr>
        <w:t xml:space="preserve"> </w:t>
      </w:r>
      <w:r>
        <w:rPr>
          <w:color w:val="000000" w:themeColor="text1"/>
        </w:rPr>
        <w:t>All political parties should adhere to the concept of pluralistic democracy in the conduct of their affairs just as in the nation.</w:t>
      </w:r>
    </w:p>
    <w:p w:rsidR="009B4F12" w:rsidRPr="00631B9B" w:rsidRDefault="009B4F12" w:rsidP="00631B9B">
      <w:pPr>
        <w:spacing w:before="0" w:after="200" w:line="276" w:lineRule="auto"/>
        <w:rPr>
          <w:color w:val="000000" w:themeColor="text1"/>
        </w:rPr>
      </w:pPr>
      <w:r>
        <w:rPr>
          <w:color w:val="000000"/>
        </w:rPr>
        <w:t>According to Rashid (2015), “</w:t>
      </w:r>
      <w:r w:rsidRPr="00061BC3">
        <w:rPr>
          <w:color w:val="000000"/>
        </w:rPr>
        <w:t xml:space="preserve">From the party constitutions of the two major political parties in Bangladesh, AL and BNP, it is found that there are no provisions regarding general members' rights…. The provisions in the two major parties of Bangladesh regarding party conference remain vague and leave scope for more </w:t>
      </w:r>
      <w:proofErr w:type="spellStart"/>
      <w:r w:rsidRPr="00061BC3">
        <w:rPr>
          <w:color w:val="000000"/>
        </w:rPr>
        <w:t>centralised</w:t>
      </w:r>
      <w:proofErr w:type="spellEnd"/>
      <w:r w:rsidRPr="00061BC3">
        <w:rPr>
          <w:color w:val="000000"/>
        </w:rPr>
        <w:t xml:space="preserve"> decision-making by the party leaders…. Conversely, none of the constitutions of the two major parties of Bangladesh offer any dedicated, independent or representative dispute resolution body. … The provision of nominating members by the party head in the national executive level of both AL and BNP further undermines the democratic recruitment process. The accountability mechanism for the national executives of AL and BNP is also completely absent in their constitutions. None of the bodies are accountable to the party members or to the party conference. Additionally, the constitutions do not provide any explicit or independent mechanism to control the body of national executive, paving the way for the possibility of the national executives of both the parties to become autocratic in certain </w:t>
      </w:r>
      <w:r w:rsidRPr="00631B9B">
        <w:rPr>
          <w:color w:val="000000"/>
        </w:rPr>
        <w:lastRenderedPageBreak/>
        <w:t>situations…. In the constitution of AL and BNP, there is no clear provision for the general members or sub-national units to vote upon the manifesto.”</w:t>
      </w:r>
    </w:p>
    <w:p w:rsidR="00CA3550" w:rsidRPr="00631B9B" w:rsidRDefault="00B81DB0" w:rsidP="00631B9B">
      <w:pPr>
        <w:spacing w:before="0" w:after="200" w:line="276" w:lineRule="auto"/>
        <w:rPr>
          <w:color w:val="000000" w:themeColor="text1"/>
        </w:rPr>
      </w:pPr>
      <w:r w:rsidRPr="00631B9B">
        <w:rPr>
          <w:color w:val="000000" w:themeColor="text1"/>
        </w:rPr>
        <w:t xml:space="preserve">The challenge for SPPB is to improve </w:t>
      </w:r>
      <w:r w:rsidR="00CA3550" w:rsidRPr="00631B9B">
        <w:rPr>
          <w:color w:val="000000" w:themeColor="text1"/>
        </w:rPr>
        <w:t>the quality of politics and political institutions</w:t>
      </w:r>
      <w:r w:rsidR="00110532" w:rsidRPr="00631B9B">
        <w:rPr>
          <w:color w:val="000000" w:themeColor="text1"/>
        </w:rPr>
        <w:t>.</w:t>
      </w:r>
      <w:r w:rsidR="00063324" w:rsidRPr="00631B9B">
        <w:rPr>
          <w:color w:val="000000" w:themeColor="text1"/>
        </w:rPr>
        <w:t xml:space="preserve"> </w:t>
      </w:r>
      <w:r w:rsidR="00005632" w:rsidRPr="00F25A77">
        <w:t>Political institutions should provide security of life and human dignity</w:t>
      </w:r>
      <w:r w:rsidR="00005632">
        <w:t>.</w:t>
      </w:r>
      <w:r w:rsidR="00005632" w:rsidRPr="00631B9B">
        <w:rPr>
          <w:color w:val="000000" w:themeColor="text1"/>
        </w:rPr>
        <w:t xml:space="preserve"> </w:t>
      </w:r>
      <w:r w:rsidR="00063324" w:rsidRPr="00631B9B">
        <w:rPr>
          <w:color w:val="000000" w:themeColor="text1"/>
        </w:rPr>
        <w:t>Under normal institutional practices all legitimate political parties should be allowed to participate in the democratic electoral process equally without fear or favor.</w:t>
      </w:r>
      <w:r w:rsidR="003570BB" w:rsidRPr="00631B9B">
        <w:rPr>
          <w:rFonts w:asciiTheme="minorHAnsi" w:eastAsiaTheme="minorEastAsia" w:hAnsi="Century Gothic"/>
          <w:color w:val="404040" w:themeColor="text1" w:themeTint="BF"/>
          <w:kern w:val="24"/>
        </w:rPr>
        <w:t xml:space="preserve"> </w:t>
      </w:r>
      <w:r w:rsidR="00631B9B" w:rsidRPr="00631B9B">
        <w:t>The real challenge is to strengthen political institutions to steer the country along stable and inclusive development path in a sustainable way. The related challenge is to prod political parties to adhere to the principles of pluralistic democracy,</w:t>
      </w:r>
    </w:p>
    <w:p w:rsidR="007672B9" w:rsidRPr="00631B9B" w:rsidRDefault="007672B9" w:rsidP="00631B9B">
      <w:pPr>
        <w:spacing w:before="0" w:after="200" w:line="276" w:lineRule="auto"/>
        <w:ind w:firstLine="720"/>
      </w:pPr>
      <w:r w:rsidRPr="00631B9B">
        <w:t>Social institutions</w:t>
      </w:r>
    </w:p>
    <w:p w:rsidR="00F25A77" w:rsidRPr="00027891" w:rsidRDefault="006E026C" w:rsidP="00027891">
      <w:pPr>
        <w:spacing w:before="0" w:after="200" w:line="276" w:lineRule="auto"/>
      </w:pPr>
      <w:r>
        <w:t xml:space="preserve">Civil society </w:t>
      </w:r>
      <w:r w:rsidR="007672B9" w:rsidRPr="00631B9B">
        <w:t xml:space="preserve">organizations </w:t>
      </w:r>
      <w:r>
        <w:t>(</w:t>
      </w:r>
      <w:r w:rsidR="00027891">
        <w:t>CSOs</w:t>
      </w:r>
      <w:r>
        <w:t xml:space="preserve">) </w:t>
      </w:r>
      <w:r w:rsidR="007672B9" w:rsidRPr="00631B9B">
        <w:t>need to be closer to people</w:t>
      </w:r>
      <w:r w:rsidR="008942C3">
        <w:t xml:space="preserve">. </w:t>
      </w:r>
      <w:r w:rsidR="007672B9" w:rsidRPr="00631B9B">
        <w:t>Social inclusion needs</w:t>
      </w:r>
      <w:r w:rsidR="007672B9" w:rsidRPr="00CB1DC8">
        <w:t xml:space="preserve"> social institutions to comply with norms and principles of inclusion</w:t>
      </w:r>
      <w:r w:rsidR="008D74E9">
        <w:t xml:space="preserve">. </w:t>
      </w:r>
      <w:r w:rsidR="00EC6834" w:rsidRPr="00F25A77">
        <w:t>Even with impressive economic and social progress there shall always be some that are poor and disadvantage</w:t>
      </w:r>
      <w:r w:rsidR="008D74E9">
        <w:t xml:space="preserve">. </w:t>
      </w:r>
      <w:r w:rsidR="00EC6834" w:rsidRPr="00F25A77">
        <w:t xml:space="preserve">Social safety net is welcome but all </w:t>
      </w:r>
      <w:r w:rsidR="008D74E9">
        <w:t xml:space="preserve">social </w:t>
      </w:r>
      <w:r w:rsidR="00EC6834" w:rsidRPr="00F25A77">
        <w:t>institutions too must be at their service</w:t>
      </w:r>
      <w:r w:rsidR="008D74E9">
        <w:t xml:space="preserve">. </w:t>
      </w:r>
      <w:r w:rsidR="00EC6834" w:rsidRPr="00F25A77">
        <w:t xml:space="preserve">Development institutions </w:t>
      </w:r>
      <w:r w:rsidR="008D74E9">
        <w:t xml:space="preserve">(civil society and public) </w:t>
      </w:r>
      <w:r w:rsidR="00EC6834" w:rsidRPr="00F25A77">
        <w:t xml:space="preserve">should </w:t>
      </w:r>
      <w:r w:rsidR="00EC6834" w:rsidRPr="00027891">
        <w:t>devise sustainable programs of support</w:t>
      </w:r>
      <w:r w:rsidR="008D74E9" w:rsidRPr="00027891">
        <w:t xml:space="preserve"> recognizing though that </w:t>
      </w:r>
      <w:r w:rsidR="00F25A77" w:rsidRPr="00027891">
        <w:t>in the final analysis it is the nation as an institution and its people as an institution that have to protect the poor.</w:t>
      </w:r>
    </w:p>
    <w:p w:rsidR="007E021B" w:rsidRPr="00C5608C" w:rsidRDefault="00027891" w:rsidP="00C5608C">
      <w:pPr>
        <w:spacing w:before="0" w:after="200" w:line="276" w:lineRule="auto"/>
      </w:pPr>
      <w:r w:rsidRPr="00027891">
        <w:t xml:space="preserve">Bangladesh has historically been at the forefront of civil society movement. The level of development of the civil society movement in Bangladesh in terms of maturity, content, coverage, output, effects and impact is way ahead of its peer group of countries and rather out of line with its </w:t>
      </w:r>
      <w:r w:rsidRPr="00C5608C">
        <w:t>economic standing. Historically, were registered under the 1961 Voluntary Social Welfare Agencies (Regulation and Control) Ordinance. Over time tension developed with the authority, a kind of turf war or war of conscience as the majority of non-governmental organizations (NGO)s/CSOs were perceived to be anti-establishment and sympathetic to the aspirations of the people of pre-independent Bangladesh. During the liberation war period a new class of NGOs and CSOs emerged supporting the war effort</w:t>
      </w:r>
      <w:r w:rsidR="00C5608C" w:rsidRPr="00C5608C">
        <w:t>.</w:t>
      </w:r>
    </w:p>
    <w:p w:rsidR="000760FB" w:rsidRPr="00111A23" w:rsidRDefault="00C5608C" w:rsidP="00D13B34">
      <w:pPr>
        <w:spacing w:before="0" w:after="200" w:line="276" w:lineRule="auto"/>
      </w:pPr>
      <w:r w:rsidRPr="00D13B34">
        <w:t>In Bangladesh, the NGO/CSO collective is the third state in Bangladesh behind politicians and the bureaucracy. The NGO/CSO entities have practically stepped in to fill at least part of the huge gap in the delivery of functions of the state by politicians and the bureaucracy.</w:t>
      </w:r>
      <w:r w:rsidR="002228BE" w:rsidRPr="00D13B34">
        <w:t xml:space="preserve"> Available evidence suggests the civil society movement in Bangladesh Have had impact on development at micro level, the macro impact was modest. Some institutional and policy issues will influence the direction civil society takes in the future. There is a case for a unified legal framework but one must be careful not to stifle innovation, creativity and experimentation. The Grameen bank </w:t>
      </w:r>
      <w:r w:rsidR="00D13B34" w:rsidRPr="00D13B34">
        <w:t xml:space="preserve">(GB) </w:t>
      </w:r>
      <w:r w:rsidR="002228BE" w:rsidRPr="00D13B34">
        <w:t xml:space="preserve">debate is a pointer to leaving global innovations alone except for what might be necessary changes to the legal and regulatory framework to ensure sustainability. With more surveillance of </w:t>
      </w:r>
      <w:r w:rsidR="00D13B34" w:rsidRPr="00D13B34">
        <w:t>the GB</w:t>
      </w:r>
      <w:r w:rsidR="002228BE" w:rsidRPr="00D13B34">
        <w:t xml:space="preserve"> Board decisions by the BB and a clear succession plan the current controversy could have been avoided.</w:t>
      </w:r>
      <w:r w:rsidR="00D13B34" w:rsidRPr="00D13B34">
        <w:t xml:space="preserve"> The episode also goes to show that institutionalization of financial </w:t>
      </w:r>
      <w:r w:rsidR="00D13B34" w:rsidRPr="00D13B34">
        <w:lastRenderedPageBreak/>
        <w:t xml:space="preserve">intermediation combined with a marketable philosophy well marketed and a charismatic leadership in Yunus with supportive social development activities have contributed to the longer term sustainability of the GB experiment. It is no longer an experiment, it is an institution any </w:t>
      </w:r>
      <w:r w:rsidR="00D13B34" w:rsidRPr="00111A23">
        <w:t>personality apart. Simply stated, GB does not need Professor Yunus to survive and Professor Yunus does not need GB to thrive. Credit for this outcome goes to all stakeholders, the GB, Professor Mohammed Yunus, the government, donors, borrowers and the women of Bangladesh.</w:t>
      </w:r>
      <w:r w:rsidR="002228BE" w:rsidRPr="00111A23">
        <w:t xml:space="preserve"> </w:t>
      </w:r>
      <w:r w:rsidR="000760FB" w:rsidRPr="00111A23">
        <w:t>The GB is an undisputed case of global best practice.</w:t>
      </w:r>
    </w:p>
    <w:p w:rsidR="00D31C8E" w:rsidRPr="00111A23" w:rsidRDefault="000760FB" w:rsidP="00D31C8E">
      <w:pPr>
        <w:spacing w:before="0" w:after="200" w:line="276" w:lineRule="auto"/>
      </w:pPr>
      <w:r w:rsidRPr="00111A23">
        <w:t xml:space="preserve">Bangladesh has done well by not putting a cap on the size and diversity of CSOs. These organizations have move along the path of corporatization. Is this trend taking these away from service institutions? Serving people or serving profit is the question. Is growth and diversity an outcome of natural organic expansion or a manifestation of grandiose empire building by the originator. Where does one draw the line between tax-free activities and taxable operations with implication for illegitimate cross subsidization? </w:t>
      </w:r>
      <w:r w:rsidR="00D31C8E" w:rsidRPr="00111A23">
        <w:t>How do you stop the civil society from corruption when it is flushed with money thanks primarily to competing donor partners? These are troubling questions for the SPPB period.</w:t>
      </w:r>
    </w:p>
    <w:p w:rsidR="00097C8D" w:rsidRPr="00111A23" w:rsidRDefault="00097C8D" w:rsidP="00D31C8E">
      <w:pPr>
        <w:spacing w:before="0" w:after="200" w:line="276" w:lineRule="auto"/>
      </w:pPr>
      <w:r w:rsidRPr="00111A23">
        <w:t xml:space="preserve">Question has been raised about commitment of the NGO community </w:t>
      </w:r>
      <w:proofErr w:type="spellStart"/>
      <w:r w:rsidRPr="00111A23">
        <w:t>ti</w:t>
      </w:r>
      <w:proofErr w:type="spellEnd"/>
      <w:r w:rsidRPr="00111A23">
        <w:t xml:space="preserve"> deal with distress situation. In response to recent flood and food price crisis the Honorable Prime Minister has announced that flood-hit families shall get food assistance for three months. She handled the 1998 flood also very well. </w:t>
      </w:r>
      <w:r w:rsidRPr="00111A23">
        <w:rPr>
          <w:color w:val="000000"/>
          <w:shd w:val="clear" w:color="auto" w:fill="FFFFFF"/>
        </w:rPr>
        <w:t>In 1998, the participation of the NGOs and social organizations was, of course, enormous. This time such a participation may not be equally forthcoming as the quality of civil society in responding to the real distress on the ground has deteriorated. They are more interested in talk shows, media hypes and overt politicization of even a natural calamity. Therefore, the government will have to walk an extra mile to make up this gap of non-state participation in disaster management. This indeed a sad reversal of the Bangladesh CSO story.</w:t>
      </w:r>
      <w:r w:rsidRPr="00111A23">
        <w:rPr>
          <w:rStyle w:val="FootnoteReference"/>
          <w:color w:val="000000"/>
          <w:shd w:val="clear" w:color="auto" w:fill="FFFFFF"/>
        </w:rPr>
        <w:footnoteReference w:id="5"/>
      </w:r>
    </w:p>
    <w:p w:rsidR="00D31C8E" w:rsidRPr="00D31C8E" w:rsidRDefault="00D31C8E" w:rsidP="00D31C8E">
      <w:pPr>
        <w:spacing w:before="0" w:after="200" w:line="276" w:lineRule="auto"/>
      </w:pPr>
      <w:r w:rsidRPr="00111A23">
        <w:t>Governance, transparency accountability and corruption and related questions surrounding civil society organizations are contentious issues but these need to be faced squarely in the new age. Particular points of interest are openness and representativeness of the governing body, non-representation of staff and beneficiaries, unaccountability in matters of financial management, limited information sharing, rural elite domination of cooperatives, highly political character of trade unions and the alleged crony management structure and operations in general of civil society organizations which limits their</w:t>
      </w:r>
      <w:r w:rsidRPr="00D31C8E">
        <w:t xml:space="preserve"> oversight role of service delivery. What about participation and democratic decision-making within civil society organizations or cost-effectiveness?</w:t>
      </w:r>
    </w:p>
    <w:p w:rsidR="00D31C8E" w:rsidRPr="00621A44" w:rsidRDefault="00D31C8E" w:rsidP="00621A44">
      <w:pPr>
        <w:spacing w:before="0" w:after="200" w:line="276" w:lineRule="auto"/>
      </w:pPr>
      <w:r w:rsidRPr="00D31C8E">
        <w:rPr>
          <w:bCs/>
        </w:rPr>
        <w:t xml:space="preserve">Are civil society organizations more cost-effective than the government or the private sector? How does one differentiate among costs of service delivery, production and trade activities and training activities? It is not only a question of bookkeeping and having numbers available for one </w:t>
      </w:r>
      <w:r w:rsidRPr="00D31C8E">
        <w:rPr>
          <w:bCs/>
        </w:rPr>
        <w:lastRenderedPageBreak/>
        <w:t xml:space="preserve">to take a look but it also a matter of dealing with single product line and joint product line where apportioning of costs has conceptual and data complications? This is why finance should be available </w:t>
      </w:r>
      <w:r w:rsidRPr="00621A44">
        <w:rPr>
          <w:bCs/>
        </w:rPr>
        <w:t xml:space="preserve">for </w:t>
      </w:r>
      <w:r w:rsidRPr="00621A44">
        <w:t>effective monitoring on inputs and outputs and evaluation of effects and impact of civil society activities on the basis of measurable indicators.</w:t>
      </w:r>
    </w:p>
    <w:p w:rsidR="00C5608C" w:rsidRPr="00621A44" w:rsidRDefault="00D31C8E" w:rsidP="00621A44">
      <w:pPr>
        <w:spacing w:before="0" w:after="200" w:line="276" w:lineRule="auto"/>
      </w:pPr>
      <w:r w:rsidRPr="00621A44">
        <w:t xml:space="preserve">The challenges </w:t>
      </w:r>
      <w:r w:rsidR="00567869">
        <w:t xml:space="preserve">facing CSOs in Bangladesh </w:t>
      </w:r>
      <w:r w:rsidRPr="00621A44">
        <w:t>are many</w:t>
      </w:r>
      <w:r w:rsidR="00621A44" w:rsidRPr="00621A44">
        <w:t>: (</w:t>
      </w:r>
      <w:proofErr w:type="spellStart"/>
      <w:r w:rsidR="00621A44" w:rsidRPr="00621A44">
        <w:t>i</w:t>
      </w:r>
      <w:proofErr w:type="spellEnd"/>
      <w:r w:rsidR="00621A44" w:rsidRPr="00621A44">
        <w:t xml:space="preserve">) mutually suspicious and divisive relationship with the government; (ii) attempted excessive control by the government; (iii) political, administrative and financial repression; (iv) lack of financial independence, (v) foreign aid dependence; (vi) degeneration into contractor status; (vii) limited or no innovation; (viii) poor governance with lack of transparency, accountability and corruption; (ix) internal conflict and tension; (x) autocracy of the top; (xi) mixed quality of staff and personnel; (xii) fraud and lack of professionalism; (xiv) lack of matching skill; (xv) waning idealism; (xvi) unproductive competition and rivalry undermining the quality of services provided; (xvii) slow death of early optimism of alterative to public sector service delivery; (xix) no clear succession plan by the founder philosopher be it Yunus or Abed or Dr. Zafrullah Chowdhury or any other; </w:t>
      </w:r>
      <w:r w:rsidR="00621A44">
        <w:t xml:space="preserve">and </w:t>
      </w:r>
      <w:r w:rsidR="00621A44" w:rsidRPr="00621A44">
        <w:t>(xx) personality cult</w:t>
      </w:r>
      <w:r w:rsidR="00621A44">
        <w:t>.</w:t>
      </w:r>
      <w:r w:rsidRPr="00621A44">
        <w:t xml:space="preserve">  </w:t>
      </w:r>
      <w:r w:rsidR="000760FB" w:rsidRPr="00621A44">
        <w:t xml:space="preserve"> </w:t>
      </w:r>
      <w:r w:rsidR="002228BE" w:rsidRPr="00621A44">
        <w:t xml:space="preserve"> </w:t>
      </w:r>
    </w:p>
    <w:p w:rsidR="00DB01BA" w:rsidRDefault="00B01BD8" w:rsidP="00B01BD8">
      <w:pPr>
        <w:ind w:firstLine="720"/>
      </w:pPr>
      <w:r w:rsidRPr="00B01BD8">
        <w:t>Basic education</w:t>
      </w:r>
    </w:p>
    <w:p w:rsidR="00DB01BA" w:rsidRPr="00A064D1" w:rsidRDefault="00DB01BA" w:rsidP="00DB01BA">
      <w:pPr>
        <w:spacing w:before="0" w:after="200" w:line="276" w:lineRule="auto"/>
      </w:pPr>
      <w:r w:rsidRPr="00F51AB2">
        <w:t xml:space="preserve">The Government adopted National Education Policy 2010 incorporating bold aims and objectives with the rationale to ensure the rights and the opportunities for education for all eradicating all differences. In articulating aims the education policy emphasizes, among others, the need to remove illiteracy, stimulate the intellectual and practical qualities of the learners, foster creative and thinking faculties among the learners, to evolve an education process that is oriented to creativity, practicability and productivity to achieve advancement in the economic and social fields of the country, ensure skills of high standard to compete globally, emphasize ICT, help students grow up with sound moral character, enable students to acquire skills in vocational education, ensure proper quality of education at each level, build skills to deal with threats from climate change and natural disasters, and to take special measures for the education </w:t>
      </w:r>
      <w:r w:rsidRPr="00A064D1">
        <w:t>of backward classes, street children and the physically and mentally challenged. The policy spells out specific aims and strategy for different levels of education. Much attention is given to adult and non-formal education, women’s education and all important teacher education. On the other hand, attention is drawn to the importance of English education from early on, vocational and technical education and computer literacy prior to secondary education.</w:t>
      </w:r>
    </w:p>
    <w:p w:rsidR="00B01BD8" w:rsidRPr="00B01BD8" w:rsidRDefault="00DB01BA" w:rsidP="00DB01BA">
      <w:pPr>
        <w:spacing w:before="0" w:after="200" w:line="276" w:lineRule="auto"/>
      </w:pPr>
      <w:r w:rsidRPr="00A064D1">
        <w:t>Bangladesh has gained in primary and secondary and female enrolment but dropout rate remain</w:t>
      </w:r>
      <w:r>
        <w:t>ed</w:t>
      </w:r>
      <w:r w:rsidRPr="00A064D1">
        <w:t xml:space="preserve"> high at over 40%</w:t>
      </w:r>
      <w:r>
        <w:t xml:space="preserve"> in 2010 but since then progress is made nearly halving the rate to 21% in 2014</w:t>
      </w:r>
      <w:r w:rsidRPr="00A064D1">
        <w:t>. Education receive</w:t>
      </w:r>
      <w:r>
        <w:t>d</w:t>
      </w:r>
      <w:r w:rsidRPr="00A064D1">
        <w:t xml:space="preserve"> 1</w:t>
      </w:r>
      <w:r>
        <w:t>2</w:t>
      </w:r>
      <w:r w:rsidRPr="00A064D1">
        <w:t xml:space="preserve">% of budget allocation </w:t>
      </w:r>
      <w:r>
        <w:t xml:space="preserve">in 2014 down from 14% in 2010 (Table </w:t>
      </w:r>
      <w:r w:rsidR="0065339A">
        <w:t>5</w:t>
      </w:r>
      <w:r>
        <w:t xml:space="preserve">) </w:t>
      </w:r>
      <w:r w:rsidRPr="00A064D1">
        <w:t>but much of it goes to higher education. Net primary enrollment increased from 94.8% in 2010</w:t>
      </w:r>
      <w:r>
        <w:t xml:space="preserve"> to 97.7% in 2014</w:t>
      </w:r>
      <w:r w:rsidRPr="00A064D1">
        <w:t xml:space="preserve">. Transition of primary students to secondary level is low. Nonetheless secondary enrolment </w:t>
      </w:r>
      <w:r>
        <w:t>increased from 43</w:t>
      </w:r>
      <w:r w:rsidRPr="00A064D1">
        <w:t>% in 20</w:t>
      </w:r>
      <w:r>
        <w:t>10 to 50.21% in 2014</w:t>
      </w:r>
      <w:r w:rsidRPr="00A064D1">
        <w:t>. Girls now outnumber boys at primary and secondary level. Repeater rate is high</w:t>
      </w:r>
      <w:r>
        <w:t xml:space="preserve"> but declining</w:t>
      </w:r>
      <w:r w:rsidRPr="00A064D1">
        <w:t xml:space="preserve">, completion rate at secondary </w:t>
      </w:r>
      <w:r w:rsidRPr="00A064D1">
        <w:lastRenderedPageBreak/>
        <w:t xml:space="preserve">level is declining and disparity in enrolment between the rich and poor is widening and increases with level (estimated gap in enrolment is 22% at primary and 90% at secondary level). Learning level is poor. </w:t>
      </w:r>
      <w:r>
        <w:t xml:space="preserve">Reflecting quality, teacher/student ratio has been declining at primary level but increasing at secondary level. </w:t>
      </w:r>
      <w:r w:rsidRPr="00A064D1">
        <w:t>These inadequacies represent significant waste of resources. Entry into tertiary education is low and dropout rate is much higher among girls. Quality, poverty, inequity, gender discrimination, poor physical facilities, inadequate teacher training and lack of standards plague the educational system of Bangladesh.</w:t>
      </w:r>
      <w:r w:rsidR="00B01BD8" w:rsidRPr="00B01BD8">
        <w:t xml:space="preserve"> </w:t>
      </w:r>
    </w:p>
    <w:p w:rsidR="00966CE3" w:rsidRDefault="0065339A" w:rsidP="0065339A">
      <w:r w:rsidRPr="0065339A">
        <w:rPr>
          <w:noProof/>
        </w:rPr>
        <w:drawing>
          <wp:inline distT="0" distB="0" distL="0" distR="0">
            <wp:extent cx="5943600" cy="37983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798313"/>
                    </a:xfrm>
                    <a:prstGeom prst="rect">
                      <a:avLst/>
                    </a:prstGeom>
                    <a:noFill/>
                    <a:ln>
                      <a:noFill/>
                    </a:ln>
                  </pic:spPr>
                </pic:pic>
              </a:graphicData>
            </a:graphic>
          </wp:inline>
        </w:drawing>
      </w:r>
    </w:p>
    <w:p w:rsidR="0097192A" w:rsidRDefault="00DB01BA" w:rsidP="00DB01BA">
      <w:pPr>
        <w:spacing w:before="0" w:after="200" w:line="276" w:lineRule="auto"/>
      </w:pPr>
      <w:r w:rsidRPr="00DB01BA">
        <w:t>Looking forward towards 20</w:t>
      </w:r>
      <w:r w:rsidR="0097192A">
        <w:t>4</w:t>
      </w:r>
      <w:r w:rsidRPr="00DB01BA">
        <w:t xml:space="preserve">0s, the </w:t>
      </w:r>
      <w:r w:rsidR="0097192A">
        <w:t xml:space="preserve">SPPB </w:t>
      </w:r>
      <w:r w:rsidRPr="00DB01BA">
        <w:t xml:space="preserve">may wish to look at educational development and policy in a more holistic and inclusive way combining the evolution of the education policy with skill development policy and economic development policy. Herein lies the logic of the emphasis placed on synchronization and balance to create dynamic impulses for balanced skills development in response to economic growth on the one hand, and population growth on the other. </w:t>
      </w:r>
    </w:p>
    <w:p w:rsidR="00DB01BA" w:rsidRPr="0097192A" w:rsidRDefault="00DB01BA" w:rsidP="0097192A">
      <w:pPr>
        <w:spacing w:before="0" w:after="200" w:line="276" w:lineRule="auto"/>
      </w:pPr>
      <w:r w:rsidRPr="00DB01BA">
        <w:t xml:space="preserve">The school age population is an input into the educational facilities which need to be improved and made functionally oriented with a higher level of technology content. Educational outputs in turn are inputs into the skill development facilities producing supplies of different types of skills with complementary technology support. Key considerations for educational development are twofold: economic demand via skill demand and social demand via demand for sound moral character, intellectual and practical qualities, creative and thinking faculties and creativity, </w:t>
      </w:r>
      <w:r w:rsidRPr="0097192A">
        <w:lastRenderedPageBreak/>
        <w:t>practicability and productivity. These are interlinked with skill demand for various trades and civic demand for good citizens and people of high cultural and literary values.</w:t>
      </w:r>
    </w:p>
    <w:p w:rsidR="0097192A" w:rsidRPr="0097192A" w:rsidRDefault="0097192A" w:rsidP="0097192A">
      <w:pPr>
        <w:autoSpaceDE w:val="0"/>
        <w:autoSpaceDN w:val="0"/>
        <w:adjustRightInd w:val="0"/>
        <w:spacing w:before="0" w:after="200" w:line="276" w:lineRule="auto"/>
      </w:pPr>
      <w:r w:rsidRPr="0097192A">
        <w:t>The critical challenge is to align and fine tune educational development with skill development in a flexible way to match strategies for economic growth and development with social aspirations for literate and culturally and religiously sensitive citizenry. One quality emphasized correctly by the current educational policy is tolerance for different ideologies and points of view. This way educational policy and development will constitute the foundation for pluralistic democracy.</w:t>
      </w:r>
    </w:p>
    <w:p w:rsidR="0097192A" w:rsidRPr="00735DD8" w:rsidRDefault="0097192A" w:rsidP="0097192A">
      <w:pPr>
        <w:spacing w:before="0" w:after="200" w:line="276" w:lineRule="auto"/>
      </w:pPr>
      <w:r w:rsidRPr="0097192A">
        <w:t xml:space="preserve">The integrated nature of population growth, educational development, skill development and economic growth and development brings out an important issue for the future. The present inequalities of the integrated system will be further entrenched unless the system can be made more open and delinked from initial family resource endowment, educational attainment, social status, political influence and exposure to cultural diversity and openness which determine access to education, especially quality/special/exclusive education in elite institutions which are public, private (mostly), semi-public and semi-private and whose very existence is problematic in the absence of countervailing forces pushing </w:t>
      </w:r>
      <w:r w:rsidRPr="00735DD8">
        <w:t>equity and equality.</w:t>
      </w:r>
    </w:p>
    <w:p w:rsidR="00DB01BA" w:rsidRPr="005D58E3" w:rsidRDefault="00735DD8" w:rsidP="00DB01BA">
      <w:pPr>
        <w:spacing w:before="0" w:after="200" w:line="276" w:lineRule="auto"/>
        <w:rPr>
          <w:rFonts w:eastAsia="Times New Roman"/>
        </w:rPr>
      </w:pPr>
      <w:r w:rsidRPr="00735DD8">
        <w:t xml:space="preserve">One serious challenge is the quality of secondary education. </w:t>
      </w:r>
      <w:r w:rsidRPr="00735DD8">
        <w:rPr>
          <w:rFonts w:eastAsia="Times New Roman"/>
        </w:rPr>
        <w:t xml:space="preserve">Secondary education is the weakest link in the educational system of Bangladesh. Both primary and higher education benefits from significant government patronage, secondary education </w:t>
      </w:r>
      <w:r w:rsidR="00933E4A">
        <w:rPr>
          <w:rFonts w:eastAsia="Times New Roman"/>
        </w:rPr>
        <w:t xml:space="preserve">which is largely community-driven </w:t>
      </w:r>
      <w:r w:rsidRPr="00735DD8">
        <w:rPr>
          <w:rFonts w:eastAsia="Times New Roman"/>
        </w:rPr>
        <w:t>not so</w:t>
      </w:r>
      <w:r>
        <w:rPr>
          <w:rFonts w:eastAsia="Times New Roman"/>
        </w:rPr>
        <w:t xml:space="preserve"> though there is resource engagement </w:t>
      </w:r>
      <w:r w:rsidRPr="006B0A65">
        <w:rPr>
          <w:rFonts w:eastAsia="Cambria"/>
        </w:rPr>
        <w:t>in partial subventions of teacher salaries</w:t>
      </w:r>
      <w:r w:rsidR="00D511CF">
        <w:rPr>
          <w:rFonts w:eastAsia="Cambria"/>
        </w:rPr>
        <w:t xml:space="preserve"> as shown by low budget allocation to secondary education in Bangladesh compared with other countries (Figure 35)</w:t>
      </w:r>
      <w:r w:rsidRPr="00735DD8">
        <w:rPr>
          <w:rFonts w:eastAsia="Times New Roman"/>
        </w:rPr>
        <w:t xml:space="preserve">. The quality of secondary level graduates is wanting. </w:t>
      </w:r>
      <w:r w:rsidR="00933E4A">
        <w:rPr>
          <w:rFonts w:eastAsia="Times New Roman"/>
        </w:rPr>
        <w:t xml:space="preserve">Over 90% of secondary students are in non-government schools. </w:t>
      </w:r>
      <w:r w:rsidR="0075760C">
        <w:rPr>
          <w:rFonts w:eastAsia="Times New Roman"/>
        </w:rPr>
        <w:t xml:space="preserve">The performance of students in SSC from these schools is significantly lower than those from well-resourced government schools. </w:t>
      </w:r>
      <w:r w:rsidR="00C72B96">
        <w:rPr>
          <w:rFonts w:eastAsia="Times New Roman"/>
        </w:rPr>
        <w:t xml:space="preserve">Dhaka does much better than rural Bangladesh. </w:t>
      </w:r>
      <w:r w:rsidRPr="00735DD8">
        <w:rPr>
          <w:rFonts w:eastAsia="Times New Roman"/>
        </w:rPr>
        <w:t xml:space="preserve">Secondary level provides inputs into higher education and technical education. If secondary output is not up to the mark, then it will be reflected in the output of higher and technical education. </w:t>
      </w:r>
      <w:r w:rsidR="00C72B96">
        <w:rPr>
          <w:rFonts w:eastAsia="Cambria"/>
        </w:rPr>
        <w:t xml:space="preserve">Four challenges for secondary education are out of pocket expenses, review and </w:t>
      </w:r>
      <w:r w:rsidR="00C72B96" w:rsidRPr="005D58E3">
        <w:rPr>
          <w:rFonts w:eastAsia="Cambria"/>
        </w:rPr>
        <w:t xml:space="preserve">revision of the MPO system, secondary stipends and school autonomy. </w:t>
      </w:r>
      <w:r w:rsidRPr="005D58E3">
        <w:rPr>
          <w:rFonts w:eastAsia="Times New Roman"/>
        </w:rPr>
        <w:t>The SPPB should look into the causes and consequences of weak secondary education link in Bangladesh and define a policy package along with institutional reforms to redress the situation.</w:t>
      </w:r>
    </w:p>
    <w:p w:rsidR="00FA2809" w:rsidRDefault="00FA2809">
      <w:pPr>
        <w:rPr>
          <w:b/>
        </w:rPr>
      </w:pPr>
    </w:p>
    <w:p w:rsidR="00FA2809" w:rsidRDefault="00FA2809">
      <w:pPr>
        <w:rPr>
          <w:b/>
        </w:rPr>
      </w:pPr>
    </w:p>
    <w:p w:rsidR="00FA2809" w:rsidRDefault="00FA2809">
      <w:pPr>
        <w:rPr>
          <w:b/>
        </w:rPr>
      </w:pPr>
    </w:p>
    <w:p w:rsidR="00FA2809" w:rsidRDefault="00FA2809">
      <w:pPr>
        <w:rPr>
          <w:b/>
        </w:rPr>
      </w:pPr>
    </w:p>
    <w:p w:rsidR="00FA2809" w:rsidRDefault="00FA2809">
      <w:pPr>
        <w:rPr>
          <w:b/>
        </w:rPr>
      </w:pPr>
    </w:p>
    <w:p w:rsidR="00FA2809" w:rsidRDefault="00FA2809">
      <w:pPr>
        <w:rPr>
          <w:b/>
        </w:rPr>
      </w:pPr>
    </w:p>
    <w:p w:rsidR="00111A23" w:rsidRDefault="00FA2809" w:rsidP="00FB78F5">
      <w:pPr>
        <w:spacing w:before="0" w:after="0"/>
      </w:pPr>
      <w:r>
        <w:rPr>
          <w:b/>
        </w:rPr>
        <w:lastRenderedPageBreak/>
        <w:t>Figure 35: Government expenditure per student, secondary (% of GDP per capita)</w:t>
      </w:r>
    </w:p>
    <w:p w:rsidR="00FA2809" w:rsidRDefault="00FA2809" w:rsidP="00DB01BA">
      <w:pPr>
        <w:spacing w:before="0" w:after="200" w:line="276" w:lineRule="auto"/>
      </w:pPr>
      <w:r w:rsidRPr="005D5A81">
        <w:rPr>
          <w:noProof/>
        </w:rPr>
        <w:drawing>
          <wp:inline distT="0" distB="0" distL="0" distR="0" wp14:anchorId="363D3DB8" wp14:editId="66757CE1">
            <wp:extent cx="5942965" cy="3878580"/>
            <wp:effectExtent l="0" t="0" r="635"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t="4503"/>
                    <a:stretch/>
                  </pic:blipFill>
                  <pic:spPr bwMode="auto">
                    <a:xfrm>
                      <a:off x="0" y="0"/>
                      <a:ext cx="5947001" cy="3881214"/>
                    </a:xfrm>
                    <a:prstGeom prst="rect">
                      <a:avLst/>
                    </a:prstGeom>
                    <a:noFill/>
                    <a:ln>
                      <a:noFill/>
                    </a:ln>
                    <a:extLst>
                      <a:ext uri="{53640926-AAD7-44D8-BBD7-CCE9431645EC}">
                        <a14:shadowObscured xmlns:a14="http://schemas.microsoft.com/office/drawing/2010/main"/>
                      </a:ext>
                    </a:extLst>
                  </pic:spPr>
                </pic:pic>
              </a:graphicData>
            </a:graphic>
          </wp:inline>
        </w:drawing>
      </w:r>
    </w:p>
    <w:p w:rsidR="005D58E3" w:rsidRPr="005D58E3" w:rsidRDefault="005D58E3" w:rsidP="00DB01BA">
      <w:pPr>
        <w:spacing w:before="0" w:after="200" w:line="276" w:lineRule="auto"/>
      </w:pPr>
      <w:r w:rsidRPr="005D58E3">
        <w:t xml:space="preserve">To summarize, Bangladesh has performed well in terms of basic education indicators (primary school enrolment and female enrolment for example) but is haunted by poor quality and dropout problems. </w:t>
      </w:r>
      <w:r w:rsidRPr="005D58E3">
        <w:rPr>
          <w:color w:val="000000" w:themeColor="text1"/>
          <w:kern w:val="24"/>
        </w:rPr>
        <w:t>Inadequate preparation for participation in a tech savvy, multilingual, multi-skilled and multi-tasked world is the issue</w:t>
      </w:r>
      <w:r>
        <w:rPr>
          <w:color w:val="000000" w:themeColor="text1"/>
          <w:kern w:val="24"/>
        </w:rPr>
        <w:t>.</w:t>
      </w:r>
    </w:p>
    <w:p w:rsidR="00FF2844" w:rsidRDefault="00FF2844" w:rsidP="00FF2844">
      <w:pPr>
        <w:spacing w:before="0" w:after="200" w:line="276" w:lineRule="auto"/>
        <w:rPr>
          <w:color w:val="000000"/>
        </w:rPr>
      </w:pPr>
      <w:r w:rsidRPr="00B2074B">
        <w:t>Investments in capacity building will help achieve targets for 204</w:t>
      </w:r>
      <w:r>
        <w:t>1</w:t>
      </w:r>
      <w:r w:rsidRPr="00B2074B">
        <w:t>: (</w:t>
      </w:r>
      <w:proofErr w:type="spellStart"/>
      <w:r w:rsidRPr="00B2074B">
        <w:t>i</w:t>
      </w:r>
      <w:proofErr w:type="spellEnd"/>
      <w:r w:rsidRPr="00B2074B">
        <w:t>) moving from the current virtual non-functioning legislature dominated by one party to well-functioning legislature with diversity of interests represented, (ii) from the current weak judiciary susceptible to political influence and corruption to a strong and independent incorruptible judiciary, (iii) from the current scandal-ridden financial and banking system to a system with focus, integrity and efficiency, (iv) from the current quantity driven but quality deprived educational system to quality over quantity-based education for all, (v) a decisive shift from the current low-skill-low productivity system to higher level skill development by transforming training, TVET and university education as under way through the Ministry of Finance, (vi) from the current weak initiatives for ICT development to the full flowering of the Digital Bangladesh drive paving the way for a SMART Bangladesh (smart cities, smart transport,  smart agriculture etc.), and (vii) from the current total absence of a technology upgrading system to an advanced comprehensive system for invention, innovation, adaptation and adoption system for technology compatible with a transforming economy.</w:t>
      </w:r>
    </w:p>
    <w:p w:rsidR="00A949A3" w:rsidRPr="006F6B73" w:rsidRDefault="00A949A3" w:rsidP="00A949A3">
      <w:pPr>
        <w:spacing w:after="200" w:line="276" w:lineRule="auto"/>
        <w:rPr>
          <w:rFonts w:eastAsia="Times New Roman"/>
          <w:bCs/>
          <w:color w:val="000000"/>
        </w:rPr>
      </w:pPr>
      <w:r w:rsidRPr="006F6B73">
        <w:rPr>
          <w:rFonts w:eastAsia="Times New Roman"/>
          <w:color w:val="000000"/>
        </w:rPr>
        <w:lastRenderedPageBreak/>
        <w:t>Against this backdrop, the</w:t>
      </w:r>
      <w:r w:rsidR="00D81119" w:rsidRPr="006F6B73">
        <w:rPr>
          <w:rFonts w:eastAsia="Times New Roman"/>
          <w:color w:val="000000"/>
        </w:rPr>
        <w:t xml:space="preserve"> institutional Vision 2041 </w:t>
      </w:r>
      <w:r w:rsidRPr="006F6B73">
        <w:rPr>
          <w:rFonts w:eastAsia="Times New Roman"/>
          <w:color w:val="000000"/>
        </w:rPr>
        <w:t xml:space="preserve">will </w:t>
      </w:r>
      <w:r w:rsidR="00A04309" w:rsidRPr="006F6B73">
        <w:rPr>
          <w:rFonts w:eastAsia="Times New Roman"/>
          <w:color w:val="000000"/>
        </w:rPr>
        <w:t>encompass (</w:t>
      </w:r>
      <w:proofErr w:type="spellStart"/>
      <w:r w:rsidR="00A04309" w:rsidRPr="006F6B73">
        <w:rPr>
          <w:rFonts w:eastAsia="Times New Roman"/>
          <w:color w:val="000000"/>
        </w:rPr>
        <w:t>i</w:t>
      </w:r>
      <w:proofErr w:type="spellEnd"/>
      <w:r w:rsidR="00A04309" w:rsidRPr="006F6B73">
        <w:rPr>
          <w:rFonts w:eastAsia="Times New Roman"/>
          <w:color w:val="000000"/>
        </w:rPr>
        <w:t xml:space="preserve">) </w:t>
      </w:r>
      <w:r w:rsidRPr="006F6B73">
        <w:rPr>
          <w:rFonts w:eastAsia="Times New Roman"/>
          <w:bCs/>
          <w:color w:val="000000"/>
        </w:rPr>
        <w:t>bold target</w:t>
      </w:r>
      <w:r w:rsidR="00A04309" w:rsidRPr="006F6B73">
        <w:rPr>
          <w:rFonts w:eastAsia="Times New Roman"/>
          <w:bCs/>
          <w:color w:val="000000"/>
        </w:rPr>
        <w:t xml:space="preserve"> jettisoning Bangladesh into the space following an accelerated growth trajectory</w:t>
      </w:r>
      <w:r w:rsidRPr="006F6B73">
        <w:rPr>
          <w:rFonts w:eastAsia="Times New Roman"/>
          <w:bCs/>
          <w:color w:val="000000"/>
        </w:rPr>
        <w:t xml:space="preserve">, </w:t>
      </w:r>
      <w:r w:rsidR="00A04309" w:rsidRPr="006F6B73">
        <w:rPr>
          <w:rFonts w:eastAsia="Times New Roman"/>
          <w:bCs/>
          <w:color w:val="000000"/>
        </w:rPr>
        <w:t xml:space="preserve">(ii) </w:t>
      </w:r>
      <w:r w:rsidRPr="006F6B73">
        <w:rPr>
          <w:rFonts w:eastAsia="Times New Roman"/>
          <w:bCs/>
          <w:color w:val="000000"/>
        </w:rPr>
        <w:t>bold leadership</w:t>
      </w:r>
      <w:r w:rsidR="00A04309" w:rsidRPr="006F6B73">
        <w:rPr>
          <w:rFonts w:eastAsia="Times New Roman"/>
          <w:bCs/>
          <w:color w:val="000000"/>
        </w:rPr>
        <w:t xml:space="preserve"> to initiate and guide the process the whole way</w:t>
      </w:r>
      <w:r w:rsidRPr="006F6B73">
        <w:rPr>
          <w:rFonts w:eastAsia="Times New Roman"/>
          <w:bCs/>
          <w:color w:val="000000"/>
        </w:rPr>
        <w:t xml:space="preserve">, </w:t>
      </w:r>
      <w:r w:rsidR="00A04309" w:rsidRPr="006F6B73">
        <w:rPr>
          <w:rFonts w:eastAsia="Times New Roman"/>
          <w:bCs/>
          <w:color w:val="000000"/>
        </w:rPr>
        <w:t xml:space="preserve">(iii) </w:t>
      </w:r>
      <w:r w:rsidR="00D81119" w:rsidRPr="006F6B73">
        <w:rPr>
          <w:rFonts w:eastAsia="Times New Roman"/>
          <w:bCs/>
          <w:color w:val="000000"/>
        </w:rPr>
        <w:t xml:space="preserve">transparency, accountability and effectiveness in governance, </w:t>
      </w:r>
      <w:r w:rsidR="00A04309" w:rsidRPr="006F6B73">
        <w:rPr>
          <w:rFonts w:eastAsia="Times New Roman"/>
          <w:bCs/>
          <w:color w:val="000000"/>
        </w:rPr>
        <w:t xml:space="preserve">(iv) </w:t>
      </w:r>
      <w:r w:rsidRPr="006F6B73">
        <w:rPr>
          <w:rFonts w:eastAsia="Times New Roman"/>
          <w:bCs/>
          <w:color w:val="000000"/>
        </w:rPr>
        <w:t xml:space="preserve">pluralistic democracy and </w:t>
      </w:r>
      <w:r w:rsidR="00A04309" w:rsidRPr="006F6B73">
        <w:rPr>
          <w:rFonts w:eastAsia="Times New Roman"/>
          <w:bCs/>
          <w:color w:val="000000"/>
        </w:rPr>
        <w:t xml:space="preserve">(v) </w:t>
      </w:r>
      <w:r w:rsidRPr="006F6B73">
        <w:rPr>
          <w:rFonts w:eastAsia="Times New Roman"/>
          <w:bCs/>
          <w:color w:val="000000"/>
        </w:rPr>
        <w:t>above all peoples' aspiration.</w:t>
      </w:r>
    </w:p>
    <w:p w:rsidR="00A949A3" w:rsidRPr="00E3656A" w:rsidRDefault="00A949A3" w:rsidP="00A949A3">
      <w:pPr>
        <w:spacing w:before="0" w:after="200" w:line="276" w:lineRule="auto"/>
        <w:rPr>
          <w:rFonts w:eastAsia="Times New Roman"/>
          <w:color w:val="000000"/>
        </w:rPr>
      </w:pPr>
      <w:r w:rsidRPr="00E3656A">
        <w:rPr>
          <w:rFonts w:eastAsia="Times New Roman"/>
          <w:color w:val="000000"/>
        </w:rPr>
        <w:t>Bangladesh is fortunate.</w:t>
      </w:r>
    </w:p>
    <w:p w:rsidR="00A949A3" w:rsidRPr="00E3656A" w:rsidRDefault="00A949A3" w:rsidP="00A949A3">
      <w:pPr>
        <w:spacing w:before="0" w:after="200" w:line="276" w:lineRule="auto"/>
        <w:rPr>
          <w:rFonts w:eastAsia="Times New Roman"/>
          <w:color w:val="000000"/>
        </w:rPr>
      </w:pPr>
      <w:r w:rsidRPr="00785D1E">
        <w:rPr>
          <w:rFonts w:eastAsia="Times New Roman"/>
          <w:color w:val="000000"/>
        </w:rPr>
        <w:t>T</w:t>
      </w:r>
      <w:r w:rsidRPr="00E3656A">
        <w:rPr>
          <w:rFonts w:eastAsia="Times New Roman"/>
          <w:color w:val="000000"/>
        </w:rPr>
        <w:t>arget is already laid out.</w:t>
      </w:r>
      <w:r>
        <w:rPr>
          <w:rFonts w:eastAsia="Times New Roman"/>
          <w:color w:val="000000"/>
        </w:rPr>
        <w:t xml:space="preserve"> Bangladesh is to be a developed country by 2041 with a per capita income of $12,500 which is in line with the World Bank projected threshold.</w:t>
      </w:r>
    </w:p>
    <w:p w:rsidR="00A949A3" w:rsidRPr="00E3656A" w:rsidRDefault="00A949A3" w:rsidP="00A949A3">
      <w:pPr>
        <w:spacing w:before="0" w:after="200" w:line="276" w:lineRule="auto"/>
        <w:rPr>
          <w:rFonts w:eastAsia="Times New Roman"/>
          <w:color w:val="000000"/>
        </w:rPr>
      </w:pPr>
      <w:r w:rsidRPr="00E3656A">
        <w:rPr>
          <w:rFonts w:eastAsia="Times New Roman"/>
          <w:color w:val="000000"/>
        </w:rPr>
        <w:t>Bold leadership is in place.</w:t>
      </w:r>
      <w:r>
        <w:rPr>
          <w:rFonts w:eastAsia="Times New Roman"/>
          <w:color w:val="000000"/>
        </w:rPr>
        <w:t xml:space="preserve"> The current leadership has embraced a bold development agenda which no one else has done before.</w:t>
      </w:r>
    </w:p>
    <w:p w:rsidR="00A949A3" w:rsidRPr="00E3656A" w:rsidRDefault="00A949A3" w:rsidP="00A949A3">
      <w:pPr>
        <w:spacing w:before="0" w:after="200" w:line="276" w:lineRule="auto"/>
        <w:rPr>
          <w:rFonts w:eastAsia="Times New Roman"/>
          <w:color w:val="000000"/>
        </w:rPr>
      </w:pPr>
      <w:r w:rsidRPr="00E3656A">
        <w:rPr>
          <w:rFonts w:eastAsia="Times New Roman"/>
          <w:color w:val="000000"/>
        </w:rPr>
        <w:t xml:space="preserve">Today's </w:t>
      </w:r>
      <w:r>
        <w:rPr>
          <w:rFonts w:eastAsia="Times New Roman"/>
          <w:color w:val="000000"/>
        </w:rPr>
        <w:t xml:space="preserve">arguably authoritarian almost one party </w:t>
      </w:r>
      <w:r w:rsidRPr="00E3656A">
        <w:rPr>
          <w:rFonts w:eastAsia="Times New Roman"/>
          <w:color w:val="000000"/>
        </w:rPr>
        <w:t>"democracy" can easily become pluralistic democracy with tolerance and accommodation</w:t>
      </w:r>
      <w:r>
        <w:rPr>
          <w:rFonts w:eastAsia="Times New Roman"/>
          <w:color w:val="000000"/>
        </w:rPr>
        <w:t xml:space="preserve"> and adherence to non-interfering periodic election based on one person one vote </w:t>
      </w:r>
      <w:r w:rsidR="00A04309">
        <w:rPr>
          <w:rFonts w:eastAsia="Times New Roman"/>
          <w:color w:val="000000"/>
        </w:rPr>
        <w:t>principle</w:t>
      </w:r>
      <w:r w:rsidRPr="00E3656A">
        <w:rPr>
          <w:rFonts w:eastAsia="Times New Roman"/>
          <w:color w:val="000000"/>
        </w:rPr>
        <w:t>.</w:t>
      </w:r>
    </w:p>
    <w:p w:rsidR="00A949A3" w:rsidRDefault="00A949A3" w:rsidP="00A949A3">
      <w:pPr>
        <w:spacing w:before="0" w:after="200" w:line="276" w:lineRule="auto"/>
        <w:rPr>
          <w:rFonts w:eastAsia="Times New Roman"/>
          <w:color w:val="000000"/>
        </w:rPr>
      </w:pPr>
      <w:r w:rsidRPr="00E3656A">
        <w:rPr>
          <w:rFonts w:eastAsia="Times New Roman"/>
          <w:color w:val="000000"/>
        </w:rPr>
        <w:t>Peoples' aspiration was there, is there and will be there. It has always driven Bangladesh forward making it an envy of the development community.</w:t>
      </w:r>
    </w:p>
    <w:p w:rsidR="001235EB" w:rsidRPr="001235EB" w:rsidRDefault="001235EB" w:rsidP="00397FED">
      <w:pPr>
        <w:pStyle w:val="ListParagraph"/>
        <w:numPr>
          <w:ilvl w:val="0"/>
          <w:numId w:val="1"/>
        </w:numPr>
        <w:spacing w:before="0" w:after="200" w:line="276" w:lineRule="auto"/>
        <w:contextualSpacing w:val="0"/>
        <w:rPr>
          <w:rFonts w:ascii="Times New Roman" w:hAnsi="Times New Roman" w:cs="Times New Roman"/>
          <w:b/>
          <w:caps/>
          <w:color w:val="000000" w:themeColor="text1"/>
        </w:rPr>
      </w:pPr>
      <w:r w:rsidRPr="006C0984">
        <w:rPr>
          <w:rFonts w:ascii="Times New Roman" w:hAnsi="Times New Roman" w:cs="Times New Roman"/>
          <w:b/>
          <w:caps/>
          <w:color w:val="2B5A6F"/>
        </w:rPr>
        <w:t xml:space="preserve">Institutions for </w:t>
      </w:r>
      <w:r>
        <w:rPr>
          <w:rFonts w:ascii="Times New Roman" w:hAnsi="Times New Roman" w:cs="Times New Roman"/>
          <w:b/>
          <w:caps/>
          <w:color w:val="2B5A6F"/>
        </w:rPr>
        <w:t xml:space="preserve">TRANSFORMATIONAL DEVELOPMENT </w:t>
      </w:r>
    </w:p>
    <w:p w:rsidR="00DC21DC" w:rsidRPr="001235EB" w:rsidRDefault="001235EB" w:rsidP="00903CAF">
      <w:pPr>
        <w:pStyle w:val="ListParagraph"/>
        <w:spacing w:before="0" w:after="200" w:line="276" w:lineRule="auto"/>
        <w:ind w:left="360"/>
        <w:contextualSpacing w:val="0"/>
        <w:rPr>
          <w:rFonts w:ascii="Times New Roman" w:hAnsi="Times New Roman" w:cs="Times New Roman"/>
          <w:b/>
          <w:caps/>
          <w:color w:val="000000" w:themeColor="text1"/>
        </w:rPr>
      </w:pPr>
      <w:r>
        <w:rPr>
          <w:rFonts w:ascii="Times New Roman" w:hAnsi="Times New Roman" w:cs="Times New Roman"/>
          <w:b/>
          <w:caps/>
          <w:color w:val="2B5A6F"/>
        </w:rPr>
        <w:t>(</w:t>
      </w:r>
      <w:r>
        <w:rPr>
          <w:rFonts w:ascii="Times New Roman" w:hAnsi="Times New Roman" w:cs="Times New Roman"/>
          <w:b/>
          <w:color w:val="2B5A6F"/>
        </w:rPr>
        <w:t>ca</w:t>
      </w:r>
      <w:r w:rsidRPr="000C0A82">
        <w:rPr>
          <w:rFonts w:ascii="Times New Roman" w:hAnsi="Times New Roman" w:cs="Times New Roman"/>
          <w:b/>
          <w:color w:val="2B5A6F"/>
        </w:rPr>
        <w:t xml:space="preserve">pital </w:t>
      </w:r>
      <w:r>
        <w:rPr>
          <w:rFonts w:ascii="Times New Roman" w:hAnsi="Times New Roman" w:cs="Times New Roman"/>
          <w:b/>
          <w:color w:val="2B5A6F"/>
        </w:rPr>
        <w:t>a</w:t>
      </w:r>
      <w:r w:rsidRPr="000C0A82">
        <w:rPr>
          <w:rFonts w:ascii="Times New Roman" w:hAnsi="Times New Roman" w:cs="Times New Roman"/>
          <w:b/>
          <w:color w:val="2B5A6F"/>
        </w:rPr>
        <w:t>ccumulation - human capital, physical capital, and technological progress</w:t>
      </w:r>
      <w:r>
        <w:rPr>
          <w:rFonts w:ascii="Times New Roman" w:hAnsi="Times New Roman" w:cs="Times New Roman"/>
          <w:b/>
          <w:caps/>
          <w:color w:val="2B5A6F"/>
        </w:rPr>
        <w:t>)</w:t>
      </w:r>
    </w:p>
    <w:p w:rsidR="00CE39BC" w:rsidRPr="00CE39BC" w:rsidRDefault="00CE39BC" w:rsidP="00CE39BC">
      <w:pPr>
        <w:spacing w:before="0" w:after="200" w:line="276" w:lineRule="auto"/>
        <w:rPr>
          <w:b/>
        </w:rPr>
      </w:pPr>
      <w:r>
        <w:rPr>
          <w:b/>
        </w:rPr>
        <w:t>The case for transformational institutions</w:t>
      </w:r>
    </w:p>
    <w:p w:rsidR="00765BD1" w:rsidRDefault="00BA2C74" w:rsidP="00E31A70">
      <w:pPr>
        <w:spacing w:before="0" w:after="0" w:line="276" w:lineRule="auto"/>
      </w:pPr>
      <w:r w:rsidRPr="002B17C3">
        <w:t>This section will provide the rationale: why a country’s political, legal, economic and social institutions will affect progress and will be the catalyst for transformational development towards a developed economy. This is because institutions properly designed and managed shall provide the stimulus for building human capital, physical capital, and technological progress.</w:t>
      </w:r>
      <w:r w:rsidR="0052764B" w:rsidRPr="002B17C3">
        <w:t xml:space="preserve"> </w:t>
      </w:r>
      <w:r w:rsidR="0022538E" w:rsidRPr="002B17C3">
        <w:t>This section explain</w:t>
      </w:r>
      <w:r w:rsidR="00BF0746">
        <w:t>s</w:t>
      </w:r>
      <w:r w:rsidR="0022538E" w:rsidRPr="002B17C3">
        <w:t xml:space="preserve"> how human capital accumulation, physical capital accumulation and technological progress shall impact on growth of Bangladesh and facilitate its transition to a developed society. </w:t>
      </w:r>
    </w:p>
    <w:p w:rsidR="00CA39A6" w:rsidRDefault="00746322" w:rsidP="00C378E6">
      <w:pPr>
        <w:spacing w:before="0" w:after="200" w:line="276" w:lineRule="auto"/>
      </w:pPr>
      <w:r w:rsidRPr="002B17C3">
        <w:t xml:space="preserve">The conceptual/theoretical underpinning of capital accumulation and technological progress is derived from the production function approach defining output as a function of land, labor, capital, organization and technology. The latter is the shift parameter allowing outward movement of the production function allowing more to be produced with same or less input because of technology driven productivity increase. IT is an integral part of the technology space and increasingly it is proving to be transformational as the whole world has experienced over past four decades. The productivity enhancing contribution of skill development and technology especially IT is embodied in land, labor, capital and organization (e.g., the delivery of public/government and financial services) and there is also a disembodied component defined as total factor productivity. These considerations of technology, IT, skill development and economic growth interaction are pivotal as Bangladesh strives to be a “digital” country by 2021, </w:t>
      </w:r>
      <w:r w:rsidRPr="002B17C3">
        <w:lastRenderedPageBreak/>
        <w:t xml:space="preserve">am upper middle-income country by 2030 and a developed society by 2041 and provide productive employment to all able bodied individuals willing to and looking for employment. </w:t>
      </w:r>
      <w:r w:rsidR="00436EAB">
        <w:t>P</w:t>
      </w:r>
      <w:r w:rsidRPr="002B17C3">
        <w:t>hysical capital accumulation will trigger movement along the original production function; shifts in production function occur only with skill development bringing in productivity boost and technology working as a s</w:t>
      </w:r>
      <w:r w:rsidR="006D3C84">
        <w:t>h</w:t>
      </w:r>
      <w:r w:rsidRPr="002B17C3">
        <w:t>ift parameter.</w:t>
      </w:r>
      <w:r w:rsidR="00523146">
        <w:t xml:space="preserve"> </w:t>
      </w:r>
      <w:r w:rsidR="00C378E6">
        <w:t>Transformation of the Bangladesh economy will come through institutional transformation affecting human capital, physical capital and technological progress. Cross-country data supports this thesis.</w:t>
      </w:r>
    </w:p>
    <w:p w:rsidR="005D59BC" w:rsidRPr="00212D14" w:rsidRDefault="006D3C84" w:rsidP="00212D14">
      <w:pPr>
        <w:spacing w:before="0" w:after="200" w:line="276" w:lineRule="auto"/>
        <w:rPr>
          <w:b/>
        </w:rPr>
      </w:pPr>
      <w:r w:rsidRPr="00212D14">
        <w:t>Cross-country data from 168 countries show statistically significant correlation between GDP per capita 2015 and institutions (proxy by observations on rule of law)</w:t>
      </w:r>
      <w:r w:rsidR="00D850F3">
        <w:t xml:space="preserve"> (Table 6)</w:t>
      </w:r>
      <w:r w:rsidR="00877454" w:rsidRPr="00212D14">
        <w:t xml:space="preserve">. </w:t>
      </w:r>
      <w:r w:rsidR="00212D14" w:rsidRPr="00212D14">
        <w:t>Similar significant correlation exists between GDP per capita and physical capital (gross fixed capital formation), GDP per capita and human capital (</w:t>
      </w:r>
      <w:r w:rsidR="00212D14" w:rsidRPr="00212D14">
        <w:rPr>
          <w:rFonts w:eastAsia="Times New Roman"/>
          <w:color w:val="000000"/>
        </w:rPr>
        <w:t>CPIA building human resources rating (1=low to 6=high), Educational attainment, at least completed upper secondary, population 25+, total (%) (cumulative) and Educational attainment, at least Bachelor's or equivalent, population 25+, total (%) (cumulative)), and GDP per capita and technological progress (</w:t>
      </w:r>
      <w:r w:rsidR="00D850F3" w:rsidRPr="00877454">
        <w:rPr>
          <w:rFonts w:eastAsia="Times New Roman"/>
          <w:color w:val="000000"/>
          <w:sz w:val="20"/>
          <w:szCs w:val="20"/>
        </w:rPr>
        <w:t>ICT service exports (</w:t>
      </w:r>
      <w:proofErr w:type="spellStart"/>
      <w:r w:rsidR="00D850F3" w:rsidRPr="00877454">
        <w:rPr>
          <w:rFonts w:eastAsia="Times New Roman"/>
          <w:color w:val="000000"/>
          <w:sz w:val="20"/>
          <w:szCs w:val="20"/>
        </w:rPr>
        <w:t>BoP</w:t>
      </w:r>
      <w:proofErr w:type="spellEnd"/>
      <w:r w:rsidR="00D850F3" w:rsidRPr="00877454">
        <w:rPr>
          <w:rFonts w:eastAsia="Times New Roman"/>
          <w:color w:val="000000"/>
          <w:sz w:val="20"/>
          <w:szCs w:val="20"/>
        </w:rPr>
        <w:t>, current US$)</w:t>
      </w:r>
      <w:r w:rsidR="00D850F3">
        <w:rPr>
          <w:rFonts w:eastAsia="Times New Roman"/>
          <w:color w:val="000000"/>
          <w:sz w:val="20"/>
          <w:szCs w:val="20"/>
        </w:rPr>
        <w:t xml:space="preserve">, </w:t>
      </w:r>
      <w:r w:rsidR="00212D14" w:rsidRPr="00212D14">
        <w:rPr>
          <w:rFonts w:eastAsia="Times New Roman"/>
          <w:color w:val="000000"/>
        </w:rPr>
        <w:t xml:space="preserve">proxy by </w:t>
      </w:r>
      <w:r w:rsidR="00212D14">
        <w:rPr>
          <w:rFonts w:eastAsia="Times New Roman"/>
          <w:color w:val="000000"/>
        </w:rPr>
        <w:t>m</w:t>
      </w:r>
      <w:r w:rsidR="00212D14" w:rsidRPr="00212D14">
        <w:rPr>
          <w:rFonts w:eastAsia="Times New Roman"/>
          <w:color w:val="000000"/>
        </w:rPr>
        <w:t xml:space="preserve">obile cellular subscriptions (per 100 people) and </w:t>
      </w:r>
      <w:r w:rsidR="00212D14">
        <w:rPr>
          <w:rFonts w:eastAsia="Times New Roman"/>
          <w:color w:val="000000"/>
        </w:rPr>
        <w:t>i</w:t>
      </w:r>
      <w:r w:rsidR="00212D14" w:rsidRPr="00212D14">
        <w:rPr>
          <w:rFonts w:eastAsia="Times New Roman"/>
          <w:color w:val="000000"/>
        </w:rPr>
        <w:t>ndividuals using the Internet (% of population))</w:t>
      </w:r>
      <w:r w:rsidR="00212D14">
        <w:rPr>
          <w:rFonts w:eastAsia="Times New Roman"/>
          <w:color w:val="000000"/>
        </w:rPr>
        <w:t xml:space="preserve">. These findings are in line with </w:t>
      </w:r>
      <w:r w:rsidR="00C378E6" w:rsidRPr="00212D14">
        <w:t xml:space="preserve">Acemoglu, et.al. </w:t>
      </w:r>
      <w:r w:rsidR="00212D14">
        <w:t>(</w:t>
      </w:r>
      <w:r w:rsidR="00C378E6" w:rsidRPr="00212D14">
        <w:t>2014</w:t>
      </w:r>
      <w:r w:rsidR="00212D14">
        <w:t xml:space="preserve">). The authors make the important point about the primacy of institutions as explanatory variable of economic development. </w:t>
      </w:r>
      <w:r w:rsidR="00606A86">
        <w:t xml:space="preserve">Following North and Thomas, the authors argue that institutions impact on total factor productivity (TFP) embodying technological progress among others, human capital and physical capital transmitting influence on economic </w:t>
      </w:r>
      <w:r w:rsidR="00474F36">
        <w:t>development</w:t>
      </w:r>
      <w:r w:rsidR="00606A86">
        <w:t>.</w:t>
      </w:r>
      <w:r w:rsidR="00474F36">
        <w:t xml:space="preserve"> In other words, the direct significant correlation between GDP per capita and variables representing physical capital accumulation, human capital and technological progress reported here can only be realized in full in the future towards vision 2041 through an appropriate institutional umbrella that would unleash developmental impulses from </w:t>
      </w:r>
      <w:r w:rsidR="00B6462B">
        <w:t xml:space="preserve">the three triggers. </w:t>
      </w:r>
      <w:r w:rsidR="00474F36">
        <w:t xml:space="preserve"> </w:t>
      </w:r>
    </w:p>
    <w:tbl>
      <w:tblPr>
        <w:tblW w:w="7550" w:type="dxa"/>
        <w:tblLook w:val="04A0" w:firstRow="1" w:lastRow="0" w:firstColumn="1" w:lastColumn="0" w:noHBand="0" w:noVBand="1"/>
      </w:tblPr>
      <w:tblGrid>
        <w:gridCol w:w="5310"/>
        <w:gridCol w:w="2240"/>
      </w:tblGrid>
      <w:tr w:rsidR="00073CE8" w:rsidRPr="00073CE8" w:rsidTr="00877454">
        <w:trPr>
          <w:trHeight w:val="605"/>
        </w:trPr>
        <w:tc>
          <w:tcPr>
            <w:tcW w:w="7550" w:type="dxa"/>
            <w:gridSpan w:val="2"/>
            <w:tcBorders>
              <w:top w:val="nil"/>
              <w:left w:val="nil"/>
              <w:bottom w:val="nil"/>
              <w:right w:val="nil"/>
            </w:tcBorders>
            <w:shd w:val="clear" w:color="auto" w:fill="auto"/>
            <w:vAlign w:val="bottom"/>
            <w:hideMark/>
          </w:tcPr>
          <w:p w:rsidR="00073CE8" w:rsidRPr="00073CE8" w:rsidRDefault="0065339A" w:rsidP="006202D4">
            <w:pPr>
              <w:spacing w:before="0" w:after="0"/>
              <w:rPr>
                <w:rFonts w:eastAsia="Times New Roman"/>
                <w:b/>
                <w:bCs/>
                <w:color w:val="000000"/>
              </w:rPr>
            </w:pPr>
            <w:r>
              <w:rPr>
                <w:rFonts w:eastAsia="Times New Roman"/>
                <w:b/>
                <w:bCs/>
                <w:color w:val="000000"/>
              </w:rPr>
              <w:t xml:space="preserve">Table 6: </w:t>
            </w:r>
            <w:r w:rsidR="00073CE8" w:rsidRPr="00073CE8">
              <w:rPr>
                <w:rFonts w:eastAsia="Times New Roman"/>
                <w:b/>
                <w:bCs/>
                <w:color w:val="000000"/>
              </w:rPr>
              <w:t>Correlation between GDP per capita and selected human capital</w:t>
            </w:r>
            <w:r w:rsidR="006202D4">
              <w:rPr>
                <w:rFonts w:eastAsia="Times New Roman"/>
                <w:b/>
                <w:bCs/>
                <w:color w:val="000000"/>
              </w:rPr>
              <w:t xml:space="preserve"> and</w:t>
            </w:r>
            <w:r w:rsidR="00073CE8" w:rsidRPr="00073CE8">
              <w:rPr>
                <w:rFonts w:eastAsia="Times New Roman"/>
                <w:b/>
                <w:bCs/>
                <w:color w:val="000000"/>
              </w:rPr>
              <w:t xml:space="preserve"> technology variables, 2015</w:t>
            </w:r>
          </w:p>
        </w:tc>
      </w:tr>
      <w:tr w:rsidR="00073CE8" w:rsidRPr="00073CE8" w:rsidTr="00877454">
        <w:trPr>
          <w:trHeight w:val="290"/>
        </w:trPr>
        <w:tc>
          <w:tcPr>
            <w:tcW w:w="5310" w:type="dxa"/>
            <w:tcBorders>
              <w:top w:val="single" w:sz="4" w:space="0" w:color="auto"/>
              <w:left w:val="nil"/>
              <w:bottom w:val="single" w:sz="4" w:space="0" w:color="auto"/>
              <w:right w:val="nil"/>
            </w:tcBorders>
            <w:shd w:val="clear" w:color="auto" w:fill="auto"/>
            <w:noWrap/>
            <w:vAlign w:val="bottom"/>
            <w:hideMark/>
          </w:tcPr>
          <w:p w:rsidR="00073CE8" w:rsidRPr="00877454" w:rsidRDefault="00073CE8" w:rsidP="00073CE8">
            <w:pPr>
              <w:spacing w:before="0" w:after="0"/>
              <w:rPr>
                <w:rFonts w:eastAsia="Times New Roman"/>
                <w:color w:val="000000"/>
                <w:sz w:val="20"/>
                <w:szCs w:val="20"/>
              </w:rPr>
            </w:pPr>
            <w:r w:rsidRPr="00877454">
              <w:rPr>
                <w:rFonts w:eastAsia="Times New Roman"/>
                <w:color w:val="000000"/>
                <w:sz w:val="20"/>
                <w:szCs w:val="20"/>
              </w:rPr>
              <w:t>Variable</w:t>
            </w:r>
          </w:p>
        </w:tc>
        <w:tc>
          <w:tcPr>
            <w:tcW w:w="2240" w:type="dxa"/>
            <w:tcBorders>
              <w:top w:val="single" w:sz="4" w:space="0" w:color="auto"/>
              <w:left w:val="nil"/>
              <w:bottom w:val="single" w:sz="4" w:space="0" w:color="auto"/>
              <w:right w:val="nil"/>
            </w:tcBorders>
            <w:shd w:val="clear" w:color="auto" w:fill="auto"/>
            <w:noWrap/>
            <w:vAlign w:val="bottom"/>
            <w:hideMark/>
          </w:tcPr>
          <w:p w:rsidR="00073CE8" w:rsidRPr="00877454" w:rsidRDefault="00073CE8" w:rsidP="006202D4">
            <w:pPr>
              <w:spacing w:before="0" w:after="0"/>
              <w:jc w:val="right"/>
              <w:rPr>
                <w:rFonts w:eastAsia="Times New Roman"/>
                <w:color w:val="000000"/>
                <w:sz w:val="20"/>
                <w:szCs w:val="20"/>
              </w:rPr>
            </w:pPr>
            <w:r w:rsidRPr="00877454">
              <w:rPr>
                <w:rFonts w:eastAsia="Times New Roman"/>
                <w:color w:val="000000"/>
                <w:sz w:val="20"/>
                <w:szCs w:val="20"/>
              </w:rPr>
              <w:t>Correlation coefficient</w:t>
            </w:r>
          </w:p>
        </w:tc>
      </w:tr>
      <w:tr w:rsidR="00383972" w:rsidRPr="00073CE8" w:rsidTr="00877454">
        <w:trPr>
          <w:trHeight w:val="290"/>
        </w:trPr>
        <w:tc>
          <w:tcPr>
            <w:tcW w:w="5310" w:type="dxa"/>
            <w:tcBorders>
              <w:top w:val="nil"/>
              <w:left w:val="nil"/>
              <w:bottom w:val="nil"/>
              <w:right w:val="nil"/>
            </w:tcBorders>
            <w:shd w:val="clear" w:color="auto" w:fill="auto"/>
            <w:vAlign w:val="bottom"/>
          </w:tcPr>
          <w:p w:rsidR="00383972" w:rsidRPr="00877454" w:rsidRDefault="00383972" w:rsidP="00073CE8">
            <w:pPr>
              <w:spacing w:before="0" w:after="0"/>
              <w:rPr>
                <w:rFonts w:eastAsia="Times New Roman"/>
                <w:color w:val="000000"/>
                <w:sz w:val="20"/>
                <w:szCs w:val="20"/>
              </w:rPr>
            </w:pPr>
            <w:r w:rsidRPr="00877454">
              <w:rPr>
                <w:rFonts w:eastAsia="Times New Roman"/>
                <w:color w:val="000000"/>
                <w:sz w:val="20"/>
                <w:szCs w:val="20"/>
              </w:rPr>
              <w:t>Rule of law</w:t>
            </w:r>
          </w:p>
        </w:tc>
        <w:tc>
          <w:tcPr>
            <w:tcW w:w="2240" w:type="dxa"/>
            <w:tcBorders>
              <w:top w:val="nil"/>
              <w:left w:val="nil"/>
              <w:bottom w:val="nil"/>
              <w:right w:val="nil"/>
            </w:tcBorders>
            <w:shd w:val="clear" w:color="auto" w:fill="auto"/>
            <w:noWrap/>
            <w:vAlign w:val="bottom"/>
          </w:tcPr>
          <w:p w:rsidR="00383972" w:rsidRPr="00877454" w:rsidRDefault="00383972" w:rsidP="00073CE8">
            <w:pPr>
              <w:spacing w:before="0" w:after="0"/>
              <w:jc w:val="right"/>
              <w:rPr>
                <w:rFonts w:eastAsia="Times New Roman"/>
                <w:color w:val="000000"/>
                <w:sz w:val="20"/>
                <w:szCs w:val="20"/>
              </w:rPr>
            </w:pPr>
            <w:r w:rsidRPr="00877454">
              <w:rPr>
                <w:rFonts w:eastAsia="Times New Roman"/>
                <w:color w:val="000000"/>
                <w:sz w:val="20"/>
                <w:szCs w:val="20"/>
              </w:rPr>
              <w:t>0.79</w:t>
            </w:r>
          </w:p>
        </w:tc>
      </w:tr>
      <w:tr w:rsidR="006D3C84" w:rsidRPr="00073CE8" w:rsidTr="00877454">
        <w:trPr>
          <w:trHeight w:val="290"/>
        </w:trPr>
        <w:tc>
          <w:tcPr>
            <w:tcW w:w="5310" w:type="dxa"/>
            <w:tcBorders>
              <w:top w:val="nil"/>
              <w:left w:val="nil"/>
              <w:bottom w:val="nil"/>
              <w:right w:val="nil"/>
            </w:tcBorders>
            <w:shd w:val="clear" w:color="auto" w:fill="auto"/>
            <w:vAlign w:val="bottom"/>
          </w:tcPr>
          <w:p w:rsidR="006D3C84" w:rsidRPr="00877454" w:rsidRDefault="006D3C84" w:rsidP="00073CE8">
            <w:pPr>
              <w:spacing w:before="0" w:after="0"/>
              <w:rPr>
                <w:rFonts w:eastAsia="Times New Roman"/>
                <w:color w:val="000000"/>
                <w:sz w:val="20"/>
                <w:szCs w:val="20"/>
              </w:rPr>
            </w:pPr>
            <w:r w:rsidRPr="00877454">
              <w:rPr>
                <w:rFonts w:eastAsia="Times New Roman"/>
                <w:color w:val="000000"/>
                <w:sz w:val="20"/>
                <w:szCs w:val="20"/>
              </w:rPr>
              <w:t>Gross fixed capital formation</w:t>
            </w:r>
          </w:p>
        </w:tc>
        <w:tc>
          <w:tcPr>
            <w:tcW w:w="2240" w:type="dxa"/>
            <w:tcBorders>
              <w:top w:val="nil"/>
              <w:left w:val="nil"/>
              <w:bottom w:val="nil"/>
              <w:right w:val="nil"/>
            </w:tcBorders>
            <w:shd w:val="clear" w:color="auto" w:fill="auto"/>
            <w:noWrap/>
            <w:vAlign w:val="bottom"/>
          </w:tcPr>
          <w:p w:rsidR="006D3C84" w:rsidRPr="00877454" w:rsidRDefault="006D3C84" w:rsidP="00073CE8">
            <w:pPr>
              <w:spacing w:before="0" w:after="0"/>
              <w:jc w:val="right"/>
              <w:rPr>
                <w:rFonts w:eastAsia="Times New Roman"/>
                <w:color w:val="000000"/>
                <w:sz w:val="20"/>
                <w:szCs w:val="20"/>
              </w:rPr>
            </w:pPr>
            <w:r w:rsidRPr="00877454">
              <w:rPr>
                <w:rFonts w:eastAsia="Times New Roman"/>
                <w:color w:val="000000"/>
                <w:sz w:val="20"/>
                <w:szCs w:val="20"/>
              </w:rPr>
              <w:t>0.34</w:t>
            </w:r>
          </w:p>
        </w:tc>
      </w:tr>
      <w:tr w:rsidR="00D850F3" w:rsidRPr="00073CE8" w:rsidTr="00877454">
        <w:trPr>
          <w:trHeight w:val="290"/>
        </w:trPr>
        <w:tc>
          <w:tcPr>
            <w:tcW w:w="5310" w:type="dxa"/>
            <w:tcBorders>
              <w:top w:val="nil"/>
              <w:left w:val="nil"/>
              <w:bottom w:val="nil"/>
              <w:right w:val="nil"/>
            </w:tcBorders>
            <w:shd w:val="clear" w:color="auto" w:fill="auto"/>
            <w:vAlign w:val="bottom"/>
          </w:tcPr>
          <w:p w:rsidR="00D850F3" w:rsidRPr="00877454" w:rsidRDefault="00D850F3" w:rsidP="00D850F3">
            <w:pPr>
              <w:spacing w:before="0" w:after="0" w:line="276" w:lineRule="auto"/>
              <w:rPr>
                <w:rFonts w:eastAsia="Times New Roman"/>
                <w:color w:val="000000"/>
                <w:sz w:val="20"/>
                <w:szCs w:val="20"/>
              </w:rPr>
            </w:pPr>
            <w:r w:rsidRPr="00877454">
              <w:rPr>
                <w:rFonts w:eastAsia="Times New Roman"/>
                <w:color w:val="000000"/>
                <w:sz w:val="20"/>
                <w:szCs w:val="20"/>
              </w:rPr>
              <w:t>CPIA building human resources rating (1=low to 6=high)</w:t>
            </w:r>
          </w:p>
        </w:tc>
        <w:tc>
          <w:tcPr>
            <w:tcW w:w="2240" w:type="dxa"/>
            <w:tcBorders>
              <w:top w:val="nil"/>
              <w:left w:val="nil"/>
              <w:bottom w:val="nil"/>
              <w:right w:val="nil"/>
            </w:tcBorders>
            <w:shd w:val="clear" w:color="auto" w:fill="auto"/>
            <w:noWrap/>
            <w:vAlign w:val="bottom"/>
          </w:tcPr>
          <w:p w:rsidR="00D850F3" w:rsidRPr="00877454" w:rsidRDefault="00D850F3" w:rsidP="00D850F3">
            <w:pPr>
              <w:spacing w:before="0" w:after="0" w:line="276" w:lineRule="auto"/>
              <w:jc w:val="right"/>
              <w:rPr>
                <w:rFonts w:eastAsia="Times New Roman"/>
                <w:color w:val="000000"/>
                <w:sz w:val="20"/>
                <w:szCs w:val="20"/>
              </w:rPr>
            </w:pPr>
            <w:r w:rsidRPr="00877454">
              <w:rPr>
                <w:rFonts w:eastAsia="Times New Roman"/>
                <w:color w:val="000000"/>
                <w:sz w:val="20"/>
                <w:szCs w:val="20"/>
              </w:rPr>
              <w:t>0.38</w:t>
            </w:r>
          </w:p>
        </w:tc>
      </w:tr>
      <w:tr w:rsidR="00D850F3" w:rsidRPr="00073CE8" w:rsidTr="00D850F3">
        <w:trPr>
          <w:trHeight w:val="290"/>
        </w:trPr>
        <w:tc>
          <w:tcPr>
            <w:tcW w:w="5310" w:type="dxa"/>
            <w:tcBorders>
              <w:top w:val="nil"/>
              <w:left w:val="nil"/>
              <w:bottom w:val="nil"/>
              <w:right w:val="nil"/>
            </w:tcBorders>
            <w:shd w:val="clear" w:color="auto" w:fill="auto"/>
            <w:vAlign w:val="bottom"/>
          </w:tcPr>
          <w:p w:rsidR="00D850F3" w:rsidRPr="00877454" w:rsidRDefault="00D850F3" w:rsidP="00D850F3">
            <w:pPr>
              <w:spacing w:before="0" w:after="0" w:line="276" w:lineRule="auto"/>
              <w:rPr>
                <w:rFonts w:eastAsia="Times New Roman"/>
                <w:color w:val="000000"/>
                <w:sz w:val="20"/>
                <w:szCs w:val="20"/>
              </w:rPr>
            </w:pPr>
            <w:r w:rsidRPr="00877454">
              <w:rPr>
                <w:rFonts w:eastAsia="Times New Roman"/>
                <w:color w:val="000000"/>
                <w:sz w:val="20"/>
                <w:szCs w:val="20"/>
              </w:rPr>
              <w:t>Educational attainment, at least completed upper secondary, population 25+, total (%) (cumulative)</w:t>
            </w:r>
          </w:p>
        </w:tc>
        <w:tc>
          <w:tcPr>
            <w:tcW w:w="2240" w:type="dxa"/>
            <w:tcBorders>
              <w:top w:val="nil"/>
              <w:left w:val="nil"/>
              <w:bottom w:val="nil"/>
              <w:right w:val="nil"/>
            </w:tcBorders>
            <w:shd w:val="clear" w:color="auto" w:fill="auto"/>
            <w:noWrap/>
            <w:vAlign w:val="bottom"/>
          </w:tcPr>
          <w:p w:rsidR="00D850F3" w:rsidRPr="00877454" w:rsidRDefault="00D850F3" w:rsidP="00D850F3">
            <w:pPr>
              <w:spacing w:before="0" w:after="0" w:line="276" w:lineRule="auto"/>
              <w:jc w:val="right"/>
              <w:rPr>
                <w:rFonts w:eastAsia="Times New Roman"/>
                <w:color w:val="000000"/>
                <w:sz w:val="20"/>
                <w:szCs w:val="20"/>
              </w:rPr>
            </w:pPr>
            <w:r w:rsidRPr="00877454">
              <w:rPr>
                <w:rFonts w:eastAsia="Times New Roman"/>
                <w:color w:val="000000"/>
                <w:sz w:val="20"/>
                <w:szCs w:val="20"/>
              </w:rPr>
              <w:t>0.37</w:t>
            </w:r>
          </w:p>
        </w:tc>
      </w:tr>
      <w:tr w:rsidR="00D850F3" w:rsidRPr="00073CE8" w:rsidTr="00D850F3">
        <w:trPr>
          <w:trHeight w:val="290"/>
        </w:trPr>
        <w:tc>
          <w:tcPr>
            <w:tcW w:w="5310" w:type="dxa"/>
            <w:tcBorders>
              <w:top w:val="nil"/>
              <w:left w:val="nil"/>
              <w:bottom w:val="nil"/>
              <w:right w:val="nil"/>
            </w:tcBorders>
            <w:shd w:val="clear" w:color="auto" w:fill="auto"/>
            <w:vAlign w:val="bottom"/>
          </w:tcPr>
          <w:p w:rsidR="00D850F3" w:rsidRPr="00877454" w:rsidRDefault="00D850F3" w:rsidP="00D850F3">
            <w:pPr>
              <w:spacing w:before="0" w:after="0" w:line="276" w:lineRule="auto"/>
              <w:rPr>
                <w:rFonts w:eastAsia="Times New Roman"/>
                <w:color w:val="000000"/>
                <w:sz w:val="20"/>
                <w:szCs w:val="20"/>
              </w:rPr>
            </w:pPr>
            <w:r w:rsidRPr="00877454">
              <w:rPr>
                <w:rFonts w:eastAsia="Times New Roman"/>
                <w:color w:val="000000"/>
                <w:sz w:val="20"/>
                <w:szCs w:val="20"/>
              </w:rPr>
              <w:t>Educational attainment, at least Bachelor's or equivalent, population 25+, total (%) (cumulative)</w:t>
            </w:r>
          </w:p>
        </w:tc>
        <w:tc>
          <w:tcPr>
            <w:tcW w:w="2240" w:type="dxa"/>
            <w:tcBorders>
              <w:top w:val="nil"/>
              <w:left w:val="nil"/>
              <w:bottom w:val="nil"/>
              <w:right w:val="nil"/>
            </w:tcBorders>
            <w:shd w:val="clear" w:color="auto" w:fill="auto"/>
            <w:noWrap/>
            <w:vAlign w:val="bottom"/>
          </w:tcPr>
          <w:p w:rsidR="00D850F3" w:rsidRPr="00877454" w:rsidRDefault="00D850F3" w:rsidP="00D850F3">
            <w:pPr>
              <w:spacing w:before="0" w:after="0" w:line="276" w:lineRule="auto"/>
              <w:jc w:val="right"/>
              <w:rPr>
                <w:rFonts w:eastAsia="Times New Roman"/>
                <w:color w:val="000000"/>
                <w:sz w:val="20"/>
                <w:szCs w:val="20"/>
              </w:rPr>
            </w:pPr>
            <w:r w:rsidRPr="00877454">
              <w:rPr>
                <w:rFonts w:eastAsia="Times New Roman"/>
                <w:color w:val="000000"/>
                <w:sz w:val="20"/>
                <w:szCs w:val="20"/>
              </w:rPr>
              <w:t>0.74</w:t>
            </w:r>
          </w:p>
        </w:tc>
      </w:tr>
      <w:tr w:rsidR="00D850F3" w:rsidRPr="00073CE8" w:rsidTr="00D850F3">
        <w:trPr>
          <w:trHeight w:val="290"/>
        </w:trPr>
        <w:tc>
          <w:tcPr>
            <w:tcW w:w="5310" w:type="dxa"/>
            <w:tcBorders>
              <w:top w:val="nil"/>
              <w:left w:val="nil"/>
              <w:bottom w:val="nil"/>
              <w:right w:val="nil"/>
            </w:tcBorders>
            <w:shd w:val="clear" w:color="auto" w:fill="auto"/>
            <w:vAlign w:val="bottom"/>
          </w:tcPr>
          <w:p w:rsidR="00D850F3" w:rsidRPr="00877454" w:rsidRDefault="00D850F3" w:rsidP="00D850F3">
            <w:pPr>
              <w:spacing w:before="0" w:after="0"/>
              <w:rPr>
                <w:rFonts w:eastAsia="Times New Roman"/>
                <w:color w:val="000000"/>
                <w:sz w:val="20"/>
                <w:szCs w:val="20"/>
              </w:rPr>
            </w:pPr>
            <w:r w:rsidRPr="00877454">
              <w:rPr>
                <w:rFonts w:eastAsia="Times New Roman"/>
                <w:color w:val="000000"/>
                <w:sz w:val="20"/>
                <w:szCs w:val="20"/>
              </w:rPr>
              <w:t>ICT service exports (</w:t>
            </w:r>
            <w:proofErr w:type="spellStart"/>
            <w:r w:rsidRPr="00877454">
              <w:rPr>
                <w:rFonts w:eastAsia="Times New Roman"/>
                <w:color w:val="000000"/>
                <w:sz w:val="20"/>
                <w:szCs w:val="20"/>
              </w:rPr>
              <w:t>BoP</w:t>
            </w:r>
            <w:proofErr w:type="spellEnd"/>
            <w:r w:rsidRPr="00877454">
              <w:rPr>
                <w:rFonts w:eastAsia="Times New Roman"/>
                <w:color w:val="000000"/>
                <w:sz w:val="20"/>
                <w:szCs w:val="20"/>
              </w:rPr>
              <w:t>, current US$)</w:t>
            </w:r>
          </w:p>
        </w:tc>
        <w:tc>
          <w:tcPr>
            <w:tcW w:w="2240" w:type="dxa"/>
            <w:tcBorders>
              <w:top w:val="nil"/>
              <w:left w:val="nil"/>
              <w:bottom w:val="nil"/>
              <w:right w:val="nil"/>
            </w:tcBorders>
            <w:shd w:val="clear" w:color="auto" w:fill="auto"/>
            <w:noWrap/>
            <w:vAlign w:val="bottom"/>
          </w:tcPr>
          <w:p w:rsidR="00D850F3" w:rsidRPr="00877454" w:rsidRDefault="00D850F3" w:rsidP="00D850F3">
            <w:pPr>
              <w:spacing w:before="0" w:after="0"/>
              <w:jc w:val="right"/>
              <w:rPr>
                <w:rFonts w:eastAsia="Times New Roman"/>
                <w:color w:val="000000"/>
                <w:sz w:val="20"/>
                <w:szCs w:val="20"/>
              </w:rPr>
            </w:pPr>
            <w:r w:rsidRPr="00877454">
              <w:rPr>
                <w:rFonts w:eastAsia="Times New Roman"/>
                <w:color w:val="000000"/>
                <w:sz w:val="20"/>
                <w:szCs w:val="20"/>
              </w:rPr>
              <w:t>0.52</w:t>
            </w:r>
          </w:p>
        </w:tc>
      </w:tr>
      <w:tr w:rsidR="00D850F3" w:rsidRPr="00073CE8" w:rsidTr="00D850F3">
        <w:trPr>
          <w:trHeight w:val="290"/>
        </w:trPr>
        <w:tc>
          <w:tcPr>
            <w:tcW w:w="5310" w:type="dxa"/>
            <w:tcBorders>
              <w:top w:val="nil"/>
              <w:left w:val="nil"/>
              <w:right w:val="nil"/>
            </w:tcBorders>
            <w:shd w:val="clear" w:color="auto" w:fill="auto"/>
            <w:vAlign w:val="bottom"/>
            <w:hideMark/>
          </w:tcPr>
          <w:p w:rsidR="00D850F3" w:rsidRPr="00877454" w:rsidRDefault="00D850F3" w:rsidP="00D850F3">
            <w:pPr>
              <w:spacing w:before="0" w:after="0"/>
              <w:rPr>
                <w:rFonts w:eastAsia="Times New Roman"/>
                <w:color w:val="000000"/>
                <w:sz w:val="20"/>
                <w:szCs w:val="20"/>
              </w:rPr>
            </w:pPr>
            <w:r w:rsidRPr="00877454">
              <w:rPr>
                <w:rFonts w:eastAsia="Times New Roman"/>
                <w:color w:val="000000"/>
                <w:sz w:val="20"/>
                <w:szCs w:val="20"/>
              </w:rPr>
              <w:t>Mobile cellular subscriptions (per 100 people)</w:t>
            </w:r>
          </w:p>
        </w:tc>
        <w:tc>
          <w:tcPr>
            <w:tcW w:w="2240" w:type="dxa"/>
            <w:tcBorders>
              <w:top w:val="nil"/>
              <w:left w:val="nil"/>
              <w:right w:val="nil"/>
            </w:tcBorders>
            <w:shd w:val="clear" w:color="auto" w:fill="auto"/>
            <w:noWrap/>
            <w:vAlign w:val="bottom"/>
            <w:hideMark/>
          </w:tcPr>
          <w:p w:rsidR="00D850F3" w:rsidRPr="00877454" w:rsidRDefault="00D850F3" w:rsidP="00D850F3">
            <w:pPr>
              <w:spacing w:before="0" w:after="0"/>
              <w:jc w:val="right"/>
              <w:rPr>
                <w:rFonts w:eastAsia="Times New Roman"/>
                <w:color w:val="000000"/>
                <w:sz w:val="20"/>
                <w:szCs w:val="20"/>
              </w:rPr>
            </w:pPr>
            <w:r w:rsidRPr="00877454">
              <w:rPr>
                <w:rFonts w:eastAsia="Times New Roman"/>
                <w:color w:val="000000"/>
                <w:sz w:val="20"/>
                <w:szCs w:val="20"/>
              </w:rPr>
              <w:t>0.35</w:t>
            </w:r>
          </w:p>
        </w:tc>
      </w:tr>
      <w:tr w:rsidR="00D850F3" w:rsidRPr="00073CE8" w:rsidTr="00D850F3">
        <w:trPr>
          <w:trHeight w:val="290"/>
        </w:trPr>
        <w:tc>
          <w:tcPr>
            <w:tcW w:w="5310" w:type="dxa"/>
            <w:tcBorders>
              <w:top w:val="nil"/>
              <w:left w:val="nil"/>
              <w:bottom w:val="single" w:sz="4" w:space="0" w:color="auto"/>
              <w:right w:val="nil"/>
            </w:tcBorders>
            <w:shd w:val="clear" w:color="auto" w:fill="auto"/>
            <w:vAlign w:val="bottom"/>
            <w:hideMark/>
          </w:tcPr>
          <w:p w:rsidR="00D850F3" w:rsidRPr="00877454" w:rsidRDefault="00D850F3" w:rsidP="00D850F3">
            <w:pPr>
              <w:spacing w:before="0" w:after="0"/>
              <w:rPr>
                <w:rFonts w:eastAsia="Times New Roman"/>
                <w:color w:val="000000"/>
                <w:sz w:val="20"/>
                <w:szCs w:val="20"/>
              </w:rPr>
            </w:pPr>
            <w:r w:rsidRPr="00877454">
              <w:rPr>
                <w:rFonts w:eastAsia="Times New Roman"/>
                <w:color w:val="000000"/>
                <w:sz w:val="20"/>
                <w:szCs w:val="20"/>
              </w:rPr>
              <w:t>Individuals using the Internet (% of population)</w:t>
            </w:r>
          </w:p>
        </w:tc>
        <w:tc>
          <w:tcPr>
            <w:tcW w:w="2240" w:type="dxa"/>
            <w:tcBorders>
              <w:top w:val="nil"/>
              <w:left w:val="nil"/>
              <w:bottom w:val="single" w:sz="4" w:space="0" w:color="auto"/>
              <w:right w:val="nil"/>
            </w:tcBorders>
            <w:shd w:val="clear" w:color="auto" w:fill="auto"/>
            <w:noWrap/>
            <w:vAlign w:val="bottom"/>
            <w:hideMark/>
          </w:tcPr>
          <w:p w:rsidR="00D850F3" w:rsidRPr="00877454" w:rsidRDefault="00D850F3" w:rsidP="00D850F3">
            <w:pPr>
              <w:spacing w:before="0" w:after="0"/>
              <w:jc w:val="right"/>
              <w:rPr>
                <w:rFonts w:eastAsia="Times New Roman"/>
                <w:color w:val="000000"/>
                <w:sz w:val="20"/>
                <w:szCs w:val="20"/>
              </w:rPr>
            </w:pPr>
            <w:r w:rsidRPr="00877454">
              <w:rPr>
                <w:rFonts w:eastAsia="Times New Roman"/>
                <w:color w:val="000000"/>
                <w:sz w:val="20"/>
                <w:szCs w:val="20"/>
              </w:rPr>
              <w:t>0.73</w:t>
            </w:r>
          </w:p>
        </w:tc>
      </w:tr>
      <w:tr w:rsidR="00D850F3" w:rsidRPr="00073CE8" w:rsidTr="00D850F3">
        <w:trPr>
          <w:trHeight w:val="290"/>
        </w:trPr>
        <w:tc>
          <w:tcPr>
            <w:tcW w:w="5310" w:type="dxa"/>
            <w:tcBorders>
              <w:top w:val="single" w:sz="4" w:space="0" w:color="auto"/>
              <w:left w:val="nil"/>
              <w:bottom w:val="nil"/>
              <w:right w:val="nil"/>
            </w:tcBorders>
            <w:shd w:val="clear" w:color="auto" w:fill="auto"/>
            <w:noWrap/>
            <w:vAlign w:val="bottom"/>
            <w:hideMark/>
          </w:tcPr>
          <w:p w:rsidR="00D850F3" w:rsidRPr="00877454" w:rsidRDefault="00D850F3" w:rsidP="00D850F3">
            <w:pPr>
              <w:spacing w:before="0" w:after="0"/>
              <w:rPr>
                <w:rFonts w:eastAsia="Times New Roman"/>
                <w:color w:val="000000"/>
                <w:sz w:val="18"/>
                <w:szCs w:val="18"/>
              </w:rPr>
            </w:pPr>
            <w:r w:rsidRPr="00877454">
              <w:rPr>
                <w:rFonts w:eastAsia="Times New Roman"/>
                <w:color w:val="000000"/>
                <w:sz w:val="18"/>
                <w:szCs w:val="18"/>
              </w:rPr>
              <w:t>All coefficients are significant at 1% level.</w:t>
            </w:r>
          </w:p>
        </w:tc>
        <w:tc>
          <w:tcPr>
            <w:tcW w:w="2240" w:type="dxa"/>
            <w:tcBorders>
              <w:top w:val="single" w:sz="4" w:space="0" w:color="auto"/>
              <w:left w:val="nil"/>
              <w:bottom w:val="nil"/>
              <w:right w:val="nil"/>
            </w:tcBorders>
            <w:shd w:val="clear" w:color="auto" w:fill="auto"/>
            <w:noWrap/>
            <w:vAlign w:val="bottom"/>
            <w:hideMark/>
          </w:tcPr>
          <w:p w:rsidR="00D850F3" w:rsidRPr="00073CE8" w:rsidRDefault="00D850F3" w:rsidP="00D850F3">
            <w:pPr>
              <w:spacing w:before="0" w:after="0"/>
              <w:rPr>
                <w:rFonts w:ascii="Calibri" w:eastAsia="Times New Roman" w:hAnsi="Calibri" w:cs="Calibri"/>
                <w:color w:val="000000"/>
              </w:rPr>
            </w:pPr>
          </w:p>
        </w:tc>
      </w:tr>
      <w:tr w:rsidR="00D850F3" w:rsidRPr="00073CE8" w:rsidTr="00877454">
        <w:trPr>
          <w:trHeight w:val="290"/>
        </w:trPr>
        <w:tc>
          <w:tcPr>
            <w:tcW w:w="5310" w:type="dxa"/>
            <w:tcBorders>
              <w:top w:val="nil"/>
              <w:left w:val="nil"/>
              <w:bottom w:val="nil"/>
              <w:right w:val="nil"/>
            </w:tcBorders>
            <w:shd w:val="clear" w:color="auto" w:fill="auto"/>
            <w:noWrap/>
            <w:vAlign w:val="bottom"/>
          </w:tcPr>
          <w:p w:rsidR="00D850F3" w:rsidRPr="00877454" w:rsidRDefault="00D850F3" w:rsidP="00D850F3">
            <w:pPr>
              <w:spacing w:before="0" w:after="0"/>
              <w:rPr>
                <w:rFonts w:eastAsia="Times New Roman"/>
                <w:color w:val="000000"/>
                <w:sz w:val="18"/>
                <w:szCs w:val="18"/>
              </w:rPr>
            </w:pPr>
            <w:r>
              <w:rPr>
                <w:rFonts w:eastAsia="Times New Roman"/>
                <w:color w:val="000000"/>
                <w:sz w:val="18"/>
                <w:szCs w:val="18"/>
              </w:rPr>
              <w:t>Source: World Bank, WDI.</w:t>
            </w:r>
          </w:p>
        </w:tc>
        <w:tc>
          <w:tcPr>
            <w:tcW w:w="2240" w:type="dxa"/>
            <w:tcBorders>
              <w:top w:val="nil"/>
              <w:left w:val="nil"/>
              <w:bottom w:val="nil"/>
              <w:right w:val="nil"/>
            </w:tcBorders>
            <w:shd w:val="clear" w:color="auto" w:fill="auto"/>
            <w:noWrap/>
            <w:vAlign w:val="bottom"/>
          </w:tcPr>
          <w:p w:rsidR="00D850F3" w:rsidRPr="00073CE8" w:rsidRDefault="00D850F3" w:rsidP="00D850F3">
            <w:pPr>
              <w:spacing w:before="0" w:after="0"/>
              <w:rPr>
                <w:rFonts w:ascii="Calibri" w:eastAsia="Times New Roman" w:hAnsi="Calibri" w:cs="Calibri"/>
                <w:color w:val="000000"/>
              </w:rPr>
            </w:pPr>
          </w:p>
        </w:tc>
      </w:tr>
    </w:tbl>
    <w:p w:rsidR="006202D4" w:rsidRDefault="006202D4" w:rsidP="006202D4">
      <w:pPr>
        <w:spacing w:before="0" w:after="200" w:line="276" w:lineRule="auto"/>
      </w:pPr>
      <w:r w:rsidRPr="002B17C3">
        <w:t xml:space="preserve">Policy and institutional reforms will have to play a vital catalytic role. These are deep seated game changing reforms which will have its natural enemies whose perceived interest may be </w:t>
      </w:r>
      <w:r w:rsidRPr="002B17C3">
        <w:lastRenderedPageBreak/>
        <w:t>hurt. Prompt legislative actions will be crucial but this cannot be guaranteed without well-functioning legislature in which voices of the position and opposition are equally heard and respected and accommodated. This implies a smoothly functioning participatory democracy. At the same time an impartial, honest, independent and separate judiciary must be functioning to consolidate legal foundation and adjudicate conflicts. Fundamental reforms of economic and social institutions will lay the foundation for physical and human capital accumulation and technological progress. Financial (fiscal and monetary), banking, trade and capital market reforms combined with market liberalization measures, incentive and legal and regulatory framework and internal and external security shall pave the way for physical capital accumulation. Bangladeshi investors will not be seeking refuge in Gambia to invest money nor will they take money out of the country through illegal means because there will be plenty of opportunity for productive and profitable investments in a secure Bangladesh without fear or favor of anyone except market operators. This scenario will be further emboldened and enhanced by structural reforms of the educational system under the 2010 education policy and government’s new and strong emphasis on skill and technology development. The Skill for Employment Investment Program, strengthening of the TVET program, the digital Bangladesh drive and IT parks development initiative are moves in the right direction to expand the human resources and technology base. Non-governmental and community based organizations will bring in new ideas, make accumulation and technological progress more inclusive and effective establishing links with the real problems of the real people.</w:t>
      </w:r>
    </w:p>
    <w:p w:rsidR="00F85647" w:rsidRPr="00574AC7" w:rsidRDefault="00F85647" w:rsidP="00F85647">
      <w:pPr>
        <w:spacing w:before="0" w:after="200" w:line="276" w:lineRule="auto"/>
        <w:rPr>
          <w:b/>
        </w:rPr>
      </w:pPr>
      <w:r w:rsidRPr="00574AC7">
        <w:rPr>
          <w:b/>
        </w:rPr>
        <w:t>Physical capital accumulation</w:t>
      </w:r>
    </w:p>
    <w:p w:rsidR="00F85647" w:rsidRPr="006F2679" w:rsidRDefault="00F85647" w:rsidP="00F85647">
      <w:pPr>
        <w:spacing w:before="0" w:after="200" w:line="276" w:lineRule="auto"/>
      </w:pPr>
      <w:r w:rsidRPr="006F2679">
        <w:t xml:space="preserve">Physical capital is the capital stock in production function comprising machinery, building, computers and the like. Combined with land and labor and pushed by technology it contributes to production and growth. Capital has life and it is not used up completely in one production cycle though it depreciates at a given rate with time and use. Provision has to be made for replacement of capital through depreciation allowance and for new capital through investment. </w:t>
      </w:r>
    </w:p>
    <w:p w:rsidR="00F85647" w:rsidRDefault="00F85647" w:rsidP="0097503E">
      <w:pPr>
        <w:spacing w:before="0" w:after="200" w:line="276" w:lineRule="auto"/>
      </w:pPr>
      <w:r w:rsidRPr="006F2679">
        <w:t>Institutions that encourage investment in physical capital and R&amp;D</w:t>
      </w:r>
      <w:r>
        <w:t xml:space="preserve"> are</w:t>
      </w:r>
      <w:r w:rsidR="0097503E">
        <w:t xml:space="preserve">: </w:t>
      </w:r>
      <w:r w:rsidRPr="006F2679">
        <w:t>Property rights</w:t>
      </w:r>
      <w:r w:rsidR="0097503E">
        <w:t xml:space="preserve">, </w:t>
      </w:r>
      <w:r w:rsidRPr="006F2679">
        <w:t>honest government</w:t>
      </w:r>
      <w:r w:rsidR="0097503E">
        <w:t xml:space="preserve">, </w:t>
      </w:r>
      <w:r w:rsidRPr="006F2679">
        <w:t>political stability</w:t>
      </w:r>
      <w:r w:rsidR="0097503E">
        <w:t xml:space="preserve">, </w:t>
      </w:r>
      <w:r w:rsidRPr="006F2679">
        <w:t>a dependable legal system</w:t>
      </w:r>
      <w:r w:rsidR="0097503E">
        <w:t xml:space="preserve">, </w:t>
      </w:r>
      <w:r w:rsidRPr="006F2679">
        <w:t>competitive open markets</w:t>
      </w:r>
      <w:r w:rsidR="0097503E">
        <w:t>, c</w:t>
      </w:r>
      <w:r w:rsidRPr="00A90A88">
        <w:t>ommercial settings that help innovators to connect with capitalists</w:t>
      </w:r>
      <w:r w:rsidR="0097503E">
        <w:t>, i</w:t>
      </w:r>
      <w:r w:rsidRPr="00A90A88">
        <w:t>ntellectual property rights</w:t>
      </w:r>
      <w:r w:rsidR="0097503E">
        <w:t>, a</w:t>
      </w:r>
      <w:r w:rsidRPr="00A90A88">
        <w:t xml:space="preserve"> high-quality education system</w:t>
      </w:r>
      <w:r w:rsidR="0097503E">
        <w:t>, a</w:t>
      </w:r>
      <w:r w:rsidRPr="00A90A88">
        <w:t xml:space="preserve"> commercial setting that helps inno</w:t>
      </w:r>
      <w:r w:rsidR="0097503E">
        <w:t>vators connect with capitalists, f</w:t>
      </w:r>
      <w:r w:rsidRPr="00A90A88">
        <w:t>inancial backers</w:t>
      </w:r>
      <w:r w:rsidR="0097503E">
        <w:t xml:space="preserve">, </w:t>
      </w:r>
      <w:r>
        <w:t>venture capitalists</w:t>
      </w:r>
      <w:r w:rsidR="0097503E">
        <w:t>, c</w:t>
      </w:r>
      <w:r>
        <w:t xml:space="preserve">ulture that supports </w:t>
      </w:r>
      <w:r w:rsidRPr="00A90A88">
        <w:t>entrepreneurs</w:t>
      </w:r>
      <w:r>
        <w:t xml:space="preserve"> as the US</w:t>
      </w:r>
      <w:r w:rsidR="0097503E">
        <w:t>, p</w:t>
      </w:r>
      <w:r w:rsidRPr="00A90A88">
        <w:t>atents</w:t>
      </w:r>
      <w:r>
        <w:t xml:space="preserve"> and intellectual property rights</w:t>
      </w:r>
      <w:r w:rsidR="0097503E">
        <w:t>, i</w:t>
      </w:r>
      <w:r w:rsidRPr="00D5652F">
        <w:t>nstitutional subsidy for new ideas, innovations, inventions and prototype and early cycle production</w:t>
      </w:r>
      <w:r w:rsidR="0097503E">
        <w:t xml:space="preserve"> and g</w:t>
      </w:r>
      <w:r>
        <w:t>overnment tax break for R &amp; D investment</w:t>
      </w:r>
      <w:r w:rsidR="0097503E">
        <w:t>.</w:t>
      </w:r>
    </w:p>
    <w:p w:rsidR="00F85647" w:rsidRDefault="00F85647" w:rsidP="0097503E">
      <w:pPr>
        <w:spacing w:before="0" w:after="200" w:line="276" w:lineRule="auto"/>
      </w:pPr>
      <w:r>
        <w:t>Cross-country correlation of gross fixed capital formation and selected institutional variables (Table 7) highlight the importance of the following (highly significant correlation):</w:t>
      </w:r>
      <w:r w:rsidR="0097503E">
        <w:t xml:space="preserve"> </w:t>
      </w:r>
      <w:r>
        <w:t>Governance effectiveness</w:t>
      </w:r>
      <w:r w:rsidR="0097503E">
        <w:t xml:space="preserve">; </w:t>
      </w:r>
      <w:r>
        <w:t>Rule of law</w:t>
      </w:r>
      <w:r w:rsidR="0097503E">
        <w:t xml:space="preserve">; </w:t>
      </w:r>
      <w:r>
        <w:t>Economic freedom</w:t>
      </w:r>
      <w:r w:rsidR="0097503E">
        <w:t xml:space="preserve">; </w:t>
      </w:r>
      <w:r>
        <w:t>Corruption perception</w:t>
      </w:r>
      <w:r w:rsidR="0097503E">
        <w:t xml:space="preserve">; </w:t>
      </w:r>
      <w:r>
        <w:t>Global competitiveness</w:t>
      </w:r>
      <w:r w:rsidR="0097503E">
        <w:t xml:space="preserve">; </w:t>
      </w:r>
      <w:r>
        <w:t>Democracy</w:t>
      </w:r>
      <w:r w:rsidR="0097503E">
        <w:t xml:space="preserve">; </w:t>
      </w:r>
      <w:r>
        <w:t>Ease of doing business</w:t>
      </w:r>
      <w:r w:rsidR="0097503E">
        <w:t>;</w:t>
      </w:r>
      <w:r>
        <w:t xml:space="preserve"> and</w:t>
      </w:r>
      <w:r w:rsidR="0097503E">
        <w:t xml:space="preserve"> </w:t>
      </w:r>
      <w:r>
        <w:t>Freedom</w:t>
      </w:r>
      <w:r w:rsidR="0097503E">
        <w:t>.</w:t>
      </w:r>
    </w:p>
    <w:p w:rsidR="00F85647" w:rsidRPr="00574AC7" w:rsidRDefault="00F85647" w:rsidP="00F85647">
      <w:pPr>
        <w:spacing w:before="0" w:after="200" w:line="276" w:lineRule="auto"/>
      </w:pPr>
      <w:r w:rsidRPr="00574AC7">
        <w:lastRenderedPageBreak/>
        <w:t>What the above implies</w:t>
      </w:r>
      <w:r>
        <w:t>, institutions protecting rights, freedom, market, innovation and business environment are critical for longer-term transformational investments in physical capital accumulation.</w:t>
      </w:r>
      <w:r w:rsidR="00436EAB">
        <w:t xml:space="preserve"> As indicated above capital accumulation will be influenced by technology, in turn technology will influence capital and the two together will determine the rate and structure of growth over the longer-term. Bangladesh will have to invest in both capital and technology in order for capital-technology-capital dynamics work out fully through </w:t>
      </w:r>
      <w:r w:rsidR="00696942">
        <w:t>productivity</w:t>
      </w:r>
      <w:r w:rsidR="00436EAB">
        <w:t xml:space="preserve"> growth to trigger accelerated economic growth</w:t>
      </w:r>
      <w:r w:rsidR="00696942">
        <w:t xml:space="preserve"> on the path to a developed country</w:t>
      </w:r>
      <w:r w:rsidR="000F2C84">
        <w:t xml:space="preserve"> </w:t>
      </w:r>
      <w:r w:rsidR="00696942">
        <w:t>(Figure 3</w:t>
      </w:r>
      <w:r w:rsidR="00FB78F5">
        <w:t>6</w:t>
      </w:r>
      <w:r w:rsidR="00696942">
        <w:t>)</w:t>
      </w:r>
      <w:r w:rsidR="00436EAB">
        <w:t>.</w:t>
      </w:r>
    </w:p>
    <w:p w:rsidR="00F85647" w:rsidRPr="009A64FF" w:rsidRDefault="00F85647" w:rsidP="00F85647">
      <w:pPr>
        <w:spacing w:before="0" w:after="0" w:line="276" w:lineRule="auto"/>
        <w:rPr>
          <w:b/>
        </w:rPr>
      </w:pPr>
      <w:r>
        <w:rPr>
          <w:b/>
        </w:rPr>
        <w:t>Table 7: Correlation between gross fixed capital formation and selected institutional indicators</w:t>
      </w:r>
    </w:p>
    <w:tbl>
      <w:tblPr>
        <w:tblW w:w="9450" w:type="dxa"/>
        <w:tblInd w:w="-5" w:type="dxa"/>
        <w:tblLayout w:type="fixed"/>
        <w:tblLook w:val="04A0" w:firstRow="1" w:lastRow="0" w:firstColumn="1" w:lastColumn="0" w:noHBand="0" w:noVBand="1"/>
      </w:tblPr>
      <w:tblGrid>
        <w:gridCol w:w="7650"/>
        <w:gridCol w:w="1800"/>
      </w:tblGrid>
      <w:tr w:rsidR="00F85647" w:rsidRPr="009A64FF" w:rsidTr="004E30E9">
        <w:trPr>
          <w:trHeight w:val="791"/>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647" w:rsidRPr="009A64FF" w:rsidRDefault="00F85647" w:rsidP="004E30E9">
            <w:pPr>
              <w:spacing w:before="0" w:after="200" w:line="276" w:lineRule="auto"/>
              <w:rPr>
                <w:rFonts w:eastAsia="Times New Roman"/>
                <w:color w:val="000000"/>
                <w:sz w:val="20"/>
                <w:szCs w:val="20"/>
              </w:rPr>
            </w:pPr>
            <w:r w:rsidRPr="009A64FF">
              <w:rPr>
                <w:rFonts w:eastAsia="Times New Roman"/>
                <w:color w:val="000000"/>
                <w:sz w:val="20"/>
                <w:szCs w:val="20"/>
              </w:rPr>
              <w:t>Indicators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rsidR="00F85647" w:rsidRPr="009A64FF" w:rsidRDefault="00F85647" w:rsidP="004E30E9">
            <w:pPr>
              <w:spacing w:before="0" w:after="200" w:line="276" w:lineRule="auto"/>
              <w:jc w:val="center"/>
              <w:rPr>
                <w:rFonts w:eastAsia="Times New Roman"/>
                <w:color w:val="000000"/>
                <w:sz w:val="20"/>
                <w:szCs w:val="20"/>
              </w:rPr>
            </w:pPr>
            <w:r w:rsidRPr="009A64FF">
              <w:rPr>
                <w:rFonts w:eastAsia="Times New Roman"/>
                <w:color w:val="000000"/>
                <w:sz w:val="20"/>
                <w:szCs w:val="20"/>
              </w:rPr>
              <w:t xml:space="preserve">Gross fixed capital formation 2015 </w:t>
            </w:r>
          </w:p>
        </w:tc>
      </w:tr>
      <w:tr w:rsidR="00F85647" w:rsidRPr="009A64FF" w:rsidTr="004E30E9">
        <w:trPr>
          <w:trHeight w:val="276"/>
        </w:trPr>
        <w:tc>
          <w:tcPr>
            <w:tcW w:w="7650" w:type="dxa"/>
            <w:tcBorders>
              <w:top w:val="nil"/>
              <w:left w:val="single" w:sz="4" w:space="0" w:color="auto"/>
              <w:bottom w:val="single" w:sz="4" w:space="0" w:color="auto"/>
              <w:right w:val="single" w:sz="4" w:space="0" w:color="auto"/>
            </w:tcBorders>
            <w:shd w:val="clear" w:color="auto" w:fill="auto"/>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Governance effectiveness 2015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0.34**</w:t>
            </w:r>
          </w:p>
        </w:tc>
      </w:tr>
      <w:tr w:rsidR="00F85647" w:rsidRPr="009A64FF" w:rsidTr="004E30E9">
        <w:trPr>
          <w:trHeight w:val="276"/>
        </w:trPr>
        <w:tc>
          <w:tcPr>
            <w:tcW w:w="7650" w:type="dxa"/>
            <w:tcBorders>
              <w:top w:val="nil"/>
              <w:left w:val="single" w:sz="4" w:space="0" w:color="auto"/>
              <w:bottom w:val="single" w:sz="4" w:space="0" w:color="auto"/>
              <w:right w:val="single" w:sz="4" w:space="0" w:color="auto"/>
            </w:tcBorders>
            <w:shd w:val="clear" w:color="auto" w:fill="auto"/>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CPIA economic management cluster average (1=low to 6=high) 2015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0.15</w:t>
            </w:r>
          </w:p>
        </w:tc>
      </w:tr>
      <w:tr w:rsidR="00F85647" w:rsidRPr="009A64FF" w:rsidTr="004E30E9">
        <w:trPr>
          <w:trHeight w:val="276"/>
        </w:trPr>
        <w:tc>
          <w:tcPr>
            <w:tcW w:w="7650" w:type="dxa"/>
            <w:tcBorders>
              <w:top w:val="nil"/>
              <w:left w:val="single" w:sz="4" w:space="0" w:color="auto"/>
              <w:bottom w:val="single" w:sz="4" w:space="0" w:color="auto"/>
              <w:right w:val="single" w:sz="4" w:space="0" w:color="auto"/>
            </w:tcBorders>
            <w:shd w:val="clear" w:color="auto" w:fill="auto"/>
            <w:vAlign w:val="bottom"/>
          </w:tcPr>
          <w:p w:rsidR="00F85647" w:rsidRPr="009A64FF" w:rsidRDefault="00F85647" w:rsidP="004E30E9">
            <w:pPr>
              <w:spacing w:before="0" w:after="0" w:line="276" w:lineRule="auto"/>
              <w:rPr>
                <w:rFonts w:eastAsia="Times New Roman"/>
                <w:color w:val="000000"/>
                <w:sz w:val="20"/>
                <w:szCs w:val="20"/>
              </w:rPr>
            </w:pPr>
            <w:r>
              <w:rPr>
                <w:rFonts w:eastAsia="Times New Roman"/>
                <w:color w:val="000000"/>
                <w:sz w:val="20"/>
                <w:szCs w:val="20"/>
              </w:rPr>
              <w:t>Rule of law</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F85647" w:rsidRPr="009A64FF" w:rsidRDefault="00F85647" w:rsidP="004E30E9">
            <w:pPr>
              <w:spacing w:before="0" w:after="0" w:line="276" w:lineRule="auto"/>
              <w:jc w:val="center"/>
              <w:rPr>
                <w:rFonts w:eastAsia="Times New Roman"/>
                <w:color w:val="000000"/>
                <w:sz w:val="20"/>
                <w:szCs w:val="20"/>
              </w:rPr>
            </w:pPr>
            <w:r>
              <w:rPr>
                <w:rFonts w:eastAsia="Times New Roman"/>
                <w:color w:val="000000"/>
                <w:sz w:val="20"/>
                <w:szCs w:val="20"/>
              </w:rPr>
              <w:t>0.35**</w:t>
            </w:r>
          </w:p>
        </w:tc>
      </w:tr>
      <w:tr w:rsidR="00F85647" w:rsidRPr="009A64FF" w:rsidTr="004E30E9">
        <w:trPr>
          <w:trHeight w:val="575"/>
        </w:trPr>
        <w:tc>
          <w:tcPr>
            <w:tcW w:w="7650" w:type="dxa"/>
            <w:tcBorders>
              <w:top w:val="nil"/>
              <w:left w:val="single" w:sz="4" w:space="0" w:color="auto"/>
              <w:bottom w:val="single" w:sz="4" w:space="0" w:color="auto"/>
              <w:right w:val="single" w:sz="4" w:space="0" w:color="auto"/>
            </w:tcBorders>
            <w:shd w:val="clear" w:color="auto" w:fill="auto"/>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Index of economic freedom (on a scale of 0 to 100 free 100-80, mostly free 79.9-70, moderately free 69.9-60, mostly unfree 59.9-50, repressed 49.9-0) 2017</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0.28**</w:t>
            </w:r>
          </w:p>
        </w:tc>
      </w:tr>
      <w:tr w:rsidR="00F85647" w:rsidRPr="009A64FF" w:rsidTr="004E30E9">
        <w:trPr>
          <w:trHeight w:val="341"/>
        </w:trPr>
        <w:tc>
          <w:tcPr>
            <w:tcW w:w="7650" w:type="dxa"/>
            <w:tcBorders>
              <w:top w:val="nil"/>
              <w:left w:val="single" w:sz="4" w:space="0" w:color="auto"/>
              <w:bottom w:val="single" w:sz="4" w:space="0" w:color="auto"/>
              <w:right w:val="single" w:sz="4" w:space="0" w:color="auto"/>
            </w:tcBorders>
            <w:shd w:val="clear" w:color="auto" w:fill="auto"/>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Corruption Perceptions Index (100 is very clean and 0 is highly corrupt) 2016</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0.32**</w:t>
            </w:r>
          </w:p>
        </w:tc>
      </w:tr>
      <w:tr w:rsidR="00F85647" w:rsidRPr="009A64FF" w:rsidTr="004E30E9">
        <w:trPr>
          <w:trHeight w:val="863"/>
        </w:trPr>
        <w:tc>
          <w:tcPr>
            <w:tcW w:w="7650" w:type="dxa"/>
            <w:tcBorders>
              <w:top w:val="nil"/>
              <w:left w:val="single" w:sz="4" w:space="0" w:color="auto"/>
              <w:bottom w:val="single" w:sz="4" w:space="0" w:color="auto"/>
              <w:right w:val="single" w:sz="4" w:space="0" w:color="auto"/>
            </w:tcBorders>
            <w:shd w:val="clear" w:color="auto" w:fill="auto"/>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Global rights index (Rating 5+ = No guarantee of rights; Rating 5 = No guarantee of rights; Rating 4 = Systematic violation of rights; Rating 3 = Regular violation of rights; Rating 2 = Repeated violations of rights; and Rating 1= No regular violations of rights. 2017</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-0.08</w:t>
            </w:r>
          </w:p>
        </w:tc>
      </w:tr>
      <w:tr w:rsidR="00F85647" w:rsidRPr="009A64FF" w:rsidTr="004E30E9">
        <w:trPr>
          <w:trHeight w:val="276"/>
        </w:trPr>
        <w:tc>
          <w:tcPr>
            <w:tcW w:w="7650" w:type="dxa"/>
            <w:tcBorders>
              <w:top w:val="nil"/>
              <w:left w:val="single" w:sz="4" w:space="0" w:color="auto"/>
              <w:bottom w:val="single" w:sz="4" w:space="0" w:color="auto"/>
              <w:right w:val="single" w:sz="4" w:space="0" w:color="auto"/>
            </w:tcBorders>
            <w:shd w:val="clear" w:color="auto" w:fill="auto"/>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Global competitiveness score (1-7) 2016</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0.40**</w:t>
            </w:r>
          </w:p>
        </w:tc>
      </w:tr>
      <w:tr w:rsidR="00F85647" w:rsidRPr="009A64FF" w:rsidTr="004E30E9">
        <w:trPr>
          <w:trHeight w:val="521"/>
        </w:trPr>
        <w:tc>
          <w:tcPr>
            <w:tcW w:w="7650" w:type="dxa"/>
            <w:tcBorders>
              <w:top w:val="nil"/>
              <w:left w:val="single" w:sz="4" w:space="0" w:color="auto"/>
              <w:bottom w:val="single" w:sz="4" w:space="0" w:color="auto"/>
              <w:right w:val="single" w:sz="4" w:space="0" w:color="auto"/>
            </w:tcBorders>
            <w:shd w:val="clear" w:color="auto" w:fill="auto"/>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 xml:space="preserve">Democracy index (Scores 0 to 10; 8 ≤ s ≤ 10 is full democracy; 6 ≤ s &lt; 8 is flawed democracy; 4 ≤ s &lt; 6 is hybrid regimes; and 0 ≤ s &lt; 4 is authoritarian regimes) 2016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0.29**</w:t>
            </w:r>
          </w:p>
        </w:tc>
      </w:tr>
      <w:tr w:rsidR="00F85647" w:rsidRPr="009A64FF" w:rsidTr="004E30E9">
        <w:trPr>
          <w:trHeight w:val="276"/>
        </w:trPr>
        <w:tc>
          <w:tcPr>
            <w:tcW w:w="7650" w:type="dxa"/>
            <w:tcBorders>
              <w:top w:val="nil"/>
              <w:left w:val="single" w:sz="4" w:space="0" w:color="auto"/>
              <w:bottom w:val="single" w:sz="4" w:space="0" w:color="auto"/>
              <w:right w:val="single" w:sz="4" w:space="0" w:color="auto"/>
            </w:tcBorders>
            <w:shd w:val="clear" w:color="auto" w:fill="auto"/>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Global peace index score on a scale of 1-5 (out of 163 countries) 2017</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-0.07</w:t>
            </w:r>
          </w:p>
        </w:tc>
      </w:tr>
      <w:tr w:rsidR="00F85647" w:rsidRPr="009A64FF" w:rsidTr="004E30E9">
        <w:trPr>
          <w:trHeight w:val="276"/>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World Bank ease of doing business ranks (out of 190 countries) 2017</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-0.34**</w:t>
            </w:r>
          </w:p>
        </w:tc>
      </w:tr>
      <w:tr w:rsidR="00F85647" w:rsidRPr="009A64FF" w:rsidTr="004E30E9">
        <w:trPr>
          <w:trHeight w:val="276"/>
        </w:trPr>
        <w:tc>
          <w:tcPr>
            <w:tcW w:w="76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Social institutions and gender index (</w:t>
            </w:r>
            <w:proofErr w:type="spellStart"/>
            <w:r w:rsidRPr="009A64FF">
              <w:rPr>
                <w:rFonts w:eastAsia="Times New Roman"/>
                <w:color w:val="000000"/>
                <w:sz w:val="20"/>
                <w:szCs w:val="20"/>
              </w:rPr>
              <w:t>SiGi</w:t>
            </w:r>
            <w:proofErr w:type="spellEnd"/>
            <w:r w:rsidRPr="009A64FF">
              <w:rPr>
                <w:rFonts w:eastAsia="Times New Roman"/>
                <w:color w:val="000000"/>
                <w:sz w:val="20"/>
                <w:szCs w:val="20"/>
              </w:rPr>
              <w:t>) score 2014</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-0.15</w:t>
            </w:r>
          </w:p>
        </w:tc>
      </w:tr>
      <w:tr w:rsidR="00F85647" w:rsidRPr="009A64FF" w:rsidTr="004E30E9">
        <w:trPr>
          <w:trHeight w:val="276"/>
        </w:trPr>
        <w:tc>
          <w:tcPr>
            <w:tcW w:w="7650" w:type="dxa"/>
            <w:tcBorders>
              <w:top w:val="single" w:sz="4" w:space="0" w:color="auto"/>
              <w:left w:val="single" w:sz="4" w:space="0" w:color="auto"/>
              <w:bottom w:val="single" w:sz="4" w:space="0" w:color="auto"/>
              <w:right w:val="single" w:sz="4" w:space="0" w:color="auto"/>
            </w:tcBorders>
            <w:shd w:val="clear" w:color="auto" w:fill="auto"/>
            <w:vAlign w:val="bottom"/>
          </w:tcPr>
          <w:p w:rsidR="00F85647" w:rsidRPr="009A64FF" w:rsidRDefault="00F85647" w:rsidP="004E30E9">
            <w:pPr>
              <w:spacing w:before="0" w:after="0" w:line="276" w:lineRule="auto"/>
              <w:rPr>
                <w:rFonts w:eastAsia="Times New Roman"/>
                <w:color w:val="000000"/>
                <w:sz w:val="20"/>
                <w:szCs w:val="20"/>
              </w:rPr>
            </w:pPr>
            <w:r w:rsidRPr="009A64FF">
              <w:rPr>
                <w:rFonts w:eastAsia="Times New Roman"/>
                <w:color w:val="000000"/>
                <w:sz w:val="20"/>
                <w:szCs w:val="20"/>
              </w:rPr>
              <w:t>Global Freedom score 2017</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F85647" w:rsidRPr="009A64FF" w:rsidRDefault="00F85647" w:rsidP="004E30E9">
            <w:pPr>
              <w:spacing w:before="0" w:after="0" w:line="276" w:lineRule="auto"/>
              <w:jc w:val="center"/>
              <w:rPr>
                <w:rFonts w:eastAsia="Times New Roman"/>
                <w:color w:val="000000"/>
                <w:sz w:val="20"/>
                <w:szCs w:val="20"/>
              </w:rPr>
            </w:pPr>
            <w:r w:rsidRPr="009A64FF">
              <w:rPr>
                <w:rFonts w:eastAsia="Times New Roman"/>
                <w:color w:val="000000"/>
                <w:sz w:val="20"/>
                <w:szCs w:val="20"/>
              </w:rPr>
              <w:t>0.27*</w:t>
            </w:r>
          </w:p>
        </w:tc>
      </w:tr>
    </w:tbl>
    <w:p w:rsidR="00F85647" w:rsidRPr="009A64FF" w:rsidRDefault="00F85647" w:rsidP="00F85647">
      <w:pPr>
        <w:spacing w:before="0" w:line="276" w:lineRule="auto"/>
        <w:rPr>
          <w:rFonts w:eastAsia="Times New Roman"/>
          <w:color w:val="000000"/>
          <w:sz w:val="18"/>
          <w:szCs w:val="18"/>
        </w:rPr>
      </w:pPr>
      <w:r w:rsidRPr="009A64FF">
        <w:rPr>
          <w:sz w:val="18"/>
          <w:szCs w:val="18"/>
        </w:rPr>
        <w:t>*significant at 5% level         **significant at 1% level</w:t>
      </w:r>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Source: World Bank database.</w:t>
      </w:r>
    </w:p>
    <w:p w:rsidR="00F85647" w:rsidRPr="009A64FF" w:rsidRDefault="00342B66" w:rsidP="00F85647">
      <w:pPr>
        <w:spacing w:before="0" w:after="0" w:line="276" w:lineRule="auto"/>
        <w:rPr>
          <w:rStyle w:val="Hyperlink"/>
          <w:rFonts w:eastAsia="Times New Roman"/>
          <w:sz w:val="18"/>
          <w:szCs w:val="18"/>
        </w:rPr>
      </w:pPr>
      <w:hyperlink r:id="rId72" w:anchor="home" w:history="1">
        <w:r w:rsidR="00F85647" w:rsidRPr="009A64FF">
          <w:rPr>
            <w:rStyle w:val="Hyperlink"/>
            <w:rFonts w:eastAsia="Times New Roman"/>
            <w:sz w:val="18"/>
            <w:szCs w:val="18"/>
          </w:rPr>
          <w:t>http://info.worldbank.org/governance/wgi/#home</w:t>
        </w:r>
      </w:hyperlink>
    </w:p>
    <w:p w:rsidR="00F85647" w:rsidRPr="009A64FF" w:rsidRDefault="00342B66" w:rsidP="00F85647">
      <w:pPr>
        <w:spacing w:before="0" w:after="0" w:line="276" w:lineRule="auto"/>
        <w:rPr>
          <w:rFonts w:eastAsia="Times New Roman"/>
          <w:color w:val="000000"/>
          <w:sz w:val="18"/>
          <w:szCs w:val="18"/>
        </w:rPr>
      </w:pPr>
      <w:hyperlink r:id="rId73" w:history="1">
        <w:r w:rsidR="00F85647" w:rsidRPr="009A64FF">
          <w:rPr>
            <w:rStyle w:val="Hyperlink"/>
            <w:rFonts w:eastAsia="Times New Roman"/>
            <w:sz w:val="18"/>
            <w:szCs w:val="18"/>
          </w:rPr>
          <w:t>http://data.worldbank.org/data-catalog/CPIA</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Heritage Foundation. 2017 Index of Economic Freedom. </w:t>
      </w:r>
      <w:hyperlink r:id="rId74" w:history="1">
        <w:r w:rsidRPr="009A64FF">
          <w:rPr>
            <w:rStyle w:val="Hyperlink"/>
            <w:rFonts w:eastAsia="Times New Roman"/>
            <w:sz w:val="18"/>
            <w:szCs w:val="18"/>
          </w:rPr>
          <w:t>http://www.heritage.org/index/download</w:t>
        </w:r>
      </w:hyperlink>
      <w:r w:rsidRPr="009A64FF">
        <w:rPr>
          <w:rFonts w:eastAsia="Times New Roman"/>
          <w:color w:val="000000"/>
          <w:sz w:val="18"/>
          <w:szCs w:val="18"/>
        </w:rPr>
        <w:t>.</w:t>
      </w:r>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Heritage Foundation. 2017 Index of Economic Freedom. Various countries. </w:t>
      </w:r>
      <w:hyperlink r:id="rId75" w:history="1">
        <w:r w:rsidRPr="009A64FF">
          <w:rPr>
            <w:rStyle w:val="Hyperlink"/>
            <w:rFonts w:eastAsia="Times New Roman"/>
            <w:sz w:val="18"/>
            <w:szCs w:val="18"/>
          </w:rPr>
          <w:t>http://www.heritage.org/index/country/</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OECD Development Center. 2014. Social Institutions and Gender Index. 2014 Synthesis Report. </w:t>
      </w:r>
    </w:p>
    <w:p w:rsidR="00F85647" w:rsidRPr="009A64FF" w:rsidRDefault="00342B66" w:rsidP="00F85647">
      <w:pPr>
        <w:spacing w:before="0" w:after="0" w:line="276" w:lineRule="auto"/>
        <w:rPr>
          <w:rFonts w:eastAsia="Times New Roman"/>
          <w:color w:val="000000"/>
          <w:sz w:val="18"/>
          <w:szCs w:val="18"/>
        </w:rPr>
      </w:pPr>
      <w:hyperlink r:id="rId76" w:history="1">
        <w:r w:rsidR="00F85647" w:rsidRPr="009A64FF">
          <w:rPr>
            <w:rStyle w:val="Hyperlink"/>
            <w:rFonts w:eastAsia="Times New Roman"/>
            <w:sz w:val="18"/>
            <w:szCs w:val="18"/>
          </w:rPr>
          <w:t>http://www.genderindex.org/sites/default/files/docs/BrochureSIGI2015.pdf</w:t>
        </w:r>
      </w:hyperlink>
    </w:p>
    <w:p w:rsidR="00F85647" w:rsidRPr="009A64FF" w:rsidRDefault="00F85647" w:rsidP="00F85647">
      <w:pPr>
        <w:spacing w:before="0" w:after="0" w:line="276" w:lineRule="auto"/>
        <w:rPr>
          <w:rFonts w:eastAsia="Times New Roman"/>
          <w:color w:val="000000"/>
          <w:sz w:val="18"/>
          <w:szCs w:val="18"/>
        </w:rPr>
      </w:pPr>
      <w:proofErr w:type="spellStart"/>
      <w:r w:rsidRPr="009A64FF">
        <w:rPr>
          <w:rFonts w:eastAsia="Times New Roman"/>
          <w:color w:val="000000"/>
          <w:sz w:val="18"/>
          <w:szCs w:val="18"/>
        </w:rPr>
        <w:t>Coface</w:t>
      </w:r>
      <w:proofErr w:type="spellEnd"/>
      <w:r w:rsidRPr="009A64FF">
        <w:rPr>
          <w:rFonts w:eastAsia="Times New Roman"/>
          <w:color w:val="000000"/>
          <w:sz w:val="18"/>
          <w:szCs w:val="18"/>
        </w:rPr>
        <w:t xml:space="preserve"> for safer trade. </w:t>
      </w:r>
      <w:hyperlink r:id="rId77" w:history="1">
        <w:r w:rsidRPr="009A64FF">
          <w:rPr>
            <w:rStyle w:val="Hyperlink"/>
            <w:rFonts w:eastAsia="Times New Roman"/>
            <w:sz w:val="18"/>
            <w:szCs w:val="18"/>
          </w:rPr>
          <w:t>http://www.coface.com/Economic-Studies-and-Country-Risks</w:t>
        </w:r>
      </w:hyperlink>
      <w:r w:rsidRPr="009A64FF">
        <w:rPr>
          <w:rFonts w:eastAsia="Times New Roman"/>
          <w:color w:val="000000"/>
          <w:sz w:val="18"/>
          <w:szCs w:val="18"/>
        </w:rPr>
        <w:t>.</w:t>
      </w:r>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Global Edge. </w:t>
      </w:r>
      <w:hyperlink r:id="rId78" w:history="1">
        <w:r w:rsidRPr="009A64FF">
          <w:rPr>
            <w:rStyle w:val="Hyperlink"/>
            <w:rFonts w:eastAsia="Times New Roman"/>
            <w:sz w:val="18"/>
            <w:szCs w:val="18"/>
          </w:rPr>
          <w:t>https://globaledge.msu.edu/countries/chad/government/</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World Bank. Country Overview. </w:t>
      </w:r>
      <w:hyperlink r:id="rId79" w:history="1">
        <w:r w:rsidRPr="009A64FF">
          <w:rPr>
            <w:rStyle w:val="Hyperlink"/>
            <w:rFonts w:eastAsia="Times New Roman"/>
            <w:sz w:val="18"/>
            <w:szCs w:val="18"/>
          </w:rPr>
          <w:t>http://www.worldbank.org/en/country/guineabissau/overview</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Wikipedia. For various countries and for democracy index 2016.</w:t>
      </w:r>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International Trade Union Confederation. ITUC Global Rights Index 2017. 2017. </w:t>
      </w:r>
    </w:p>
    <w:p w:rsidR="00F85647" w:rsidRPr="009A64FF" w:rsidRDefault="00342B66" w:rsidP="00F85647">
      <w:pPr>
        <w:spacing w:before="0" w:after="0" w:line="276" w:lineRule="auto"/>
        <w:rPr>
          <w:rFonts w:eastAsia="Times New Roman"/>
          <w:color w:val="000000"/>
          <w:sz w:val="18"/>
          <w:szCs w:val="18"/>
        </w:rPr>
      </w:pPr>
      <w:hyperlink r:id="rId80" w:history="1">
        <w:r w:rsidR="00F85647" w:rsidRPr="009A64FF">
          <w:rPr>
            <w:rStyle w:val="Hyperlink"/>
            <w:rFonts w:eastAsia="Times New Roman"/>
            <w:sz w:val="18"/>
            <w:szCs w:val="18"/>
          </w:rPr>
          <w:t>http://www.ituc-csi.org/ituc-global-rights-index-2017</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World Economic Forum. 2017. Global Competitiveness Report 2016-2017. </w:t>
      </w:r>
    </w:p>
    <w:p w:rsidR="00F85647" w:rsidRPr="009A64FF" w:rsidRDefault="00342B66" w:rsidP="00F85647">
      <w:pPr>
        <w:spacing w:before="0" w:after="0" w:line="276" w:lineRule="auto"/>
        <w:rPr>
          <w:rFonts w:eastAsia="Times New Roman"/>
          <w:color w:val="000000"/>
          <w:sz w:val="18"/>
          <w:szCs w:val="18"/>
        </w:rPr>
      </w:pPr>
      <w:hyperlink r:id="rId81" w:history="1">
        <w:r w:rsidR="00F85647" w:rsidRPr="009A64FF">
          <w:rPr>
            <w:rStyle w:val="Hyperlink"/>
            <w:rFonts w:eastAsia="Times New Roman"/>
            <w:sz w:val="18"/>
            <w:szCs w:val="18"/>
          </w:rPr>
          <w:t>http://www3.weforum.org/docs/GCR2016-2017/05FullReport/TheGlobalCompetitivenessReport2016-2017_FINAL.pdf</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Transparency International. 2017. Corruption Perception Index 2016. </w:t>
      </w:r>
    </w:p>
    <w:p w:rsidR="00F85647" w:rsidRPr="009A64FF" w:rsidRDefault="00342B66" w:rsidP="00F85647">
      <w:pPr>
        <w:spacing w:before="0" w:after="0" w:line="276" w:lineRule="auto"/>
        <w:rPr>
          <w:rFonts w:eastAsia="Times New Roman"/>
          <w:color w:val="000000"/>
          <w:sz w:val="18"/>
          <w:szCs w:val="18"/>
        </w:rPr>
      </w:pPr>
      <w:hyperlink r:id="rId82" w:history="1">
        <w:r w:rsidR="00F85647" w:rsidRPr="009A64FF">
          <w:rPr>
            <w:rStyle w:val="Hyperlink"/>
            <w:rFonts w:eastAsia="Times New Roman"/>
            <w:sz w:val="18"/>
            <w:szCs w:val="18"/>
          </w:rPr>
          <w:t>https://www.transparency.org/news/feature/corruption_perceptions_index_2016</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lastRenderedPageBreak/>
        <w:t xml:space="preserve">The Economist. Democracy Index. </w:t>
      </w:r>
      <w:hyperlink r:id="rId83" w:history="1">
        <w:r w:rsidRPr="009A64FF">
          <w:rPr>
            <w:rStyle w:val="Hyperlink"/>
            <w:rFonts w:eastAsia="Times New Roman"/>
            <w:sz w:val="18"/>
            <w:szCs w:val="18"/>
          </w:rPr>
          <w:t>https://infographics.economist.com/2017/DemocracyIndex/</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Wikipedia. </w:t>
      </w:r>
      <w:hyperlink r:id="rId84" w:history="1">
        <w:r w:rsidRPr="009A64FF">
          <w:rPr>
            <w:rStyle w:val="Hyperlink"/>
            <w:rFonts w:eastAsia="Times New Roman"/>
            <w:sz w:val="18"/>
            <w:szCs w:val="18"/>
          </w:rPr>
          <w:t>https://en.wikipedia.org/wiki/Democracy_Index</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The Economist. Democracy Index. </w:t>
      </w:r>
      <w:hyperlink r:id="rId85" w:history="1">
        <w:r w:rsidRPr="009A64FF">
          <w:rPr>
            <w:rStyle w:val="Hyperlink"/>
            <w:rFonts w:eastAsia="Times New Roman"/>
            <w:sz w:val="18"/>
            <w:szCs w:val="18"/>
          </w:rPr>
          <w:t>https://www.eiu.com/public/topical_report.aspx?campaignid=DemocracyIndex2016</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Freedom House. Freedom in the World 2017. 2017. </w:t>
      </w:r>
      <w:hyperlink r:id="rId86" w:history="1">
        <w:r w:rsidRPr="009A64FF">
          <w:rPr>
            <w:rStyle w:val="Hyperlink"/>
            <w:rFonts w:eastAsia="Times New Roman"/>
            <w:sz w:val="18"/>
            <w:szCs w:val="18"/>
          </w:rPr>
          <w:t>https://freedomhouse.org/report/freedom-world/freedom-world-2017</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Wikipedia. </w:t>
      </w:r>
      <w:hyperlink r:id="rId87" w:history="1">
        <w:r w:rsidRPr="009A64FF">
          <w:rPr>
            <w:rStyle w:val="Hyperlink"/>
            <w:rFonts w:eastAsia="Times New Roman"/>
            <w:sz w:val="18"/>
            <w:szCs w:val="18"/>
          </w:rPr>
          <w:t>https://en.wikipedia.org/wiki/Global_Peace_Index</w:t>
        </w:r>
      </w:hyperlink>
    </w:p>
    <w:p w:rsidR="00F85647" w:rsidRPr="009A64FF" w:rsidRDefault="00F85647" w:rsidP="00F85647">
      <w:pPr>
        <w:spacing w:before="0" w:after="0" w:line="276" w:lineRule="auto"/>
        <w:rPr>
          <w:rFonts w:eastAsia="Times New Roman"/>
          <w:color w:val="000000"/>
          <w:sz w:val="18"/>
          <w:szCs w:val="18"/>
        </w:rPr>
      </w:pPr>
      <w:r w:rsidRPr="009A64FF">
        <w:rPr>
          <w:rFonts w:eastAsia="Times New Roman"/>
          <w:color w:val="000000"/>
          <w:sz w:val="18"/>
          <w:szCs w:val="18"/>
        </w:rPr>
        <w:t xml:space="preserve">Vision of Humanity. </w:t>
      </w:r>
      <w:hyperlink r:id="rId88" w:history="1">
        <w:r w:rsidRPr="009A64FF">
          <w:rPr>
            <w:rStyle w:val="Hyperlink"/>
            <w:rFonts w:eastAsia="Times New Roman"/>
            <w:sz w:val="18"/>
            <w:szCs w:val="18"/>
          </w:rPr>
          <w:t>http://visionofhumanity.org/app/uploads/2017/06/GPI-2017-Report-1.pdf</w:t>
        </w:r>
      </w:hyperlink>
    </w:p>
    <w:p w:rsidR="0097503E" w:rsidRDefault="00F85647" w:rsidP="0097503E">
      <w:pPr>
        <w:spacing w:before="0" w:after="200" w:line="276" w:lineRule="auto"/>
        <w:rPr>
          <w:rFonts w:eastAsia="Times New Roman"/>
          <w:color w:val="000000"/>
          <w:sz w:val="18"/>
          <w:szCs w:val="18"/>
        </w:rPr>
      </w:pPr>
      <w:r w:rsidRPr="009A64FF">
        <w:rPr>
          <w:rFonts w:eastAsia="Times New Roman"/>
          <w:color w:val="000000"/>
          <w:sz w:val="18"/>
          <w:szCs w:val="18"/>
        </w:rPr>
        <w:t>World Bank. 2017. Doing Business 2017: Equal Opportunity for All.  Washington, DC</w:t>
      </w:r>
      <w:r>
        <w:rPr>
          <w:rFonts w:eastAsia="Times New Roman"/>
          <w:color w:val="000000"/>
          <w:sz w:val="18"/>
          <w:szCs w:val="18"/>
        </w:rPr>
        <w:t xml:space="preserve"> </w:t>
      </w:r>
      <w:r w:rsidRPr="009A64FF">
        <w:rPr>
          <w:rFonts w:eastAsia="Times New Roman"/>
          <w:color w:val="000000"/>
          <w:sz w:val="18"/>
          <w:szCs w:val="18"/>
        </w:rPr>
        <w:t>World Bank. DOI: 10.1596/978-1-4648-0948-4. License: Creative Commons Attribution CC BY 3.0 IGO</w:t>
      </w:r>
    </w:p>
    <w:p w:rsidR="00696942" w:rsidRPr="00E31A70" w:rsidRDefault="00696942" w:rsidP="00696942">
      <w:pPr>
        <w:spacing w:before="0" w:after="0" w:line="276" w:lineRule="auto"/>
        <w:rPr>
          <w:b/>
        </w:rPr>
      </w:pPr>
      <w:r>
        <w:rPr>
          <w:b/>
        </w:rPr>
        <w:t>Figure 3</w:t>
      </w:r>
      <w:r w:rsidR="00FB78F5">
        <w:rPr>
          <w:b/>
        </w:rPr>
        <w:t>6</w:t>
      </w:r>
      <w:r>
        <w:rPr>
          <w:b/>
        </w:rPr>
        <w:t>: Bangladesh 2041 – Path to a developed country with physical capital accumulation and technological progress</w:t>
      </w:r>
    </w:p>
    <w:p w:rsidR="00696942" w:rsidRDefault="00696942" w:rsidP="00696942">
      <w:pPr>
        <w:spacing w:before="0" w:after="0" w:line="276" w:lineRule="auto"/>
        <w:rPr>
          <w:b/>
        </w:rPr>
      </w:pPr>
      <w:r w:rsidRPr="002B17C3">
        <w:rPr>
          <w:noProof/>
        </w:rPr>
        <w:drawing>
          <wp:inline distT="0" distB="0" distL="0" distR="0" wp14:anchorId="5DE3554F" wp14:editId="754C9E6C">
            <wp:extent cx="5067300" cy="3322320"/>
            <wp:effectExtent l="19050" t="19050" r="19050" b="11430"/>
            <wp:docPr id="174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rotWithShape="1">
                    <a:blip r:embed="rId89">
                      <a:extLst>
                        <a:ext uri="{28A0092B-C50C-407E-A947-70E740481C1C}">
                          <a14:useLocalDpi xmlns:a14="http://schemas.microsoft.com/office/drawing/2010/main" val="0"/>
                        </a:ext>
                      </a:extLst>
                    </a:blip>
                    <a:srcRect l="1172" t="7091" r="781" b="6606"/>
                    <a:stretch/>
                  </pic:blipFill>
                  <pic:spPr bwMode="auto">
                    <a:xfrm>
                      <a:off x="0" y="0"/>
                      <a:ext cx="5067300" cy="33223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96942" w:rsidRDefault="00696942" w:rsidP="00696942">
      <w:pPr>
        <w:spacing w:before="0" w:after="200" w:line="276" w:lineRule="auto"/>
        <w:rPr>
          <w:sz w:val="18"/>
          <w:szCs w:val="18"/>
        </w:rPr>
      </w:pPr>
      <w:r w:rsidRPr="00724E8E">
        <w:rPr>
          <w:sz w:val="18"/>
          <w:szCs w:val="18"/>
        </w:rPr>
        <w:t>Source: Author</w:t>
      </w:r>
    </w:p>
    <w:p w:rsidR="00B00D82" w:rsidRPr="00B00D82" w:rsidRDefault="00B00D82" w:rsidP="006202D4">
      <w:pPr>
        <w:spacing w:before="0" w:after="200" w:line="276" w:lineRule="auto"/>
        <w:rPr>
          <w:b/>
        </w:rPr>
      </w:pPr>
      <w:r>
        <w:rPr>
          <w:b/>
        </w:rPr>
        <w:t>Human capital development</w:t>
      </w:r>
    </w:p>
    <w:p w:rsidR="006D3C84" w:rsidRDefault="006D3C84" w:rsidP="006202D4">
      <w:pPr>
        <w:spacing w:before="0" w:after="200" w:line="276" w:lineRule="auto"/>
      </w:pPr>
      <w:r>
        <w:t>Bangladesh performs above average in CPIA building human resources rating which is a good proxy for human capi</w:t>
      </w:r>
      <w:r w:rsidR="00312F99">
        <w:t>tal accumulation (Figure 3</w:t>
      </w:r>
      <w:r w:rsidR="00FB78F5">
        <w:t>7</w:t>
      </w:r>
      <w:r>
        <w:t xml:space="preserve">). </w:t>
      </w:r>
      <w:r w:rsidR="00BC24B7">
        <w:t>However, Bangladesh lags behind comparator countries in terms of educational expenditure as % of GDP (Figure 3</w:t>
      </w:r>
      <w:r w:rsidR="00FB78F5">
        <w:t>8</w:t>
      </w:r>
      <w:r w:rsidR="00BC24B7">
        <w:t xml:space="preserve">). </w:t>
      </w:r>
      <w:r>
        <w:t>There is scope for improvement especially in the quality of human capital directly linked to productivity and institutional efficacy.</w:t>
      </w:r>
      <w:r w:rsidR="00781900">
        <w:t xml:space="preserve"> This means skill development. The vast pool of 55 million or so labor pool of Bangladesh is a potent force to reckon with but without skill as it mostly is it ends up being a whimper. Nevertheless, the combination of demographic dividend and aspiration embodied in labor force some of the disadvantages of lack of skill can be neutralized but not enough to sustain double digit growth rate necessary over a spell (late 1920s and early 1930s) to have $12,500 per capita income by 2041.  Bangladesh needs basic skills, upgraded basic skills, executive skill (mid and upper level managers and supervisors), policy analysts and higher level industry-oriented IT skills</w:t>
      </w:r>
    </w:p>
    <w:p w:rsidR="006D3C84" w:rsidRPr="005D59BC" w:rsidRDefault="006D3C84" w:rsidP="006D3C84">
      <w:pPr>
        <w:spacing w:before="0" w:after="0" w:line="276" w:lineRule="auto"/>
        <w:rPr>
          <w:b/>
        </w:rPr>
      </w:pPr>
      <w:r>
        <w:rPr>
          <w:b/>
        </w:rPr>
        <w:lastRenderedPageBreak/>
        <w:t>Figure 3</w:t>
      </w:r>
      <w:r w:rsidR="00FB78F5">
        <w:rPr>
          <w:b/>
        </w:rPr>
        <w:t>7</w:t>
      </w:r>
      <w:r>
        <w:rPr>
          <w:b/>
        </w:rPr>
        <w:t>: CPIA building human resources rating</w:t>
      </w:r>
      <w:r w:rsidR="00A505F7">
        <w:rPr>
          <w:b/>
        </w:rPr>
        <w:t xml:space="preserve"> (1=low to 6=high)</w:t>
      </w:r>
    </w:p>
    <w:p w:rsidR="00877454" w:rsidRDefault="006D3C84" w:rsidP="00781900">
      <w:pPr>
        <w:spacing w:before="0" w:after="200" w:line="276" w:lineRule="auto"/>
        <w:rPr>
          <w:b/>
        </w:rPr>
      </w:pPr>
      <w:r>
        <w:rPr>
          <w:noProof/>
        </w:rPr>
        <w:drawing>
          <wp:inline distT="0" distB="0" distL="0" distR="0" wp14:anchorId="27C9FE9F" wp14:editId="0B39DF60">
            <wp:extent cx="4591050" cy="23888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21132"/>
                    <a:stretch/>
                  </pic:blipFill>
                  <pic:spPr bwMode="auto">
                    <a:xfrm>
                      <a:off x="0" y="0"/>
                      <a:ext cx="4591050" cy="2388870"/>
                    </a:xfrm>
                    <a:prstGeom prst="rect">
                      <a:avLst/>
                    </a:prstGeom>
                    <a:ln>
                      <a:noFill/>
                    </a:ln>
                    <a:extLst>
                      <a:ext uri="{53640926-AAD7-44D8-BBD7-CCE9431645EC}">
                        <a14:shadowObscured xmlns:a14="http://schemas.microsoft.com/office/drawing/2010/main"/>
                      </a:ext>
                    </a:extLst>
                  </pic:spPr>
                </pic:pic>
              </a:graphicData>
            </a:graphic>
          </wp:inline>
        </w:drawing>
      </w:r>
    </w:p>
    <w:p w:rsidR="00BC24B7" w:rsidRDefault="00BC24B7" w:rsidP="00BC24B7">
      <w:pPr>
        <w:spacing w:after="0" w:line="276" w:lineRule="auto"/>
        <w:rPr>
          <w:b/>
        </w:rPr>
      </w:pPr>
      <w:r>
        <w:rPr>
          <w:b/>
        </w:rPr>
        <w:t>Figure 3</w:t>
      </w:r>
      <w:r w:rsidR="00FB78F5">
        <w:rPr>
          <w:b/>
        </w:rPr>
        <w:t>8</w:t>
      </w:r>
      <w:r>
        <w:rPr>
          <w:b/>
        </w:rPr>
        <w:t>: Government expenditure on education, total (as % of GDP)</w:t>
      </w:r>
    </w:p>
    <w:p w:rsidR="00BC24B7" w:rsidRDefault="00BC24B7" w:rsidP="00781900">
      <w:pPr>
        <w:spacing w:before="0" w:after="200" w:line="276" w:lineRule="auto"/>
        <w:rPr>
          <w:b/>
        </w:rPr>
      </w:pPr>
      <w:r w:rsidRPr="00A24B8B">
        <w:rPr>
          <w:rFonts w:ascii="Arial" w:eastAsia="Times New Roman" w:hAnsi="Arial" w:cs="Arial"/>
          <w:noProof/>
          <w:color w:val="000000"/>
        </w:rPr>
        <w:drawing>
          <wp:inline distT="0" distB="0" distL="0" distR="0" wp14:anchorId="7CF48266" wp14:editId="4B3B7AA4">
            <wp:extent cx="5943600" cy="388429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a:extLst>
                        <a:ext uri="{28A0092B-C50C-407E-A947-70E740481C1C}">
                          <a14:useLocalDpi xmlns:a14="http://schemas.microsoft.com/office/drawing/2010/main" val="0"/>
                        </a:ext>
                      </a:extLst>
                    </a:blip>
                    <a:srcRect t="4853"/>
                    <a:stretch/>
                  </pic:blipFill>
                  <pic:spPr bwMode="auto">
                    <a:xfrm>
                      <a:off x="0" y="0"/>
                      <a:ext cx="5943600" cy="3884295"/>
                    </a:xfrm>
                    <a:prstGeom prst="rect">
                      <a:avLst/>
                    </a:prstGeom>
                    <a:noFill/>
                    <a:ln>
                      <a:noFill/>
                    </a:ln>
                    <a:extLst>
                      <a:ext uri="{53640926-AAD7-44D8-BBD7-CCE9431645EC}">
                        <a14:shadowObscured xmlns:a14="http://schemas.microsoft.com/office/drawing/2010/main"/>
                      </a:ext>
                    </a:extLst>
                  </pic:spPr>
                </pic:pic>
              </a:graphicData>
            </a:graphic>
          </wp:inline>
        </w:drawing>
      </w:r>
    </w:p>
    <w:p w:rsidR="007F2CA8" w:rsidRDefault="007F2CA8">
      <w:r>
        <w:br w:type="page"/>
      </w:r>
    </w:p>
    <w:p w:rsidR="00F0702C" w:rsidRPr="00CF1FCF" w:rsidRDefault="00781900" w:rsidP="00CF1FCF">
      <w:pPr>
        <w:spacing w:before="0" w:after="200" w:line="276" w:lineRule="auto"/>
        <w:ind w:left="720"/>
      </w:pPr>
      <w:r w:rsidRPr="00CF1FCF">
        <w:lastRenderedPageBreak/>
        <w:t>Skill development</w:t>
      </w:r>
    </w:p>
    <w:p w:rsidR="000F2C84" w:rsidRPr="00CF1FCF" w:rsidRDefault="000F2C84" w:rsidP="00CF1FCF">
      <w:pPr>
        <w:spacing w:before="0" w:after="200" w:line="276" w:lineRule="auto"/>
      </w:pPr>
      <w:r w:rsidRPr="00CF1FCF">
        <w:rPr>
          <w:color w:val="000000" w:themeColor="text1"/>
          <w:kern w:val="24"/>
        </w:rPr>
        <w:t>The challenge is annual addition of 2 million plus labor is difficult to absorb in the absence of appropriate training and skill development; low skill pervades the entire labor force causing low productivity; training and skill development facilities are inadequate and poorly equipped; competency based training is missing; and skill mix of overseas workers is unfavorable to raising average earnings/remittances to the level of other Asian countries like India, Pakistan and Sri Lanka</w:t>
      </w:r>
      <w:r w:rsidR="00CF1FCF" w:rsidRPr="00CF1FCF">
        <w:rPr>
          <w:color w:val="000000" w:themeColor="text1"/>
          <w:kern w:val="24"/>
        </w:rPr>
        <w:t>.</w:t>
      </w:r>
    </w:p>
    <w:p w:rsidR="00F0702C" w:rsidRDefault="00F0702C" w:rsidP="00CF1FCF">
      <w:pPr>
        <w:spacing w:before="0" w:after="200" w:line="276" w:lineRule="auto"/>
      </w:pPr>
      <w:r w:rsidRPr="00CF1FCF">
        <w:t>Looking ahead, labor force demand will be influenced by overall and sector growth rates. Skill demand will be determined by economic growth, transformation and structural change. Growth will bring</w:t>
      </w:r>
      <w:r>
        <w:t xml:space="preserve"> about change in scale. Transformation will introduce new technology, management and market links. With structural change, t</w:t>
      </w:r>
      <w:r w:rsidRPr="006F2679">
        <w:t>he economy will gradually move away from the agriculture sector though it will continue to support a significant share of total population and employment. Structural change will favor manufacturing and services. Already services sector has increased its share in total GDP over the past two decades. Starting from a relatively low base manufacturing sector has emerged as important source of growth and employment. One shining example is the garment sector which has not only multiplied employment it has also been responsible for significant social change through increased female labor force participation. Age at marriage has increased reducing fertility further. Close to two million women earn a living from the garment industry directly and indirectly. This surge in employment has also triggered significant rural urban migration benefitting primarily young women. The village home has lost unpaid labor but gained a salaried member with regular remittances. More young women want to gain access to skill training and join productive labor force. As a next logical step many of these women have found way to move abroad as migrant labor. Available data suggest increasing share of women among overseas workers. In the past only few women went abroad in search of employment. This is rapidly changing as women now account for about a tenth of total overseas workers.</w:t>
      </w:r>
      <w:r w:rsidRPr="006F2679">
        <w:rPr>
          <w:rStyle w:val="FootnoteReference"/>
        </w:rPr>
        <w:footnoteReference w:id="6"/>
      </w:r>
      <w:r w:rsidRPr="006F2679">
        <w:t xml:space="preserve"> This trend will continue. Overseas employment will grow and skill composition will change bringing higher average earnings. Skill composition of both domestic and overseas workers will shift towards relatively higher skill category which will raise average productivity and remuneration. The bulk of incremental labor demand will come from growth industries, export oriented industries and labor intensive industries.</w:t>
      </w:r>
      <w:r>
        <w:t xml:space="preserve"> Growth-skill nexus is indeed vital for Bangladesh (Figure 3</w:t>
      </w:r>
      <w:r w:rsidR="007F2CA8">
        <w:t>9</w:t>
      </w:r>
      <w:r>
        <w:t>).</w:t>
      </w:r>
    </w:p>
    <w:p w:rsidR="00A2370D" w:rsidRDefault="00A2370D" w:rsidP="00F0702C">
      <w:pPr>
        <w:spacing w:before="0" w:after="0" w:line="276" w:lineRule="auto"/>
        <w:rPr>
          <w:b/>
        </w:rPr>
      </w:pPr>
    </w:p>
    <w:p w:rsidR="00A2370D" w:rsidRDefault="00A2370D" w:rsidP="00F0702C">
      <w:pPr>
        <w:spacing w:before="0" w:after="0" w:line="276" w:lineRule="auto"/>
        <w:rPr>
          <w:b/>
        </w:rPr>
      </w:pPr>
    </w:p>
    <w:p w:rsidR="00A2370D" w:rsidRDefault="00A2370D" w:rsidP="00F0702C">
      <w:pPr>
        <w:spacing w:before="0" w:after="0" w:line="276" w:lineRule="auto"/>
        <w:rPr>
          <w:b/>
        </w:rPr>
      </w:pPr>
    </w:p>
    <w:p w:rsidR="00A2370D" w:rsidRDefault="00A2370D" w:rsidP="00F0702C">
      <w:pPr>
        <w:spacing w:before="0" w:after="0" w:line="276" w:lineRule="auto"/>
        <w:rPr>
          <w:b/>
        </w:rPr>
      </w:pPr>
    </w:p>
    <w:p w:rsidR="00A2370D" w:rsidRDefault="00A2370D" w:rsidP="00F0702C">
      <w:pPr>
        <w:spacing w:before="0" w:after="0" w:line="276" w:lineRule="auto"/>
        <w:rPr>
          <w:b/>
        </w:rPr>
      </w:pPr>
    </w:p>
    <w:p w:rsidR="00A2370D" w:rsidRDefault="00A2370D" w:rsidP="00F0702C">
      <w:pPr>
        <w:spacing w:before="0" w:after="0" w:line="276" w:lineRule="auto"/>
        <w:rPr>
          <w:b/>
        </w:rPr>
      </w:pPr>
    </w:p>
    <w:p w:rsidR="00F0702C" w:rsidRPr="00E31A70" w:rsidRDefault="00F0702C" w:rsidP="00F0702C">
      <w:pPr>
        <w:spacing w:before="0" w:after="0" w:line="276" w:lineRule="auto"/>
        <w:rPr>
          <w:b/>
          <w:caps/>
          <w:color w:val="000000" w:themeColor="text1"/>
        </w:rPr>
      </w:pPr>
      <w:r>
        <w:rPr>
          <w:b/>
        </w:rPr>
        <w:t>Figure 3</w:t>
      </w:r>
      <w:r w:rsidR="007F2CA8">
        <w:rPr>
          <w:b/>
        </w:rPr>
        <w:t>9</w:t>
      </w:r>
      <w:r>
        <w:rPr>
          <w:b/>
        </w:rPr>
        <w:t xml:space="preserve">: </w:t>
      </w:r>
      <w:r w:rsidRPr="00E31A70">
        <w:rPr>
          <w:b/>
        </w:rPr>
        <w:t xml:space="preserve">GDP Growth and skill development      </w:t>
      </w:r>
      <w:r w:rsidRPr="00E31A70">
        <w:rPr>
          <w:b/>
          <w:caps/>
          <w:color w:val="000000" w:themeColor="text1"/>
        </w:rPr>
        <w:t xml:space="preserve"> </w:t>
      </w:r>
    </w:p>
    <w:p w:rsidR="00F0702C" w:rsidRDefault="00F0702C" w:rsidP="00F0702C">
      <w:pPr>
        <w:spacing w:before="0" w:after="0" w:line="276" w:lineRule="auto"/>
        <w:rPr>
          <w:b/>
          <w:caps/>
          <w:color w:val="000000" w:themeColor="text1"/>
        </w:rPr>
      </w:pPr>
      <w:r w:rsidRPr="002B17C3">
        <w:rPr>
          <w:b/>
          <w:caps/>
          <w:noProof/>
          <w:color w:val="000000" w:themeColor="text1"/>
        </w:rPr>
        <w:drawing>
          <wp:inline distT="0" distB="0" distL="0" distR="0" wp14:anchorId="2AE9B1E9" wp14:editId="625B06B1">
            <wp:extent cx="5204460" cy="3406140"/>
            <wp:effectExtent l="0" t="0" r="0" b="3810"/>
            <wp:docPr id="17430" name="Picture 1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a:extLst>
                        <a:ext uri="{28A0092B-C50C-407E-A947-70E740481C1C}">
                          <a14:useLocalDpi xmlns:a14="http://schemas.microsoft.com/office/drawing/2010/main" val="0"/>
                        </a:ext>
                      </a:extLst>
                    </a:blip>
                    <a:srcRect t="4445"/>
                    <a:stretch/>
                  </pic:blipFill>
                  <pic:spPr bwMode="auto">
                    <a:xfrm>
                      <a:off x="0" y="0"/>
                      <a:ext cx="5204460" cy="3406140"/>
                    </a:xfrm>
                    <a:prstGeom prst="rect">
                      <a:avLst/>
                    </a:prstGeom>
                    <a:noFill/>
                    <a:ln>
                      <a:noFill/>
                    </a:ln>
                    <a:extLst>
                      <a:ext uri="{53640926-AAD7-44D8-BBD7-CCE9431645EC}">
                        <a14:shadowObscured xmlns:a14="http://schemas.microsoft.com/office/drawing/2010/main"/>
                      </a:ext>
                    </a:extLst>
                  </pic:spPr>
                </pic:pic>
              </a:graphicData>
            </a:graphic>
          </wp:inline>
        </w:drawing>
      </w:r>
    </w:p>
    <w:p w:rsidR="00F0702C" w:rsidRPr="00724E8E" w:rsidRDefault="00F0702C" w:rsidP="00F0702C">
      <w:pPr>
        <w:spacing w:before="0" w:after="200" w:line="276" w:lineRule="auto"/>
        <w:rPr>
          <w:color w:val="000000" w:themeColor="text1"/>
          <w:sz w:val="18"/>
          <w:szCs w:val="18"/>
        </w:rPr>
      </w:pPr>
      <w:r>
        <w:rPr>
          <w:color w:val="000000" w:themeColor="text1"/>
          <w:sz w:val="18"/>
          <w:szCs w:val="18"/>
        </w:rPr>
        <w:t>Source: Author</w:t>
      </w:r>
    </w:p>
    <w:p w:rsidR="004E30E9" w:rsidRPr="00A16716" w:rsidRDefault="004E30E9" w:rsidP="0095444D">
      <w:pPr>
        <w:spacing w:before="0" w:after="200" w:line="276" w:lineRule="auto"/>
      </w:pPr>
      <w:r w:rsidRPr="006F2679">
        <w:t>As with the economic structure, labor force distribution is moving towards manufacturing and services. Projected structural transformation of the economy and labor force implies growth of employment faster than labor force. Much of the new labor and labor displaced from agriculture will be absorbed in manufacturing and services sectors. Policy and institutional reforms must be in place to raise investment and profitability in order to sustain growth of higher productivity jobs at a pace exceeding the supply of labor. As indicated above, labor productivity is low in Bangladesh. The centrality of policy and institutional reforms affecting skill development and job placement domestically and abroad is well understood. Both public and private sector must work hand in hand to raise labor productivity for economic growth and poverty reduction. Higher level skill development will not happen in a vacuum. A structured training system must be in place. A well-functioning and integrated labor market demonstrating stronger link between wages and productivity and ease of labor mobility is another important precondition. The current labor market data shows close correlation between averages wages and productivity.</w:t>
      </w:r>
      <w:r w:rsidRPr="006F2679">
        <w:rPr>
          <w:rStyle w:val="FootnoteReference"/>
        </w:rPr>
        <w:footnoteReference w:id="7"/>
      </w:r>
      <w:r w:rsidRPr="006F2679">
        <w:t xml:space="preserve"> However labo</w:t>
      </w:r>
      <w:r w:rsidRPr="00A16716">
        <w:t>r market remains fragmented with some barriers to labor mobility. Transfer cost of labor from one sector to another domestically or from domestic market to foreign market is high</w:t>
      </w:r>
    </w:p>
    <w:p w:rsidR="00F0702C" w:rsidRDefault="004E30E9" w:rsidP="0095444D">
      <w:pPr>
        <w:spacing w:before="0" w:after="200" w:line="276" w:lineRule="auto"/>
      </w:pPr>
      <w:r w:rsidRPr="00A16716">
        <w:t xml:space="preserve">One of the barriers to inter and intra-sector labor mobility is lack of training and skill upgrading facilities. Both public and private costs (direct and indirect) are relatively high. Development and </w:t>
      </w:r>
      <w:r w:rsidRPr="00A16716">
        <w:lastRenderedPageBreak/>
        <w:t>implementation of a training and skill development system is a complex undertaking as it involves multiple stakeholders and has to be conceptualized within a longer time horizon. Besides training and skill development has to be linked with the educational system of the country as the latter provides input into the training and skill development system. Above all the system has to be sustainable, quality assured and be anchored in strong industry links. Cost recovery is a moot question initially. Both public and private initiatives will have to be subsidized to a varying degree. In the long run training and skill development will emerge as a profit making enterprise encouraging private participation. Private capital has contributed to the growth of private universities in Bangladesh over past two decades. In the absence of a well-articulated training system and a flexible market for training and skill upgrading, sporadic private efforts are extracting large rents from limited supply especially for those aspiring to go abroad.</w:t>
      </w:r>
    </w:p>
    <w:p w:rsidR="00174890" w:rsidRPr="00A16716" w:rsidRDefault="00174890" w:rsidP="0095444D">
      <w:pPr>
        <w:spacing w:before="0" w:after="200" w:line="276" w:lineRule="auto"/>
      </w:pPr>
      <w:r w:rsidRPr="00A16716">
        <w:t>Designing a training and skill upgrading system has to start with needs assessment and target setting.</w:t>
      </w:r>
    </w:p>
    <w:p w:rsidR="00174890" w:rsidRPr="00A16716" w:rsidRDefault="00174890" w:rsidP="0095444D">
      <w:pPr>
        <w:numPr>
          <w:ilvl w:val="0"/>
          <w:numId w:val="36"/>
        </w:numPr>
        <w:tabs>
          <w:tab w:val="clear" w:pos="720"/>
          <w:tab w:val="num" w:pos="360"/>
        </w:tabs>
        <w:spacing w:before="0" w:after="200" w:line="276" w:lineRule="auto"/>
        <w:ind w:left="360" w:hanging="270"/>
      </w:pPr>
      <w:r>
        <w:t xml:space="preserve">Skill development </w:t>
      </w:r>
      <w:r w:rsidRPr="00A16716">
        <w:t>is about assisting Bangladesh realize its potential to move beyond the middle income trajectory of Vision 2021 and become a developed country by 2050 creating large demand for diverse set of skills</w:t>
      </w:r>
      <w:r>
        <w:t>.</w:t>
      </w:r>
    </w:p>
    <w:p w:rsidR="00174890" w:rsidRPr="00A16716" w:rsidRDefault="00174890" w:rsidP="0095444D">
      <w:pPr>
        <w:numPr>
          <w:ilvl w:val="0"/>
          <w:numId w:val="36"/>
        </w:numPr>
        <w:tabs>
          <w:tab w:val="clear" w:pos="720"/>
          <w:tab w:val="num" w:pos="360"/>
        </w:tabs>
        <w:spacing w:before="0" w:after="200" w:line="276" w:lineRule="auto"/>
        <w:ind w:left="360" w:hanging="270"/>
      </w:pPr>
      <w:r w:rsidRPr="00A16716">
        <w:t>Growth of productivity and income will have to come primarily from investment in Skill which is a binding constraint liked to limitations of capacity and quality assurance</w:t>
      </w:r>
      <w:r>
        <w:t>.</w:t>
      </w:r>
    </w:p>
    <w:p w:rsidR="00174890" w:rsidRPr="00A16716" w:rsidRDefault="00174890" w:rsidP="00174890">
      <w:pPr>
        <w:numPr>
          <w:ilvl w:val="0"/>
          <w:numId w:val="36"/>
        </w:numPr>
        <w:tabs>
          <w:tab w:val="clear" w:pos="720"/>
          <w:tab w:val="num" w:pos="360"/>
        </w:tabs>
        <w:spacing w:before="0" w:after="200" w:line="276" w:lineRule="auto"/>
        <w:ind w:left="360" w:hanging="270"/>
      </w:pPr>
      <w:r w:rsidRPr="00A16716">
        <w:t>Skill competency will have to be anchored in a literate and technology savvy population and a well-articulated skill development strategy consistent with growth and structural change</w:t>
      </w:r>
      <w:r>
        <w:t>.</w:t>
      </w:r>
    </w:p>
    <w:p w:rsidR="00174890" w:rsidRPr="00A16716" w:rsidRDefault="00174890" w:rsidP="00174890">
      <w:pPr>
        <w:numPr>
          <w:ilvl w:val="0"/>
          <w:numId w:val="36"/>
        </w:numPr>
        <w:tabs>
          <w:tab w:val="clear" w:pos="720"/>
          <w:tab w:val="num" w:pos="360"/>
        </w:tabs>
        <w:spacing w:before="0" w:after="200" w:line="276" w:lineRule="auto"/>
        <w:ind w:left="360" w:hanging="270"/>
      </w:pPr>
      <w:r w:rsidRPr="00A16716">
        <w:t>Both public as well as private sector will have to work together to mobilize necessary financial resources for skill training ensuring balanced supply of required quantity and quality for growth, export oriented and labor intensive sectors</w:t>
      </w:r>
      <w:r>
        <w:t>.</w:t>
      </w:r>
    </w:p>
    <w:p w:rsidR="00174890" w:rsidRPr="00A16716" w:rsidRDefault="00174890" w:rsidP="00174890">
      <w:pPr>
        <w:numPr>
          <w:ilvl w:val="0"/>
          <w:numId w:val="36"/>
        </w:numPr>
        <w:tabs>
          <w:tab w:val="clear" w:pos="720"/>
          <w:tab w:val="num" w:pos="360"/>
        </w:tabs>
        <w:spacing w:before="0" w:after="200" w:line="276" w:lineRule="auto"/>
        <w:ind w:left="360" w:hanging="270"/>
      </w:pPr>
      <w:r w:rsidRPr="00A16716">
        <w:t>Reform agenda should encompass the education policy, skill development and labor market policy, capacity creation, quality assurance, and broader and deeper private sector participation in skill development</w:t>
      </w:r>
      <w:r>
        <w:t>.</w:t>
      </w:r>
    </w:p>
    <w:p w:rsidR="00174890" w:rsidRPr="00A16716" w:rsidRDefault="00174890" w:rsidP="00174890">
      <w:pPr>
        <w:numPr>
          <w:ilvl w:val="0"/>
          <w:numId w:val="36"/>
        </w:numPr>
        <w:tabs>
          <w:tab w:val="clear" w:pos="720"/>
          <w:tab w:val="num" w:pos="360"/>
        </w:tabs>
        <w:spacing w:before="0" w:after="200" w:line="276" w:lineRule="auto"/>
        <w:ind w:left="360" w:hanging="270"/>
      </w:pPr>
      <w:r w:rsidRPr="00A16716">
        <w:t>Institution building/strengthening will have to go hand in hand to support the reform agenda</w:t>
      </w:r>
      <w:r>
        <w:t>.</w:t>
      </w:r>
    </w:p>
    <w:p w:rsidR="00174890" w:rsidRPr="00A16716" w:rsidRDefault="00174890" w:rsidP="00174890">
      <w:pPr>
        <w:numPr>
          <w:ilvl w:val="0"/>
          <w:numId w:val="36"/>
        </w:numPr>
        <w:tabs>
          <w:tab w:val="clear" w:pos="720"/>
          <w:tab w:val="num" w:pos="360"/>
        </w:tabs>
        <w:spacing w:before="0" w:after="200" w:line="276" w:lineRule="auto"/>
        <w:ind w:left="360" w:hanging="270"/>
      </w:pPr>
      <w:r w:rsidRPr="00A16716">
        <w:t>A strong project implementation arrangement needs to be put in place for synchronization, coordination and sequencing</w:t>
      </w:r>
      <w:r>
        <w:t>.</w:t>
      </w:r>
    </w:p>
    <w:p w:rsidR="00174890" w:rsidRPr="00A16716" w:rsidRDefault="00174890" w:rsidP="00174890">
      <w:pPr>
        <w:spacing w:before="0" w:after="200" w:line="276" w:lineRule="auto"/>
      </w:pPr>
      <w:r w:rsidRPr="00A16716">
        <w:t>Strategies also need to be articulated and implemented for (a) basic education and skill development and (b) TVET. The latter will be covering both demands as well as supply management strategies. Critical strategic elements for consideration are (</w:t>
      </w:r>
      <w:proofErr w:type="spellStart"/>
      <w:r w:rsidRPr="00A16716">
        <w:t>i</w:t>
      </w:r>
      <w:proofErr w:type="spellEnd"/>
      <w:r w:rsidRPr="00A16716">
        <w:t xml:space="preserve">) undertaking an in-depth diagnostic study, (ii) identifying champions and catalytic agents through a network of institutions, (iii) designing process oriented multi-pronged, multi-staged interventions, (iv) developing actual innovative programs for skill development as business ventures, and (v) </w:t>
      </w:r>
      <w:r w:rsidRPr="00A16716">
        <w:lastRenderedPageBreak/>
        <w:t>making skill training system open, flexible and modular-based where feasible, effective, standardized and efficient, inclusive and transparent and free of corruption.</w:t>
      </w:r>
      <w:r w:rsidR="000F2C84">
        <w:t xml:space="preserve"> The Government has already taken a giant step which needs to be built upon for Vision 2041.</w:t>
      </w:r>
    </w:p>
    <w:p w:rsidR="00174890" w:rsidRPr="003B0345" w:rsidRDefault="00174890" w:rsidP="00174890">
      <w:pPr>
        <w:spacing w:before="0" w:after="200" w:line="276" w:lineRule="auto"/>
      </w:pPr>
      <w:r w:rsidRPr="00A16716">
        <w:t xml:space="preserve">Building on the approved NSDP, the </w:t>
      </w:r>
      <w:r w:rsidR="000F2C84">
        <w:t xml:space="preserve">Government’s </w:t>
      </w:r>
      <w:r w:rsidRPr="00A16716">
        <w:t xml:space="preserve">10-year road map for </w:t>
      </w:r>
      <w:r w:rsidR="000F2C84">
        <w:t xml:space="preserve">skill development </w:t>
      </w:r>
      <w:r w:rsidRPr="00A16716">
        <w:t xml:space="preserve">envisages establishing a new </w:t>
      </w:r>
      <w:r w:rsidRPr="00EA064C">
        <w:t xml:space="preserve">authority and a National Human Resource Development Fund (NHRDF) initially in the Ministry of Finance (MOF) by 2015. </w:t>
      </w:r>
      <w:r w:rsidR="000F2C84">
        <w:t>T</w:t>
      </w:r>
      <w:r w:rsidRPr="003B0345">
        <w:t xml:space="preserve">his trajectory </w:t>
      </w:r>
      <w:r w:rsidR="000F2C84">
        <w:t xml:space="preserve">will require </w:t>
      </w:r>
      <w:r w:rsidRPr="003B0345">
        <w:t>sustainable sources of financing which may include support from the industry, government, users and external sources.  In addition, a number of demand management and supply management strategies will have to be adopted and implemented in order to avoid demand-supply mismatch. Demand management would call for careful analysis of growth sectors, skill demand, demand side financing (for example, vouchers, stipends) and constraints (for example, removing barriers to entry, and granting delegation of powers) as well as wage/price flexibility and access to finance. On the other hand, important supply management strategies include investment in training capacity, private sector incentive and access to TVET institutional facilities which are underutilized and promotion of apprenticeship and workplace-based training.</w:t>
      </w:r>
    </w:p>
    <w:p w:rsidR="00174890" w:rsidRPr="003B0345" w:rsidRDefault="00174890" w:rsidP="00174890">
      <w:pPr>
        <w:autoSpaceDE w:val="0"/>
        <w:autoSpaceDN w:val="0"/>
        <w:adjustRightInd w:val="0"/>
        <w:spacing w:before="0" w:after="200" w:line="276" w:lineRule="auto"/>
      </w:pPr>
      <w:r w:rsidRPr="003B0345">
        <w:t>In keeping with the overall and sectoral growth targets of the</w:t>
      </w:r>
      <w:r w:rsidR="0095444D">
        <w:t xml:space="preserve"> SPPB</w:t>
      </w:r>
      <w:r w:rsidRPr="003B0345">
        <w:t>, the skill development strategy has been formulated to respond to increase in demand for various types of skills during the plan period and beyond. Given total population, school age population, the number of graduates from different levels, the transformation of graduates into skills and labor force participation rate linkages, a longer term programmatic approach to skill development keeping in view the need to eliminate skill specific demand supply mismatch that has afflicted the job market in Bangladesh. The low level of skill and productivity of the Bangladeshi labor is endemic given that labor force survey data indicated that more than 60% of the labor force has either no education (40%) or up to primary education (22.8%).</w:t>
      </w:r>
    </w:p>
    <w:p w:rsidR="00174890" w:rsidRPr="003B0345" w:rsidRDefault="00174890" w:rsidP="00174890">
      <w:pPr>
        <w:autoSpaceDE w:val="0"/>
        <w:autoSpaceDN w:val="0"/>
        <w:adjustRightInd w:val="0"/>
        <w:spacing w:before="0" w:after="200" w:line="276" w:lineRule="auto"/>
      </w:pPr>
      <w:r w:rsidRPr="003B0345">
        <w:t xml:space="preserve">With the approval of the National Education Policy and the NSDP, the government </w:t>
      </w:r>
      <w:r w:rsidR="0095444D">
        <w:t xml:space="preserve">has </w:t>
      </w:r>
      <w:r w:rsidRPr="003B0345">
        <w:t xml:space="preserve">embarked on major education and training reforms. The National Education Policy emphasizes the overall importance of education and training, while the NSDP reinforces the importance of skills development and opens up the sector for major policy and institutional reforms including substantial involvement of the private sector. Further opportunities have been opened up by the young age population from which could be reaping the population dividend making investments in much higher quality schooling combined with at least a four-fold increase </w:t>
      </w:r>
      <w:r w:rsidR="00F90648">
        <w:t xml:space="preserve">or more </w:t>
      </w:r>
      <w:r w:rsidRPr="003B0345">
        <w:t>in skilling and/or up-skilling of the labor force, which is expected to increase from</w:t>
      </w:r>
      <w:r w:rsidR="00F90648">
        <w:t xml:space="preserve"> </w:t>
      </w:r>
      <w:r w:rsidR="00F90648" w:rsidRPr="00F90648">
        <w:t>53.5 million in 2010 to 82.8 million in 2025, 96.2 million in 2030 and an estimated 126.8 million in 2041</w:t>
      </w:r>
      <w:r w:rsidRPr="003B0345">
        <w:t xml:space="preserve">. </w:t>
      </w:r>
    </w:p>
    <w:p w:rsidR="00174890" w:rsidRPr="003B0345" w:rsidRDefault="00174890" w:rsidP="00174890">
      <w:pPr>
        <w:autoSpaceDE w:val="0"/>
        <w:autoSpaceDN w:val="0"/>
        <w:adjustRightInd w:val="0"/>
        <w:spacing w:before="0" w:after="200" w:line="276" w:lineRule="auto"/>
      </w:pPr>
      <w:r w:rsidRPr="003B0345">
        <w:t xml:space="preserve">To accelerate economic growth from the current </w:t>
      </w:r>
      <w:r w:rsidR="0095444D">
        <w:t>7</w:t>
      </w:r>
      <w:r w:rsidRPr="003B0345">
        <w:t xml:space="preserve">% to </w:t>
      </w:r>
      <w:r w:rsidR="0095444D">
        <w:t>9</w:t>
      </w:r>
      <w:r w:rsidRPr="003B0345">
        <w:t xml:space="preserve">% and above, the government must address the skills shortage—one of the key binding constraints. Skills development requires a two-pronged approach. First, it must be anchored in foundational skills that come from high-quality schooling combined with relevant vocational and technical skills to capitalize on the </w:t>
      </w:r>
      <w:r w:rsidRPr="003B0345">
        <w:lastRenderedPageBreak/>
        <w:t>demographic dividend. Second, it requires scaling up skills training by four to eight times the current annual training capacity.</w:t>
      </w:r>
    </w:p>
    <w:p w:rsidR="00174890" w:rsidRPr="003B0345" w:rsidRDefault="00174890" w:rsidP="00174890">
      <w:pPr>
        <w:autoSpaceDE w:val="0"/>
        <w:autoSpaceDN w:val="0"/>
        <w:adjustRightInd w:val="0"/>
        <w:spacing w:before="0" w:after="200" w:line="276" w:lineRule="auto"/>
      </w:pPr>
      <w:r w:rsidRPr="003B0345">
        <w:t>Bangladesh needs to invest heavily in human development, particularly in schooling and skills development. Currently, only 500,000 receive skills training annually against the actual industry need of at least 2 million. Similarly, the total expenditure in skills development is estimated at around $150 million per year against the need to invest about $600 million; these numbers will grow as the labor force increases by 40% by 2025. Industry leaders need to and indications are they are willing to participate actively in skilling the work force in priority sectors to exploit the full potential of growth opportunities.</w:t>
      </w:r>
    </w:p>
    <w:p w:rsidR="00174890" w:rsidRPr="003B0345" w:rsidRDefault="00174890" w:rsidP="00174890">
      <w:pPr>
        <w:autoSpaceDE w:val="0"/>
        <w:autoSpaceDN w:val="0"/>
        <w:adjustRightInd w:val="0"/>
        <w:spacing w:before="0" w:after="200" w:line="276" w:lineRule="auto"/>
      </w:pPr>
      <w:r w:rsidRPr="003B0345">
        <w:t>With donor support, the government has embarked upon a Skill for Employment Investment Program (SEIP) that will support its reforms in skills development, anchored in the National Skills Development Policy (NSDP), 2011. Under overall supervision of the Ministry of Finance the program will support large-scale private sector involvement and promote public–private partnership, which is critical to meet existing and future labor market needs and to reduce the skills gap. This in turn is crucial for Bangladesh to move away from the “low-skill, low-wage equilibrium” to a “higher skill, higher wage virtuous cycle” to become a middle-income country. The investment program will help the government to scale-up skilling of new entrants and up-skilling of existing workers to contribute to higher growth of priority sectors as well as to cater the emerging demands in overseas job markets. It will also strengthen skills development in Bangladesh and support transition to a sector-wide approach (</w:t>
      </w:r>
      <w:proofErr w:type="spellStart"/>
      <w:r w:rsidRPr="003B0345">
        <w:t>SWAp</w:t>
      </w:r>
      <w:proofErr w:type="spellEnd"/>
      <w:r w:rsidRPr="003B0345">
        <w:t>) by establishing a unified funding system and enhancing overall coordination of the currently fragmented system. It will also establish twining arrangements with world class organization and institutions for international recognition of skills training. The program is fully aligned with the Perspective Plan, 6</w:t>
      </w:r>
      <w:r w:rsidRPr="003B0345">
        <w:rPr>
          <w:vertAlign w:val="superscript"/>
        </w:rPr>
        <w:t>th</w:t>
      </w:r>
      <w:r w:rsidRPr="003B0345">
        <w:t xml:space="preserve"> and the 7</w:t>
      </w:r>
      <w:r w:rsidRPr="003B0345">
        <w:rPr>
          <w:vertAlign w:val="superscript"/>
        </w:rPr>
        <w:t>th</w:t>
      </w:r>
      <w:r w:rsidRPr="003B0345">
        <w:t xml:space="preserve"> Five Year Plan.</w:t>
      </w:r>
      <w:r w:rsidR="00536A2B">
        <w:t xml:space="preserve"> </w:t>
      </w:r>
    </w:p>
    <w:p w:rsidR="00174890" w:rsidRDefault="00174890" w:rsidP="000F2C84">
      <w:pPr>
        <w:spacing w:before="0" w:after="200" w:line="276" w:lineRule="auto"/>
      </w:pPr>
      <w:r w:rsidRPr="003B0345">
        <w:t>The m</w:t>
      </w:r>
      <w:r w:rsidRPr="003B0345">
        <w:rPr>
          <w:bCs/>
        </w:rPr>
        <w:t xml:space="preserve">arket responsive inclusive skills training </w:t>
      </w:r>
      <w:r w:rsidRPr="003B0345">
        <w:t xml:space="preserve">program has engaged public training institutions of three ministries, industry associations, PKSF, and Bangladesh Bank Small and Medium Enterprise Department to train about 260,000 people in the first phase in six priority sectors, with an average job placement of 70% targeting among others, people from disadvantaged groups including people with disabilities and women. In three phases the </w:t>
      </w:r>
      <w:r w:rsidR="000F2C84" w:rsidRPr="003B0345">
        <w:t>ten-year</w:t>
      </w:r>
      <w:r w:rsidRPr="003B0345">
        <w:t xml:space="preserve"> program will train about 1.5 million people in 15 priority sectors strengthening along the way the training institutions’ quality assurance and assessment system. All skill development activities will be coordinated under a National Skill </w:t>
      </w:r>
      <w:r w:rsidR="00536A2B" w:rsidRPr="003B0345">
        <w:t>Development</w:t>
      </w:r>
      <w:r w:rsidRPr="003B0345">
        <w:t xml:space="preserve"> Authority (NSDA) with additional and uninterrupted finance to be mobilized and disbursed through a National Human Resources Development Fund (NHRDF).</w:t>
      </w:r>
      <w:r w:rsidR="00536A2B">
        <w:t xml:space="preserve"> The program needs to be scaled up and continued to respond to the requirements of Vision 2041.</w:t>
      </w:r>
    </w:p>
    <w:p w:rsidR="007F2CA8" w:rsidRDefault="00312F99" w:rsidP="000F2C84">
      <w:pPr>
        <w:spacing w:before="0" w:after="200" w:line="276" w:lineRule="auto"/>
      </w:pPr>
      <w:r>
        <w:tab/>
      </w:r>
    </w:p>
    <w:p w:rsidR="007F2CA8" w:rsidRDefault="007F2CA8">
      <w:r>
        <w:br w:type="page"/>
      </w:r>
    </w:p>
    <w:p w:rsidR="004C7AB3" w:rsidRDefault="00312F99" w:rsidP="00362C6D">
      <w:pPr>
        <w:spacing w:before="0" w:after="200" w:line="276" w:lineRule="auto"/>
        <w:ind w:left="720"/>
      </w:pPr>
      <w:r>
        <w:lastRenderedPageBreak/>
        <w:t>Executive Development Program (EDP)</w:t>
      </w:r>
    </w:p>
    <w:p w:rsidR="00312F99" w:rsidRPr="00312F99" w:rsidRDefault="00312F99" w:rsidP="003C3A6E">
      <w:pPr>
        <w:spacing w:before="0" w:after="200" w:line="276" w:lineRule="auto"/>
      </w:pPr>
      <w:r w:rsidRPr="00312F99">
        <w:t>Bangladesh needs high level manpower to reach its target of achieving developed country status by 2041 after attaining upper middle income status well before 2030. It is already a lower middle income country. The path to the future is higher investment to GDP ratio along with policy and institutional reforms to overcome skill constraint underpinning greater diversification and higher growth. Skill level has to be raised at lower end of the scale but more important is to relieve acute shortage of mid and higher level supervisors, managers and executives. Higher level skills development will leverage on productivity increase at lower skill levels to produce accelerated growth of GDP through improvement of production efficiency and resource conservation (Figure</w:t>
      </w:r>
      <w:r>
        <w:t>s</w:t>
      </w:r>
      <w:r w:rsidRPr="00312F99">
        <w:t xml:space="preserve"> </w:t>
      </w:r>
      <w:r w:rsidR="007F2CA8">
        <w:t>40</w:t>
      </w:r>
      <w:r>
        <w:t xml:space="preserve"> and </w:t>
      </w:r>
      <w:r w:rsidR="00A2370D">
        <w:t>4</w:t>
      </w:r>
      <w:r w:rsidR="007F2CA8">
        <w:t>1</w:t>
      </w:r>
      <w:r w:rsidRPr="00312F99">
        <w:t>).</w:t>
      </w:r>
      <w:r w:rsidR="001C07C2">
        <w:t xml:space="preserve"> An executive development program (EDP) will have profound impact on production efficiency which will shift the production possibility frontier (PPF) outward. </w:t>
      </w:r>
      <w:r w:rsidR="00111A23">
        <w:t>The important point to realize is that this may occur even without any incremental input/raw material.</w:t>
      </w:r>
    </w:p>
    <w:p w:rsidR="00E372BB" w:rsidRDefault="00E372BB" w:rsidP="003C3A6E">
      <w:pPr>
        <w:rPr>
          <w:b/>
          <w:color w:val="000000" w:themeColor="text1"/>
        </w:rPr>
      </w:pPr>
      <w:r w:rsidRPr="003C3A6E">
        <w:rPr>
          <w:noProof/>
        </w:rPr>
        <mc:AlternateContent>
          <mc:Choice Requires="wps">
            <w:drawing>
              <wp:anchor distT="0" distB="0" distL="114300" distR="114300" simplePos="0" relativeHeight="251863040" behindDoc="1" locked="0" layoutInCell="1" allowOverlap="1" wp14:anchorId="07C633A9" wp14:editId="59B89211">
                <wp:simplePos x="0" y="0"/>
                <wp:positionH relativeFrom="margin">
                  <wp:align>left</wp:align>
                </wp:positionH>
                <wp:positionV relativeFrom="paragraph">
                  <wp:posOffset>84455</wp:posOffset>
                </wp:positionV>
                <wp:extent cx="4777740" cy="3314700"/>
                <wp:effectExtent l="0" t="0" r="22860" b="19050"/>
                <wp:wrapNone/>
                <wp:docPr id="68" name="Rectangle 68"/>
                <wp:cNvGraphicFramePr/>
                <a:graphic xmlns:a="http://schemas.openxmlformats.org/drawingml/2006/main">
                  <a:graphicData uri="http://schemas.microsoft.com/office/word/2010/wordprocessingShape">
                    <wps:wsp>
                      <wps:cNvSpPr/>
                      <wps:spPr>
                        <a:xfrm>
                          <a:off x="0" y="0"/>
                          <a:ext cx="4777740" cy="33147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05900" w:rsidRDefault="00205900" w:rsidP="003C3A6E">
                            <w:pPr>
                              <w:rPr>
                                <w:b/>
                                <w:color w:val="000000" w:themeColor="text1"/>
                              </w:rPr>
                            </w:pPr>
                          </w:p>
                          <w:p w:rsidR="00205900" w:rsidRDefault="00205900" w:rsidP="003C3A6E">
                            <w:pPr>
                              <w:rPr>
                                <w:b/>
                                <w:color w:val="000000" w:themeColor="text1"/>
                              </w:rPr>
                            </w:pPr>
                          </w:p>
                          <w:p w:rsidR="00205900" w:rsidRDefault="00205900" w:rsidP="003C3A6E">
                            <w:pPr>
                              <w:rPr>
                                <w:b/>
                                <w:color w:val="000000" w:themeColor="text1"/>
                              </w:rPr>
                            </w:pPr>
                          </w:p>
                          <w:p w:rsidR="00205900" w:rsidRDefault="00205900" w:rsidP="003C3A6E"/>
                          <w:p w:rsidR="00205900" w:rsidRDefault="00205900" w:rsidP="003C3A6E"/>
                          <w:p w:rsidR="00205900" w:rsidRDefault="00205900" w:rsidP="003C3A6E"/>
                          <w:p w:rsidR="00205900" w:rsidRDefault="00205900" w:rsidP="003C3A6E"/>
                          <w:p w:rsidR="00205900" w:rsidRDefault="00205900" w:rsidP="003C3A6E"/>
                          <w:p w:rsidR="00205900" w:rsidRDefault="00205900" w:rsidP="003C3A6E"/>
                          <w:p w:rsidR="00205900" w:rsidRDefault="00205900" w:rsidP="003C3A6E"/>
                          <w:p w:rsidR="00205900" w:rsidRPr="003C3A6E" w:rsidRDefault="00205900" w:rsidP="003C3A6E">
                            <w:pPr>
                              <w:spacing w:after="0"/>
                              <w:rPr>
                                <w:color w:val="000000" w:themeColor="text1"/>
                              </w:rPr>
                            </w:pPr>
                            <w:r w:rsidRPr="003C3A6E">
                              <w:rPr>
                                <w:color w:val="000000" w:themeColor="text1"/>
                                <w:sz w:val="16"/>
                                <w:szCs w:val="16"/>
                              </w:rPr>
                              <w:t>Source: A</w:t>
                            </w:r>
                            <w:r>
                              <w:rPr>
                                <w:color w:val="000000" w:themeColor="text1"/>
                                <w:sz w:val="16"/>
                                <w:szCs w:val="16"/>
                              </w:rPr>
                              <w:t>uthor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633A9" id="Rectangle 68" o:spid="_x0000_s1026" style="position:absolute;margin-left:0;margin-top:6.65pt;width:376.2pt;height:261pt;z-index:-251453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" fillcolor="#dbe5f1 [660]" strokecolor="#243f60 [1604]" strokeweight="2pt">
                <v:textbox>
                  <w:txbxContent>
                    <w:p w:rsidR="00205900" w:rsidRDefault="00205900" w:rsidP="003C3A6E">
                      <w:pPr>
                        <w:rPr>
                          <w:b/>
                          <w:color w:val="000000" w:themeColor="text1"/>
                        </w:rPr>
                      </w:pPr>
                    </w:p>
                    <w:p w:rsidR="00205900" w:rsidRDefault="00205900" w:rsidP="003C3A6E">
                      <w:pPr>
                        <w:rPr>
                          <w:b/>
                          <w:color w:val="000000" w:themeColor="text1"/>
                        </w:rPr>
                      </w:pPr>
                    </w:p>
                    <w:p w:rsidR="00205900" w:rsidRDefault="00205900" w:rsidP="003C3A6E">
                      <w:pPr>
                        <w:rPr>
                          <w:b/>
                          <w:color w:val="000000" w:themeColor="text1"/>
                        </w:rPr>
                      </w:pPr>
                    </w:p>
                    <w:p w:rsidR="00205900" w:rsidRDefault="00205900" w:rsidP="003C3A6E"/>
                    <w:p w:rsidR="00205900" w:rsidRDefault="00205900" w:rsidP="003C3A6E"/>
                    <w:p w:rsidR="00205900" w:rsidRDefault="00205900" w:rsidP="003C3A6E"/>
                    <w:p w:rsidR="00205900" w:rsidRDefault="00205900" w:rsidP="003C3A6E"/>
                    <w:p w:rsidR="00205900" w:rsidRDefault="00205900" w:rsidP="003C3A6E"/>
                    <w:p w:rsidR="00205900" w:rsidRDefault="00205900" w:rsidP="003C3A6E"/>
                    <w:p w:rsidR="00205900" w:rsidRDefault="00205900" w:rsidP="003C3A6E"/>
                    <w:p w:rsidR="00205900" w:rsidRPr="003C3A6E" w:rsidRDefault="00205900" w:rsidP="003C3A6E">
                      <w:pPr>
                        <w:spacing w:after="0"/>
                        <w:rPr>
                          <w:color w:val="000000" w:themeColor="text1"/>
                        </w:rPr>
                      </w:pPr>
                      <w:r w:rsidRPr="003C3A6E">
                        <w:rPr>
                          <w:color w:val="000000" w:themeColor="text1"/>
                          <w:sz w:val="16"/>
                          <w:szCs w:val="16"/>
                        </w:rPr>
                        <w:t>Source: A</w:t>
                      </w:r>
                      <w:r>
                        <w:rPr>
                          <w:color w:val="000000" w:themeColor="text1"/>
                          <w:sz w:val="16"/>
                          <w:szCs w:val="16"/>
                        </w:rPr>
                        <w:t>uthor</w:t>
                      </w:r>
                    </w:p>
                  </w:txbxContent>
                </v:textbox>
                <w10:wrap anchorx="margin"/>
              </v:rect>
            </w:pict>
          </mc:Fallback>
        </mc:AlternateContent>
      </w:r>
      <w:r w:rsidR="003C3A6E">
        <w:rPr>
          <w:b/>
          <w:color w:val="000000" w:themeColor="text1"/>
        </w:rPr>
        <w:t xml:space="preserve">        </w:t>
      </w:r>
    </w:p>
    <w:p w:rsidR="003C3A6E" w:rsidRDefault="00E372BB" w:rsidP="003C3A6E">
      <w:pPr>
        <w:rPr>
          <w:noProof/>
        </w:rPr>
      </w:pPr>
      <w:r>
        <w:rPr>
          <w:b/>
          <w:color w:val="000000" w:themeColor="text1"/>
        </w:rPr>
        <w:t xml:space="preserve">        </w:t>
      </w:r>
      <w:r w:rsidR="003C3A6E" w:rsidRPr="00CE727D">
        <w:rPr>
          <w:b/>
          <w:color w:val="000000" w:themeColor="text1"/>
        </w:rPr>
        <w:t xml:space="preserve">Figure </w:t>
      </w:r>
      <w:r w:rsidR="007F2CA8">
        <w:rPr>
          <w:b/>
          <w:color w:val="000000" w:themeColor="text1"/>
        </w:rPr>
        <w:t>40</w:t>
      </w:r>
      <w:r w:rsidR="003C3A6E" w:rsidRPr="00CE727D">
        <w:rPr>
          <w:b/>
          <w:color w:val="000000" w:themeColor="text1"/>
        </w:rPr>
        <w:t xml:space="preserve">: </w:t>
      </w:r>
      <w:r w:rsidR="003C3A6E">
        <w:rPr>
          <w:b/>
          <w:color w:val="000000" w:themeColor="text1"/>
        </w:rPr>
        <w:t>Impact of high-level skill development on growth</w:t>
      </w:r>
    </w:p>
    <w:p w:rsidR="003C3A6E" w:rsidRDefault="00E372BB" w:rsidP="004C7AB3">
      <w:pPr>
        <w:rPr>
          <w:noProof/>
        </w:rPr>
      </w:pPr>
      <w:r w:rsidRPr="003C3A6E">
        <w:rPr>
          <w:noProof/>
        </w:rPr>
        <mc:AlternateContent>
          <mc:Choice Requires="wps">
            <w:drawing>
              <wp:anchor distT="0" distB="0" distL="114300" distR="114300" simplePos="0" relativeHeight="251858944" behindDoc="0" locked="0" layoutInCell="1" allowOverlap="1" wp14:anchorId="5B1CCBBF" wp14:editId="7AC144E3">
                <wp:simplePos x="0" y="0"/>
                <wp:positionH relativeFrom="column">
                  <wp:posOffset>2065020</wp:posOffset>
                </wp:positionH>
                <wp:positionV relativeFrom="paragraph">
                  <wp:posOffset>2259330</wp:posOffset>
                </wp:positionV>
                <wp:extent cx="1043940" cy="434340"/>
                <wp:effectExtent l="0" t="0" r="22860" b="22860"/>
                <wp:wrapNone/>
                <wp:docPr id="17471" name="Text Box 17471"/>
                <wp:cNvGraphicFramePr/>
                <a:graphic xmlns:a="http://schemas.openxmlformats.org/drawingml/2006/main">
                  <a:graphicData uri="http://schemas.microsoft.com/office/word/2010/wordprocessingShape">
                    <wps:wsp>
                      <wps:cNvSpPr txBox="1"/>
                      <wps:spPr>
                        <a:xfrm>
                          <a:off x="0" y="0"/>
                          <a:ext cx="1043940" cy="434340"/>
                        </a:xfrm>
                        <a:prstGeom prst="rect">
                          <a:avLst/>
                        </a:prstGeom>
                        <a:solidFill>
                          <a:srgbClr val="E8BF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E372BB" w:rsidRDefault="00205900" w:rsidP="003C3A6E">
                            <w:pPr>
                              <w:jc w:val="center"/>
                              <w:rPr>
                                <w:sz w:val="18"/>
                                <w:szCs w:val="18"/>
                              </w:rPr>
                            </w:pPr>
                            <w:r w:rsidRPr="00E372BB">
                              <w:rPr>
                                <w:sz w:val="18"/>
                                <w:szCs w:val="18"/>
                              </w:rPr>
                              <w:t>Training strategy formulation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CCBBF" id="_x0000_t202" coordsize="21600,21600" o:spt="202" path="m,l,21600r21600,l21600,xe">
                <v:stroke joinstyle="miter"/>
                <v:path gradientshapeok="t" o:connecttype="rect"/>
              </v:shapetype>
              <v:shape id="Text Box 17471" o:spid="_x0000_s1027" type="#_x0000_t202" style="position:absolute;margin-left:162.6pt;margin-top:177.9pt;width:82.2pt;height:34.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" fillcolor="#e8bfbe" strokeweight=".5pt">
                <v:textbox>
                  <w:txbxContent>
                    <w:p w:rsidR="00205900" w:rsidRPr="00E372BB" w:rsidRDefault="00205900" w:rsidP="003C3A6E">
                      <w:pPr>
                        <w:jc w:val="center"/>
                        <w:rPr>
                          <w:sz w:val="18"/>
                          <w:szCs w:val="18"/>
                        </w:rPr>
                      </w:pPr>
                      <w:r w:rsidRPr="00E372BB">
                        <w:rPr>
                          <w:sz w:val="18"/>
                          <w:szCs w:val="18"/>
                        </w:rPr>
                        <w:t>Training strategy formulation</w:t>
                      </w:r>
                    </w:p>
                  </w:txbxContent>
                </v:textbox>
              </v:shape>
            </w:pict>
          </mc:Fallback>
        </mc:AlternateContent>
      </w:r>
      <w:r w:rsidRPr="003C3A6E">
        <w:rPr>
          <w:noProof/>
        </w:rPr>
        <mc:AlternateContent>
          <mc:Choice Requires="wps">
            <w:drawing>
              <wp:anchor distT="0" distB="0" distL="114300" distR="114300" simplePos="0" relativeHeight="251868160" behindDoc="0" locked="0" layoutInCell="1" allowOverlap="1" wp14:anchorId="637CA4E2" wp14:editId="3FCE6C03">
                <wp:simplePos x="0" y="0"/>
                <wp:positionH relativeFrom="column">
                  <wp:posOffset>2560320</wp:posOffset>
                </wp:positionH>
                <wp:positionV relativeFrom="paragraph">
                  <wp:posOffset>2038350</wp:posOffset>
                </wp:positionV>
                <wp:extent cx="0" cy="228600"/>
                <wp:effectExtent l="95250" t="38100" r="57150" b="19050"/>
                <wp:wrapNone/>
                <wp:docPr id="73" name="Straight Arrow Connector 7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7CE54D" id="_x0000_t32" coordsize="21600,21600" o:spt="32" o:oned="t" path="m,l21600,21600e" filled="f">
                <v:path arrowok="t" fillok="f" o:connecttype="none"/>
                <o:lock v:ext="edit" shapetype="t"/>
              </v:shapetype>
              <v:shape id="Straight Arrow Connector 73" o:spid="_x0000_s1026" type="#_x0000_t32" style="position:absolute;margin-left:201.6pt;margin-top:160.5pt;width:0;height:18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" strokecolor="black [3213]">
                <v:stroke endarrow="open"/>
              </v:shape>
            </w:pict>
          </mc:Fallback>
        </mc:AlternateContent>
      </w:r>
      <w:r w:rsidRPr="003C3A6E">
        <w:rPr>
          <w:noProof/>
        </w:rPr>
        <mc:AlternateContent>
          <mc:Choice Requires="wps">
            <w:drawing>
              <wp:anchor distT="0" distB="0" distL="114300" distR="114300" simplePos="0" relativeHeight="251866112" behindDoc="0" locked="0" layoutInCell="1" allowOverlap="1" wp14:anchorId="6D1276DE" wp14:editId="7867234C">
                <wp:simplePos x="0" y="0"/>
                <wp:positionH relativeFrom="column">
                  <wp:posOffset>3048000</wp:posOffset>
                </wp:positionH>
                <wp:positionV relativeFrom="paragraph">
                  <wp:posOffset>842010</wp:posOffset>
                </wp:positionV>
                <wp:extent cx="1287780" cy="381000"/>
                <wp:effectExtent l="0" t="0" r="26670" b="19050"/>
                <wp:wrapNone/>
                <wp:docPr id="71" name="Text Box 71"/>
                <wp:cNvGraphicFramePr/>
                <a:graphic xmlns:a="http://schemas.openxmlformats.org/drawingml/2006/main">
                  <a:graphicData uri="http://schemas.microsoft.com/office/word/2010/wordprocessingShape">
                    <wps:wsp>
                      <wps:cNvSpPr txBox="1"/>
                      <wps:spPr>
                        <a:xfrm>
                          <a:off x="0" y="0"/>
                          <a:ext cx="1287780" cy="381000"/>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E372BB" w:rsidRDefault="00205900" w:rsidP="003C3A6E">
                            <w:pPr>
                              <w:spacing w:after="0"/>
                              <w:jc w:val="center"/>
                              <w:rPr>
                                <w:sz w:val="18"/>
                                <w:szCs w:val="18"/>
                              </w:rPr>
                            </w:pPr>
                            <w:r w:rsidRPr="00E372BB">
                              <w:rPr>
                                <w:sz w:val="18"/>
                                <w:szCs w:val="18"/>
                              </w:rPr>
                              <w:t>Impact on GDP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76DE" id="Text Box 71" o:spid="_x0000_s1028" type="#_x0000_t202" style="position:absolute;margin-left:240pt;margin-top:66.3pt;width:101.4pt;height:3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" fillcolor="#ccc0d9 [1303]" strokeweight=".5pt">
                <v:textbox>
                  <w:txbxContent>
                    <w:p w:rsidR="00205900" w:rsidRPr="00E372BB" w:rsidRDefault="00205900" w:rsidP="003C3A6E">
                      <w:pPr>
                        <w:spacing w:after="0"/>
                        <w:jc w:val="center"/>
                        <w:rPr>
                          <w:sz w:val="18"/>
                          <w:szCs w:val="18"/>
                        </w:rPr>
                      </w:pPr>
                      <w:r w:rsidRPr="00E372BB">
                        <w:rPr>
                          <w:sz w:val="18"/>
                          <w:szCs w:val="18"/>
                        </w:rPr>
                        <w:t>Impact on GDP growth</w:t>
                      </w:r>
                    </w:p>
                  </w:txbxContent>
                </v:textbox>
              </v:shape>
            </w:pict>
          </mc:Fallback>
        </mc:AlternateContent>
      </w:r>
      <w:r w:rsidRPr="003C3A6E">
        <w:rPr>
          <w:noProof/>
        </w:rPr>
        <mc:AlternateContent>
          <mc:Choice Requires="wps">
            <w:drawing>
              <wp:anchor distT="0" distB="0" distL="114300" distR="114300" simplePos="0" relativeHeight="251871232" behindDoc="0" locked="0" layoutInCell="1" allowOverlap="1" wp14:anchorId="27C2162B" wp14:editId="5BD93753">
                <wp:simplePos x="0" y="0"/>
                <wp:positionH relativeFrom="column">
                  <wp:posOffset>2804160</wp:posOffset>
                </wp:positionH>
                <wp:positionV relativeFrom="paragraph">
                  <wp:posOffset>438150</wp:posOffset>
                </wp:positionV>
                <wp:extent cx="868680" cy="403860"/>
                <wp:effectExtent l="0" t="0" r="102870" b="53340"/>
                <wp:wrapNone/>
                <wp:docPr id="48" name="Curved Connector 48"/>
                <wp:cNvGraphicFramePr/>
                <a:graphic xmlns:a="http://schemas.openxmlformats.org/drawingml/2006/main">
                  <a:graphicData uri="http://schemas.microsoft.com/office/word/2010/wordprocessingShape">
                    <wps:wsp>
                      <wps:cNvCnPr/>
                      <wps:spPr>
                        <a:xfrm>
                          <a:off x="0" y="0"/>
                          <a:ext cx="868680" cy="403860"/>
                        </a:xfrm>
                        <a:prstGeom prst="curvedConnector3">
                          <a:avLst>
                            <a:gd name="adj1" fmla="val 10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13BC3D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8" o:spid="_x0000_s1026" type="#_x0000_t38" style="position:absolute;margin-left:220.8pt;margin-top:34.5pt;width:68.4pt;height:31.8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" adj="21600" strokecolor="black [3213]">
                <v:stroke endarrow="open"/>
              </v:shape>
            </w:pict>
          </mc:Fallback>
        </mc:AlternateContent>
      </w:r>
      <w:r w:rsidRPr="003C3A6E">
        <w:rPr>
          <w:noProof/>
        </w:rPr>
        <mc:AlternateContent>
          <mc:Choice Requires="wps">
            <w:drawing>
              <wp:anchor distT="0" distB="0" distL="114300" distR="114300" simplePos="0" relativeHeight="251872256" behindDoc="0" locked="0" layoutInCell="1" allowOverlap="1" wp14:anchorId="372C64D6" wp14:editId="3D253EFB">
                <wp:simplePos x="0" y="0"/>
                <wp:positionH relativeFrom="column">
                  <wp:posOffset>3108960</wp:posOffset>
                </wp:positionH>
                <wp:positionV relativeFrom="paragraph">
                  <wp:posOffset>1997710</wp:posOffset>
                </wp:positionV>
                <wp:extent cx="617220" cy="457200"/>
                <wp:effectExtent l="38100" t="0" r="30480" b="114300"/>
                <wp:wrapNone/>
                <wp:docPr id="66" name="Elbow Connector 66"/>
                <wp:cNvGraphicFramePr/>
                <a:graphic xmlns:a="http://schemas.openxmlformats.org/drawingml/2006/main">
                  <a:graphicData uri="http://schemas.microsoft.com/office/word/2010/wordprocessingShape">
                    <wps:wsp>
                      <wps:cNvCnPr/>
                      <wps:spPr>
                        <a:xfrm flipH="1">
                          <a:off x="0" y="0"/>
                          <a:ext cx="617220" cy="457200"/>
                        </a:xfrm>
                        <a:prstGeom prst="bentConnector3">
                          <a:avLst>
                            <a:gd name="adj1" fmla="val -61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A8F60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26" type="#_x0000_t34" style="position:absolute;margin-left:244.8pt;margin-top:157.3pt;width:48.6pt;height:36pt;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" adj="-133" strokecolor="black [3213]">
                <v:stroke endarrow="open"/>
              </v:shape>
            </w:pict>
          </mc:Fallback>
        </mc:AlternateContent>
      </w:r>
      <w:r w:rsidRPr="003C3A6E">
        <w:rPr>
          <w:noProof/>
        </w:rPr>
        <mc:AlternateContent>
          <mc:Choice Requires="wps">
            <w:drawing>
              <wp:anchor distT="0" distB="0" distL="114300" distR="114300" simplePos="0" relativeHeight="251867136" behindDoc="0" locked="0" layoutInCell="1" allowOverlap="1" wp14:anchorId="5F120E8E" wp14:editId="52C54403">
                <wp:simplePos x="0" y="0"/>
                <wp:positionH relativeFrom="column">
                  <wp:posOffset>3672840</wp:posOffset>
                </wp:positionH>
                <wp:positionV relativeFrom="paragraph">
                  <wp:posOffset>1219835</wp:posOffset>
                </wp:positionV>
                <wp:extent cx="0" cy="419100"/>
                <wp:effectExtent l="9525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C1E69" id="Straight Arrow Connector 72" o:spid="_x0000_s1026" type="#_x0000_t32" style="position:absolute;margin-left:289.2pt;margin-top:96.05pt;width:0;height:3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" strokecolor="black [3213]">
                <v:stroke endarrow="open"/>
              </v:shape>
            </w:pict>
          </mc:Fallback>
        </mc:AlternateContent>
      </w:r>
      <w:r w:rsidRPr="003C3A6E">
        <w:rPr>
          <w:noProof/>
        </w:rPr>
        <mc:AlternateContent>
          <mc:Choice Requires="wps">
            <w:drawing>
              <wp:anchor distT="0" distB="0" distL="114300" distR="114300" simplePos="0" relativeHeight="251862016" behindDoc="0" locked="0" layoutInCell="1" allowOverlap="1" wp14:anchorId="74CF0C8A" wp14:editId="46210816">
                <wp:simplePos x="0" y="0"/>
                <wp:positionH relativeFrom="column">
                  <wp:posOffset>2065020</wp:posOffset>
                </wp:positionH>
                <wp:positionV relativeFrom="paragraph">
                  <wp:posOffset>1616710</wp:posOffset>
                </wp:positionV>
                <wp:extent cx="1043940" cy="411480"/>
                <wp:effectExtent l="0" t="0" r="22860" b="26670"/>
                <wp:wrapNone/>
                <wp:docPr id="67" name="Text Box 67"/>
                <wp:cNvGraphicFramePr/>
                <a:graphic xmlns:a="http://schemas.openxmlformats.org/drawingml/2006/main">
                  <a:graphicData uri="http://schemas.microsoft.com/office/word/2010/wordprocessingShape">
                    <wps:wsp>
                      <wps:cNvSpPr txBox="1"/>
                      <wps:spPr>
                        <a:xfrm>
                          <a:off x="0" y="0"/>
                          <a:ext cx="1043940" cy="411480"/>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E372BB" w:rsidRDefault="00205900" w:rsidP="003C3A6E">
                            <w:pPr>
                              <w:spacing w:after="0"/>
                              <w:jc w:val="center"/>
                              <w:rPr>
                                <w:sz w:val="18"/>
                                <w:szCs w:val="18"/>
                              </w:rPr>
                            </w:pPr>
                            <w:r w:rsidRPr="00E372BB">
                              <w:rPr>
                                <w:sz w:val="18"/>
                                <w:szCs w:val="18"/>
                              </w:rPr>
                              <w:t>Skill development</w:t>
                            </w:r>
                            <w:r>
                              <w:rPr>
                                <w:sz w:val="16"/>
                                <w:szCs w:val="16"/>
                              </w:rPr>
                              <w:t xml:space="preserve"> </w:t>
                            </w:r>
                            <w:r w:rsidRPr="00E372BB">
                              <w:rPr>
                                <w:sz w:val="18"/>
                                <w:szCs w:val="18"/>
                              </w:rPr>
                              <w:t>(SEIP)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0C8A" id="Text Box 67" o:spid="_x0000_s1029" type="#_x0000_t202" style="position:absolute;margin-left:162.6pt;margin-top:127.3pt;width:82.2pt;height:3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" fillcolor="#8fdea0" strokeweight=".5pt">
                <v:fill color2="#dff3e3" rotate="t" colors="0 #8fdea0;.5 #bce9c5;1 #dff3e3" focus="100%" type="gradient"/>
                <v:textbox>
                  <w:txbxContent>
                    <w:p w:rsidR="00205900" w:rsidRPr="00E372BB" w:rsidRDefault="00205900" w:rsidP="003C3A6E">
                      <w:pPr>
                        <w:spacing w:after="0"/>
                        <w:jc w:val="center"/>
                        <w:rPr>
                          <w:sz w:val="18"/>
                          <w:szCs w:val="18"/>
                        </w:rPr>
                      </w:pPr>
                      <w:r w:rsidRPr="00E372BB">
                        <w:rPr>
                          <w:sz w:val="18"/>
                          <w:szCs w:val="18"/>
                        </w:rPr>
                        <w:t>Skill development</w:t>
                      </w:r>
                      <w:r>
                        <w:rPr>
                          <w:sz w:val="16"/>
                          <w:szCs w:val="16"/>
                        </w:rPr>
                        <w:t xml:space="preserve"> </w:t>
                      </w:r>
                      <w:r w:rsidRPr="00E372BB">
                        <w:rPr>
                          <w:sz w:val="18"/>
                          <w:szCs w:val="18"/>
                        </w:rPr>
                        <w:t>(SEIP)</w:t>
                      </w:r>
                    </w:p>
                  </w:txbxContent>
                </v:textbox>
              </v:shape>
            </w:pict>
          </mc:Fallback>
        </mc:AlternateContent>
      </w:r>
      <w:r w:rsidRPr="003C3A6E">
        <w:rPr>
          <w:noProof/>
        </w:rPr>
        <mc:AlternateContent>
          <mc:Choice Requires="wps">
            <w:drawing>
              <wp:anchor distT="0" distB="0" distL="114300" distR="114300" simplePos="0" relativeHeight="251865088" behindDoc="0" locked="0" layoutInCell="1" allowOverlap="1" wp14:anchorId="7C401ADE" wp14:editId="42539F8C">
                <wp:simplePos x="0" y="0"/>
                <wp:positionH relativeFrom="column">
                  <wp:posOffset>1973580</wp:posOffset>
                </wp:positionH>
                <wp:positionV relativeFrom="paragraph">
                  <wp:posOffset>217170</wp:posOffset>
                </wp:positionV>
                <wp:extent cx="830580" cy="403860"/>
                <wp:effectExtent l="0" t="0" r="26670" b="15240"/>
                <wp:wrapNone/>
                <wp:docPr id="70" name="Text Box 70"/>
                <wp:cNvGraphicFramePr/>
                <a:graphic xmlns:a="http://schemas.openxmlformats.org/drawingml/2006/main">
                  <a:graphicData uri="http://schemas.microsoft.com/office/word/2010/wordprocessingShape">
                    <wps:wsp>
                      <wps:cNvSpPr txBox="1"/>
                      <wps:spPr>
                        <a:xfrm>
                          <a:off x="0" y="0"/>
                          <a:ext cx="830580" cy="40386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E372BB" w:rsidRDefault="00205900" w:rsidP="00E372BB">
                            <w:pPr>
                              <w:spacing w:before="0" w:after="0"/>
                              <w:jc w:val="center"/>
                              <w:rPr>
                                <w:sz w:val="18"/>
                                <w:szCs w:val="18"/>
                              </w:rPr>
                            </w:pPr>
                            <w:r w:rsidRPr="00E372BB">
                              <w:rPr>
                                <w:sz w:val="18"/>
                                <w:szCs w:val="18"/>
                              </w:rPr>
                              <w:t>Sector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01ADE" id="Text Box 70" o:spid="_x0000_s1030" type="#_x0000_t202" style="position:absolute;margin-left:155.4pt;margin-top:17.1pt;width:65.4pt;height:3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" fillcolor="#d8d8d8 [2732]" strokeweight=".5pt">
                <v:textbox>
                  <w:txbxContent>
                    <w:p w:rsidR="00205900" w:rsidRPr="00E372BB" w:rsidRDefault="00205900" w:rsidP="00E372BB">
                      <w:pPr>
                        <w:spacing w:before="0" w:after="0"/>
                        <w:jc w:val="center"/>
                        <w:rPr>
                          <w:sz w:val="18"/>
                          <w:szCs w:val="18"/>
                        </w:rPr>
                      </w:pPr>
                      <w:r w:rsidRPr="00E372BB">
                        <w:rPr>
                          <w:sz w:val="18"/>
                          <w:szCs w:val="18"/>
                        </w:rPr>
                        <w:t>Sector development</w:t>
                      </w:r>
                    </w:p>
                  </w:txbxContent>
                </v:textbox>
              </v:shape>
            </w:pict>
          </mc:Fallback>
        </mc:AlternateContent>
      </w:r>
      <w:r w:rsidRPr="003C3A6E">
        <w:rPr>
          <w:noProof/>
        </w:rPr>
        <mc:AlternateContent>
          <mc:Choice Requires="wps">
            <w:drawing>
              <wp:anchor distT="0" distB="0" distL="114300" distR="114300" simplePos="0" relativeHeight="251870208" behindDoc="0" locked="0" layoutInCell="1" allowOverlap="1" wp14:anchorId="1D1CA317" wp14:editId="6EA96C0A">
                <wp:simplePos x="0" y="0"/>
                <wp:positionH relativeFrom="column">
                  <wp:posOffset>1112520</wp:posOffset>
                </wp:positionH>
                <wp:positionV relativeFrom="paragraph">
                  <wp:posOffset>412115</wp:posOffset>
                </wp:positionV>
                <wp:extent cx="861060" cy="312420"/>
                <wp:effectExtent l="0" t="76200" r="0" b="30480"/>
                <wp:wrapNone/>
                <wp:docPr id="75" name="Curved Connector 75"/>
                <wp:cNvGraphicFramePr/>
                <a:graphic xmlns:a="http://schemas.openxmlformats.org/drawingml/2006/main">
                  <a:graphicData uri="http://schemas.microsoft.com/office/word/2010/wordprocessingShape">
                    <wps:wsp>
                      <wps:cNvCnPr/>
                      <wps:spPr>
                        <a:xfrm flipV="1">
                          <a:off x="0" y="0"/>
                          <a:ext cx="861060" cy="312420"/>
                        </a:xfrm>
                        <a:prstGeom prst="curvedConnector3">
                          <a:avLst>
                            <a:gd name="adj1" fmla="val 44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A5E798" id="Curved Connector 75" o:spid="_x0000_s1026" type="#_x0000_t38" style="position:absolute;margin-left:87.6pt;margin-top:32.45pt;width:67.8pt;height:24.6pt;flip:y;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" adj="95" strokecolor="black [3213]">
                <v:stroke endarrow="open"/>
              </v:shape>
            </w:pict>
          </mc:Fallback>
        </mc:AlternateContent>
      </w:r>
    </w:p>
    <w:p w:rsidR="003C3A6E" w:rsidRDefault="003C3A6E" w:rsidP="004C7AB3">
      <w:pPr>
        <w:rPr>
          <w:noProof/>
        </w:rPr>
      </w:pPr>
    </w:p>
    <w:p w:rsidR="003C3A6E" w:rsidRDefault="001C07C2" w:rsidP="004C7AB3">
      <w:pPr>
        <w:rPr>
          <w:noProof/>
        </w:rPr>
      </w:pPr>
      <w:r w:rsidRPr="003C3A6E">
        <w:rPr>
          <w:noProof/>
        </w:rPr>
        <mc:AlternateContent>
          <mc:Choice Requires="wps">
            <w:drawing>
              <wp:anchor distT="0" distB="0" distL="114300" distR="114300" simplePos="0" relativeHeight="251859968" behindDoc="0" locked="0" layoutInCell="1" allowOverlap="1" wp14:anchorId="0F154790" wp14:editId="3E6711D1">
                <wp:simplePos x="0" y="0"/>
                <wp:positionH relativeFrom="column">
                  <wp:posOffset>190500</wp:posOffset>
                </wp:positionH>
                <wp:positionV relativeFrom="paragraph">
                  <wp:posOffset>229870</wp:posOffset>
                </wp:positionV>
                <wp:extent cx="1851660" cy="487680"/>
                <wp:effectExtent l="0" t="0" r="15240" b="26670"/>
                <wp:wrapNone/>
                <wp:docPr id="64" name="Text Box 64"/>
                <wp:cNvGraphicFramePr/>
                <a:graphic xmlns:a="http://schemas.openxmlformats.org/drawingml/2006/main">
                  <a:graphicData uri="http://schemas.microsoft.com/office/word/2010/wordprocessingShape">
                    <wps:wsp>
                      <wps:cNvSpPr txBox="1"/>
                      <wps:spPr>
                        <a:xfrm>
                          <a:off x="0" y="0"/>
                          <a:ext cx="1851660" cy="48768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E372BB" w:rsidRDefault="00205900" w:rsidP="003C3A6E">
                            <w:pPr>
                              <w:spacing w:after="0"/>
                              <w:jc w:val="center"/>
                              <w:rPr>
                                <w:sz w:val="18"/>
                                <w:szCs w:val="18"/>
                              </w:rPr>
                            </w:pPr>
                            <w:r w:rsidRPr="00E372BB">
                              <w:rPr>
                                <w:sz w:val="18"/>
                                <w:szCs w:val="18"/>
                              </w:rPr>
                              <w:t xml:space="preserve">High-level skills </w:t>
                            </w:r>
                          </w:p>
                          <w:p w:rsidR="00205900" w:rsidRPr="00E372BB" w:rsidRDefault="00205900" w:rsidP="003C3A6E">
                            <w:pPr>
                              <w:spacing w:before="0" w:after="0"/>
                              <w:jc w:val="center"/>
                              <w:rPr>
                                <w:sz w:val="18"/>
                                <w:szCs w:val="18"/>
                              </w:rPr>
                            </w:pPr>
                            <w:r w:rsidRPr="00E372BB">
                              <w:rPr>
                                <w:sz w:val="18"/>
                                <w:szCs w:val="18"/>
                              </w:rPr>
                              <w:t>(Executive Development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54790" id="Text Box 64" o:spid="_x0000_s1031" type="#_x0000_t202" style="position:absolute;margin-left:15pt;margin-top:18.1pt;width:145.8pt;height:38.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" fillcolor="#ffc000" strokeweight=".5pt">
                <v:textbox>
                  <w:txbxContent>
                    <w:p w:rsidR="00205900" w:rsidRPr="00E372BB" w:rsidRDefault="00205900" w:rsidP="003C3A6E">
                      <w:pPr>
                        <w:spacing w:after="0"/>
                        <w:jc w:val="center"/>
                        <w:rPr>
                          <w:sz w:val="18"/>
                          <w:szCs w:val="18"/>
                        </w:rPr>
                      </w:pPr>
                      <w:r w:rsidRPr="00E372BB">
                        <w:rPr>
                          <w:sz w:val="18"/>
                          <w:szCs w:val="18"/>
                        </w:rPr>
                        <w:t xml:space="preserve">High-level skills </w:t>
                      </w:r>
                    </w:p>
                    <w:p w:rsidR="00205900" w:rsidRPr="00E372BB" w:rsidRDefault="00205900" w:rsidP="003C3A6E">
                      <w:pPr>
                        <w:spacing w:before="0" w:after="0"/>
                        <w:jc w:val="center"/>
                        <w:rPr>
                          <w:sz w:val="18"/>
                          <w:szCs w:val="18"/>
                        </w:rPr>
                      </w:pPr>
                      <w:r w:rsidRPr="00E372BB">
                        <w:rPr>
                          <w:sz w:val="18"/>
                          <w:szCs w:val="18"/>
                        </w:rPr>
                        <w:t>(Executive Development Program)</w:t>
                      </w:r>
                    </w:p>
                  </w:txbxContent>
                </v:textbox>
              </v:shape>
            </w:pict>
          </mc:Fallback>
        </mc:AlternateContent>
      </w:r>
    </w:p>
    <w:p w:rsidR="003C3A6E" w:rsidRDefault="003C3A6E" w:rsidP="004C7AB3">
      <w:pPr>
        <w:rPr>
          <w:noProof/>
        </w:rPr>
      </w:pPr>
    </w:p>
    <w:p w:rsidR="003C3A6E" w:rsidRDefault="003C3A6E" w:rsidP="004C7AB3">
      <w:pPr>
        <w:rPr>
          <w:noProof/>
        </w:rPr>
      </w:pPr>
    </w:p>
    <w:p w:rsidR="003C3A6E" w:rsidRDefault="001C07C2" w:rsidP="004C7AB3">
      <w:pPr>
        <w:rPr>
          <w:noProof/>
        </w:rPr>
      </w:pPr>
      <w:r w:rsidRPr="003C3A6E">
        <w:rPr>
          <w:noProof/>
        </w:rPr>
        <mc:AlternateContent>
          <mc:Choice Requires="wps">
            <w:drawing>
              <wp:anchor distT="0" distB="0" distL="114300" distR="114300" simplePos="0" relativeHeight="251869184" behindDoc="0" locked="0" layoutInCell="1" allowOverlap="1" wp14:anchorId="38C31A4C" wp14:editId="2FD4AFF9">
                <wp:simplePos x="0" y="0"/>
                <wp:positionH relativeFrom="column">
                  <wp:posOffset>891540</wp:posOffset>
                </wp:positionH>
                <wp:positionV relativeFrom="paragraph">
                  <wp:posOffset>39370</wp:posOffset>
                </wp:positionV>
                <wp:extent cx="426720" cy="289560"/>
                <wp:effectExtent l="0" t="0" r="0" b="0"/>
                <wp:wrapNone/>
                <wp:docPr id="74" name="Plus 74"/>
                <wp:cNvGraphicFramePr/>
                <a:graphic xmlns:a="http://schemas.openxmlformats.org/drawingml/2006/main">
                  <a:graphicData uri="http://schemas.microsoft.com/office/word/2010/wordprocessingShape">
                    <wps:wsp>
                      <wps:cNvSpPr/>
                      <wps:spPr>
                        <a:xfrm>
                          <a:off x="0" y="0"/>
                          <a:ext cx="426720" cy="28956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4676D" id="Plus 74" o:spid="_x0000_s1026" style="position:absolute;margin-left:70.2pt;margin-top:3.1pt;width:33.6pt;height:22.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" path="m56562,110728r122746,l179308,38381r68104,l247412,110728r122746,l370158,178832r-122746,l247412,251179r-68104,l179308,178832r-122746,l56562,110728xe" fillcolor="#4f81bd [3204]" strokecolor="#243f60 [1604]" strokeweight="2pt">
                <v:path arrowok="t" o:connecttype="custom" o:connectlocs="56562,110728;179308,110728;179308,38381;247412,38381;247412,110728;370158,110728;370158,178832;247412,178832;247412,251179;179308,251179;179308,178832;56562,178832;56562,110728" o:connectangles="0,0,0,0,0,0,0,0,0,0,0,0,0"/>
              </v:shape>
            </w:pict>
          </mc:Fallback>
        </mc:AlternateContent>
      </w:r>
    </w:p>
    <w:p w:rsidR="003C3A6E" w:rsidRDefault="001C07C2" w:rsidP="004C7AB3">
      <w:pPr>
        <w:rPr>
          <w:noProof/>
        </w:rPr>
      </w:pPr>
      <w:r w:rsidRPr="003C3A6E">
        <w:rPr>
          <w:noProof/>
        </w:rPr>
        <mc:AlternateContent>
          <mc:Choice Requires="wps">
            <w:drawing>
              <wp:anchor distT="0" distB="0" distL="114300" distR="114300" simplePos="0" relativeHeight="251860992" behindDoc="0" locked="0" layoutInCell="1" allowOverlap="1" wp14:anchorId="6C05280C" wp14:editId="1CDE492D">
                <wp:simplePos x="0" y="0"/>
                <wp:positionH relativeFrom="column">
                  <wp:posOffset>335280</wp:posOffset>
                </wp:positionH>
                <wp:positionV relativeFrom="paragraph">
                  <wp:posOffset>165100</wp:posOffset>
                </wp:positionV>
                <wp:extent cx="1508760" cy="449580"/>
                <wp:effectExtent l="0" t="0" r="15240" b="26670"/>
                <wp:wrapNone/>
                <wp:docPr id="65" name="Text Box 65"/>
                <wp:cNvGraphicFramePr/>
                <a:graphic xmlns:a="http://schemas.openxmlformats.org/drawingml/2006/main">
                  <a:graphicData uri="http://schemas.microsoft.com/office/word/2010/wordprocessingShape">
                    <wps:wsp>
                      <wps:cNvSpPr txBox="1"/>
                      <wps:spPr>
                        <a:xfrm>
                          <a:off x="0" y="0"/>
                          <a:ext cx="1508760" cy="44958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E372BB" w:rsidRDefault="00205900" w:rsidP="003C3A6E">
                            <w:pPr>
                              <w:spacing w:after="0"/>
                              <w:jc w:val="center"/>
                              <w:rPr>
                                <w:sz w:val="18"/>
                                <w:szCs w:val="18"/>
                              </w:rPr>
                            </w:pPr>
                            <w:r w:rsidRPr="00E372BB">
                              <w:rPr>
                                <w:sz w:val="18"/>
                                <w:szCs w:val="18"/>
                              </w:rPr>
                              <w:t>Low-level skills (Current SEIP training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280C" id="Text Box 65" o:spid="_x0000_s1032" type="#_x0000_t202" style="position:absolute;margin-left:26.4pt;margin-top:13pt;width:118.8pt;height:35.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" fillcolor="#ffff80" strokeweight=".5pt">
                <v:fill color2="#ffffda" rotate="t" focusposition=".5,.5" focussize="" colors="0 #ffff80;.5 #ffffb3;1 #ffffda" focus="100%" type="gradientRadial"/>
                <v:textbox>
                  <w:txbxContent>
                    <w:p w:rsidR="00205900" w:rsidRPr="00E372BB" w:rsidRDefault="00205900" w:rsidP="003C3A6E">
                      <w:pPr>
                        <w:spacing w:after="0"/>
                        <w:jc w:val="center"/>
                        <w:rPr>
                          <w:sz w:val="18"/>
                          <w:szCs w:val="18"/>
                        </w:rPr>
                      </w:pPr>
                      <w:r w:rsidRPr="00E372BB">
                        <w:rPr>
                          <w:sz w:val="18"/>
                          <w:szCs w:val="18"/>
                        </w:rPr>
                        <w:t>Low-level skills (Current SEIP training program)</w:t>
                      </w:r>
                    </w:p>
                  </w:txbxContent>
                </v:textbox>
              </v:shape>
            </w:pict>
          </mc:Fallback>
        </mc:AlternateContent>
      </w:r>
      <w:r w:rsidRPr="003C3A6E">
        <w:rPr>
          <w:noProof/>
        </w:rPr>
        <mc:AlternateContent>
          <mc:Choice Requires="wps">
            <w:drawing>
              <wp:anchor distT="0" distB="0" distL="114300" distR="114300" simplePos="0" relativeHeight="251864064" behindDoc="0" locked="0" layoutInCell="1" allowOverlap="1" wp14:anchorId="1218D7A1" wp14:editId="5E14E7C5">
                <wp:simplePos x="0" y="0"/>
                <wp:positionH relativeFrom="margin">
                  <wp:posOffset>3284220</wp:posOffset>
                </wp:positionH>
                <wp:positionV relativeFrom="paragraph">
                  <wp:posOffset>141605</wp:posOffset>
                </wp:positionV>
                <wp:extent cx="830580" cy="358140"/>
                <wp:effectExtent l="0" t="0" r="26670" b="22860"/>
                <wp:wrapNone/>
                <wp:docPr id="69" name="Text Box 69"/>
                <wp:cNvGraphicFramePr/>
                <a:graphic xmlns:a="http://schemas.openxmlformats.org/drawingml/2006/main">
                  <a:graphicData uri="http://schemas.microsoft.com/office/word/2010/wordprocessingShape">
                    <wps:wsp>
                      <wps:cNvSpPr txBox="1"/>
                      <wps:spPr>
                        <a:xfrm>
                          <a:off x="0" y="0"/>
                          <a:ext cx="830580" cy="35814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E372BB" w:rsidRDefault="00205900" w:rsidP="003C3A6E">
                            <w:pPr>
                              <w:spacing w:after="0"/>
                              <w:jc w:val="center"/>
                              <w:rPr>
                                <w:sz w:val="18"/>
                                <w:szCs w:val="18"/>
                              </w:rPr>
                            </w:pPr>
                            <w:r w:rsidRPr="00E372BB">
                              <w:rPr>
                                <w:sz w:val="18"/>
                                <w:szCs w:val="18"/>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D7A1" id="Text Box 69" o:spid="_x0000_s1033" type="#_x0000_t202" style="position:absolute;margin-left:258.6pt;margin-top:11.15pt;width:65.4pt;height:28.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" fillcolor="#fabf8f [1945]" strokeweight=".5pt">
                <v:textbox>
                  <w:txbxContent>
                    <w:p w:rsidR="00205900" w:rsidRPr="00E372BB" w:rsidRDefault="00205900" w:rsidP="003C3A6E">
                      <w:pPr>
                        <w:spacing w:after="0"/>
                        <w:jc w:val="center"/>
                        <w:rPr>
                          <w:sz w:val="18"/>
                          <w:szCs w:val="18"/>
                        </w:rPr>
                      </w:pPr>
                      <w:r w:rsidRPr="00E372BB">
                        <w:rPr>
                          <w:sz w:val="18"/>
                          <w:szCs w:val="18"/>
                        </w:rPr>
                        <w:t>Feedback</w:t>
                      </w:r>
                    </w:p>
                  </w:txbxContent>
                </v:textbox>
                <w10:wrap anchorx="margin"/>
              </v:shape>
            </w:pict>
          </mc:Fallback>
        </mc:AlternateContent>
      </w:r>
    </w:p>
    <w:p w:rsidR="003C3A6E" w:rsidRDefault="001C07C2" w:rsidP="004C7AB3">
      <w:pPr>
        <w:rPr>
          <w:noProof/>
        </w:rPr>
      </w:pPr>
      <w:r>
        <w:rPr>
          <w:noProof/>
        </w:rPr>
        <mc:AlternateContent>
          <mc:Choice Requires="wps">
            <w:drawing>
              <wp:anchor distT="0" distB="0" distL="114300" distR="114300" simplePos="0" relativeHeight="251920384" behindDoc="0" locked="0" layoutInCell="1" allowOverlap="1">
                <wp:simplePos x="0" y="0"/>
                <wp:positionH relativeFrom="column">
                  <wp:posOffset>1836420</wp:posOffset>
                </wp:positionH>
                <wp:positionV relativeFrom="paragraph">
                  <wp:posOffset>84455</wp:posOffset>
                </wp:positionV>
                <wp:extent cx="228600" cy="15240"/>
                <wp:effectExtent l="38100" t="57150" r="0" b="99060"/>
                <wp:wrapNone/>
                <wp:docPr id="78" name="Straight Arrow Connector 78"/>
                <wp:cNvGraphicFramePr/>
                <a:graphic xmlns:a="http://schemas.openxmlformats.org/drawingml/2006/main">
                  <a:graphicData uri="http://schemas.microsoft.com/office/word/2010/wordprocessingShape">
                    <wps:wsp>
                      <wps:cNvCnPr/>
                      <wps:spPr>
                        <a:xfrm flipH="1">
                          <a:off x="0" y="0"/>
                          <a:ext cx="22860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9CFE6" id="Straight Arrow Connector 78" o:spid="_x0000_s1026" type="#_x0000_t32" style="position:absolute;margin-left:144.6pt;margin-top:6.65pt;width:18pt;height:1.2pt;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" strokecolor="black [3213]">
                <v:stroke endarrow="block"/>
              </v:shape>
            </w:pict>
          </mc:Fallback>
        </mc:AlternateContent>
      </w:r>
    </w:p>
    <w:p w:rsidR="003C3A6E" w:rsidRDefault="003C3A6E" w:rsidP="004C7AB3">
      <w:pPr>
        <w:rPr>
          <w:noProof/>
        </w:rPr>
      </w:pPr>
    </w:p>
    <w:p w:rsidR="003C3A6E" w:rsidRDefault="003C3A6E" w:rsidP="004C7AB3">
      <w:pPr>
        <w:rPr>
          <w:noProof/>
        </w:rPr>
      </w:pPr>
    </w:p>
    <w:p w:rsidR="003C3A6E" w:rsidRDefault="003C3A6E" w:rsidP="004C7AB3">
      <w:pPr>
        <w:rPr>
          <w:noProof/>
        </w:rPr>
      </w:pPr>
    </w:p>
    <w:p w:rsidR="003C3A6E" w:rsidRDefault="003C3A6E" w:rsidP="004C7AB3">
      <w:pPr>
        <w:rPr>
          <w:noProof/>
        </w:rPr>
      </w:pPr>
    </w:p>
    <w:p w:rsidR="00A2370D" w:rsidRDefault="00A2370D">
      <w:pPr>
        <w:rPr>
          <w:noProof/>
        </w:rPr>
      </w:pPr>
      <w:r>
        <w:rPr>
          <w:noProof/>
        </w:rPr>
        <w:br w:type="page"/>
      </w:r>
    </w:p>
    <w:p w:rsidR="004C7AB3" w:rsidRDefault="004C7AB3" w:rsidP="004C7AB3">
      <w:r>
        <w:rPr>
          <w:noProof/>
        </w:rPr>
        <w:lastRenderedPageBreak/>
        <mc:AlternateContent>
          <mc:Choice Requires="wps">
            <w:drawing>
              <wp:anchor distT="0" distB="0" distL="114300" distR="114300" simplePos="0" relativeHeight="251853824" behindDoc="1" locked="0" layoutInCell="1" allowOverlap="1" wp14:anchorId="71A68C5E" wp14:editId="1D63DB80">
                <wp:simplePos x="0" y="0"/>
                <wp:positionH relativeFrom="column">
                  <wp:posOffset>30480</wp:posOffset>
                </wp:positionH>
                <wp:positionV relativeFrom="paragraph">
                  <wp:posOffset>71120</wp:posOffset>
                </wp:positionV>
                <wp:extent cx="5425440" cy="4076700"/>
                <wp:effectExtent l="0" t="0" r="22860" b="19050"/>
                <wp:wrapNone/>
                <wp:docPr id="35" name="Text Box 35"/>
                <wp:cNvGraphicFramePr/>
                <a:graphic xmlns:a="http://schemas.openxmlformats.org/drawingml/2006/main">
                  <a:graphicData uri="http://schemas.microsoft.com/office/word/2010/wordprocessingShape">
                    <wps:wsp>
                      <wps:cNvSpPr txBox="1"/>
                      <wps:spPr>
                        <a:xfrm>
                          <a:off x="0" y="0"/>
                          <a:ext cx="5425440" cy="40767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CE659A" w:rsidRDefault="00205900" w:rsidP="004C7AB3">
                            <w:pPr>
                              <w:spacing w:after="0"/>
                              <w:rPr>
                                <w:b/>
                              </w:rPr>
                            </w:pPr>
                            <w:r>
                              <w:t xml:space="preserve">  </w:t>
                            </w:r>
                            <w:r>
                              <w:tab/>
                            </w:r>
                            <w:r w:rsidRPr="00CE659A">
                              <w:rPr>
                                <w:b/>
                              </w:rPr>
                              <w:t>Figure</w:t>
                            </w:r>
                            <w:r>
                              <w:rPr>
                                <w:b/>
                              </w:rPr>
                              <w:t xml:space="preserve"> 41</w:t>
                            </w:r>
                            <w:r w:rsidRPr="00CE659A">
                              <w:rPr>
                                <w:b/>
                              </w:rPr>
                              <w:t xml:space="preserve">: </w:t>
                            </w:r>
                            <w:r w:rsidRPr="00CE659A">
                              <w:rPr>
                                <w:b/>
                                <w:bCs/>
                              </w:rPr>
                              <w:t>Shifting production possibility frontier with EDP</w:t>
                            </w:r>
                          </w:p>
                          <w:p w:rsidR="00205900" w:rsidRPr="00CE659A" w:rsidRDefault="00205900" w:rsidP="004C7AB3">
                            <w:r>
                              <w:t xml:space="preserve">      Product A</w:t>
                            </w:r>
                          </w:p>
                          <w:p w:rsidR="00205900" w:rsidRPr="00E31A70" w:rsidRDefault="00205900" w:rsidP="004C7AB3">
                            <w:r>
                              <w:t xml:space="preserve">     </w:t>
                            </w:r>
                            <w:r w:rsidRPr="00E31A70">
                              <w:t>A´</w:t>
                            </w:r>
                          </w:p>
                          <w:p w:rsidR="00205900" w:rsidRDefault="00205900" w:rsidP="004C7AB3">
                            <w:pPr>
                              <w:spacing w:after="0"/>
                            </w:pPr>
                          </w:p>
                          <w:p w:rsidR="00205900" w:rsidRPr="00E31A70" w:rsidRDefault="00205900" w:rsidP="004C7AB3">
                            <w:pPr>
                              <w:spacing w:after="0"/>
                            </w:pPr>
                            <w:r>
                              <w:t xml:space="preserve">     </w:t>
                            </w:r>
                            <w:r w:rsidRPr="00E31A70">
                              <w:t>A</w:t>
                            </w:r>
                          </w:p>
                          <w:p w:rsidR="00205900" w:rsidRDefault="00205900" w:rsidP="004C7AB3"/>
                          <w:p w:rsidR="00205900" w:rsidRDefault="00205900" w:rsidP="004C7AB3"/>
                          <w:p w:rsidR="00205900" w:rsidRDefault="00205900" w:rsidP="004C7AB3"/>
                          <w:p w:rsidR="00205900" w:rsidRDefault="00205900" w:rsidP="004C7AB3"/>
                          <w:p w:rsidR="00205900" w:rsidRDefault="00205900" w:rsidP="004C7AB3"/>
                          <w:p w:rsidR="00205900" w:rsidRDefault="00205900" w:rsidP="004C7AB3"/>
                          <w:p w:rsidR="00205900" w:rsidRDefault="00205900" w:rsidP="004C7AB3"/>
                          <w:p w:rsidR="00205900" w:rsidRDefault="00205900" w:rsidP="004C7AB3">
                            <w:pPr>
                              <w:spacing w:after="0"/>
                              <w:ind w:left="2160"/>
                            </w:pPr>
                            <w:r>
                              <w:t xml:space="preserve">    </w:t>
                            </w:r>
                            <w:r>
                              <w:tab/>
                            </w:r>
                            <w:r>
                              <w:tab/>
                            </w:r>
                            <w:r>
                              <w:tab/>
                            </w:r>
                            <w:r>
                              <w:tab/>
                            </w:r>
                            <w:r>
                              <w:tab/>
                            </w:r>
                            <w:r>
                              <w:tab/>
                            </w:r>
                            <w:r>
                              <w:tab/>
                            </w:r>
                            <w:r>
                              <w:tab/>
                            </w:r>
                            <w:r>
                              <w:tab/>
                            </w:r>
                            <w:r>
                              <w:tab/>
                            </w:r>
                            <w:r>
                              <w:tab/>
                            </w:r>
                            <w:r>
                              <w:tab/>
                            </w:r>
                            <w:r>
                              <w:tab/>
                            </w:r>
                            <w:r>
                              <w:tab/>
                            </w:r>
                            <w:r>
                              <w:tab/>
                            </w:r>
                            <w:r>
                              <w:tab/>
                              <w:t xml:space="preserve">             </w:t>
                            </w:r>
                          </w:p>
                          <w:p w:rsidR="00205900" w:rsidRDefault="00205900" w:rsidP="004C7AB3">
                            <w:pPr>
                              <w:spacing w:after="0"/>
                              <w:ind w:left="2160"/>
                            </w:pPr>
                          </w:p>
                          <w:p w:rsidR="00205900" w:rsidRDefault="00205900" w:rsidP="004C7AB3">
                            <w:pPr>
                              <w:spacing w:after="0"/>
                              <w:ind w:left="4320"/>
                              <w:rPr>
                                <w:sz w:val="16"/>
                                <w:szCs w:val="16"/>
                              </w:rPr>
                            </w:pPr>
                            <w:r>
                              <w:t xml:space="preserve">       </w:t>
                            </w:r>
                            <w:r w:rsidRPr="00CE659A">
                              <w:t xml:space="preserve">B              </w:t>
                            </w:r>
                            <w:r>
                              <w:t xml:space="preserve">  </w:t>
                            </w:r>
                            <w:r w:rsidRPr="00CE659A">
                              <w:t>B'</w:t>
                            </w:r>
                            <w:r>
                              <w:t xml:space="preserve">              Product B                                                    </w:t>
                            </w:r>
                            <w:r w:rsidRPr="00482C54">
                              <w:rPr>
                                <w:sz w:val="16"/>
                                <w:szCs w:val="16"/>
                              </w:rPr>
                              <w:t xml:space="preserve">       </w:t>
                            </w:r>
                          </w:p>
                          <w:p w:rsidR="00205900" w:rsidRDefault="00205900" w:rsidP="004C7AB3">
                            <w:pPr>
                              <w:spacing w:after="0"/>
                            </w:pPr>
                            <w:r>
                              <w:rPr>
                                <w:sz w:val="16"/>
                                <w:szCs w:val="16"/>
                              </w:rPr>
                              <w:t xml:space="preserve">  </w:t>
                            </w:r>
                            <w:r w:rsidRPr="00482C54">
                              <w:rPr>
                                <w:sz w:val="16"/>
                                <w:szCs w:val="16"/>
                              </w:rPr>
                              <w:t xml:space="preserve">                                          </w:t>
                            </w:r>
                            <w:r>
                              <w:rPr>
                                <w:sz w:val="16"/>
                                <w:szCs w:val="16"/>
                              </w:rPr>
                              <w:tab/>
                            </w:r>
                            <w:r>
                              <w:rPr>
                                <w:sz w:val="16"/>
                                <w:szCs w:val="16"/>
                              </w:rPr>
                              <w:tab/>
                            </w:r>
                            <w:r>
                              <w:rPr>
                                <w:sz w:val="16"/>
                                <w:szCs w:val="16"/>
                              </w:rPr>
                              <w:tab/>
                            </w:r>
                            <w:r>
                              <w:rPr>
                                <w:sz w:val="16"/>
                                <w:szCs w:val="16"/>
                              </w:rPr>
                              <w:tab/>
                            </w:r>
                            <w:r>
                              <w:t xml:space="preserve">   </w:t>
                            </w:r>
                          </w:p>
                          <w:p w:rsidR="00205900" w:rsidRDefault="00205900" w:rsidP="004C7AB3">
                            <w:pPr>
                              <w:spacing w:after="0"/>
                              <w:ind w:left="4320"/>
                            </w:pPr>
                            <w:r>
                              <w:t xml:space="preserve">     B                  B</w:t>
                            </w:r>
                            <w:r>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68C5E" id="Text Box 35" o:spid="_x0000_s1034" type="#_x0000_t202" style="position:absolute;margin-left:2.4pt;margin-top:5.6pt;width:427.2pt;height:321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" fillcolor="#92d050" strokeweight=".5pt">
                <v:textbox>
                  <w:txbxContent>
                    <w:p w:rsidR="00205900" w:rsidRPr="00CE659A" w:rsidRDefault="00205900" w:rsidP="004C7AB3">
                      <w:pPr>
                        <w:spacing w:after="0"/>
                        <w:rPr>
                          <w:b/>
                        </w:rPr>
                      </w:pPr>
                      <w:r>
                        <w:t xml:space="preserve">  </w:t>
                      </w:r>
                      <w:r>
                        <w:tab/>
                      </w:r>
                      <w:r w:rsidRPr="00CE659A">
                        <w:rPr>
                          <w:b/>
                        </w:rPr>
                        <w:t>Figure</w:t>
                      </w:r>
                      <w:r>
                        <w:rPr>
                          <w:b/>
                        </w:rPr>
                        <w:t xml:space="preserve"> 41</w:t>
                      </w:r>
                      <w:r w:rsidRPr="00CE659A">
                        <w:rPr>
                          <w:b/>
                        </w:rPr>
                        <w:t xml:space="preserve">: </w:t>
                      </w:r>
                      <w:r w:rsidRPr="00CE659A">
                        <w:rPr>
                          <w:b/>
                          <w:bCs/>
                        </w:rPr>
                        <w:t>Shifting production possibility frontier with EDP</w:t>
                      </w:r>
                    </w:p>
                    <w:p w:rsidR="00205900" w:rsidRPr="00CE659A" w:rsidRDefault="00205900" w:rsidP="004C7AB3">
                      <w:r>
                        <w:t xml:space="preserve">      Product A</w:t>
                      </w:r>
                    </w:p>
                    <w:p w:rsidR="00205900" w:rsidRPr="00E31A70" w:rsidRDefault="00205900" w:rsidP="004C7AB3">
                      <w:r>
                        <w:t xml:space="preserve">     </w:t>
                      </w:r>
                      <w:r w:rsidRPr="00E31A70">
                        <w:t>A´</w:t>
                      </w:r>
                    </w:p>
                    <w:p w:rsidR="00205900" w:rsidRDefault="00205900" w:rsidP="004C7AB3">
                      <w:pPr>
                        <w:spacing w:after="0"/>
                      </w:pPr>
                    </w:p>
                    <w:p w:rsidR="00205900" w:rsidRPr="00E31A70" w:rsidRDefault="00205900" w:rsidP="004C7AB3">
                      <w:pPr>
                        <w:spacing w:after="0"/>
                      </w:pPr>
                      <w:r>
                        <w:t xml:space="preserve">     </w:t>
                      </w:r>
                      <w:r w:rsidRPr="00E31A70">
                        <w:t>A</w:t>
                      </w:r>
                    </w:p>
                    <w:p w:rsidR="00205900" w:rsidRDefault="00205900" w:rsidP="004C7AB3"/>
                    <w:p w:rsidR="00205900" w:rsidRDefault="00205900" w:rsidP="004C7AB3"/>
                    <w:p w:rsidR="00205900" w:rsidRDefault="00205900" w:rsidP="004C7AB3"/>
                    <w:p w:rsidR="00205900" w:rsidRDefault="00205900" w:rsidP="004C7AB3"/>
                    <w:p w:rsidR="00205900" w:rsidRDefault="00205900" w:rsidP="004C7AB3"/>
                    <w:p w:rsidR="00205900" w:rsidRDefault="00205900" w:rsidP="004C7AB3"/>
                    <w:p w:rsidR="00205900" w:rsidRDefault="00205900" w:rsidP="004C7AB3"/>
                    <w:p w:rsidR="00205900" w:rsidRDefault="00205900" w:rsidP="004C7AB3">
                      <w:pPr>
                        <w:spacing w:after="0"/>
                        <w:ind w:left="2160"/>
                      </w:pPr>
                      <w:r>
                        <w:t xml:space="preserve">    </w:t>
                      </w:r>
                      <w:r>
                        <w:tab/>
                      </w:r>
                      <w:r>
                        <w:tab/>
                      </w:r>
                      <w:r>
                        <w:tab/>
                      </w:r>
                      <w:r>
                        <w:tab/>
                      </w:r>
                      <w:r>
                        <w:tab/>
                      </w:r>
                      <w:r>
                        <w:tab/>
                      </w:r>
                      <w:r>
                        <w:tab/>
                      </w:r>
                      <w:r>
                        <w:tab/>
                      </w:r>
                      <w:r>
                        <w:tab/>
                      </w:r>
                      <w:r>
                        <w:tab/>
                      </w:r>
                      <w:r>
                        <w:tab/>
                      </w:r>
                      <w:r>
                        <w:tab/>
                      </w:r>
                      <w:r>
                        <w:tab/>
                      </w:r>
                      <w:r>
                        <w:tab/>
                      </w:r>
                      <w:r>
                        <w:tab/>
                      </w:r>
                      <w:r>
                        <w:tab/>
                        <w:t xml:space="preserve">             </w:t>
                      </w:r>
                    </w:p>
                    <w:p w:rsidR="00205900" w:rsidRDefault="00205900" w:rsidP="004C7AB3">
                      <w:pPr>
                        <w:spacing w:after="0"/>
                        <w:ind w:left="2160"/>
                      </w:pPr>
                    </w:p>
                    <w:p w:rsidR="00205900" w:rsidRDefault="00205900" w:rsidP="004C7AB3">
                      <w:pPr>
                        <w:spacing w:after="0"/>
                        <w:ind w:left="4320"/>
                        <w:rPr>
                          <w:sz w:val="16"/>
                          <w:szCs w:val="16"/>
                        </w:rPr>
                      </w:pPr>
                      <w:r>
                        <w:t xml:space="preserve">       </w:t>
                      </w:r>
                      <w:r w:rsidRPr="00CE659A">
                        <w:t xml:space="preserve">B              </w:t>
                      </w:r>
                      <w:r>
                        <w:t xml:space="preserve">  </w:t>
                      </w:r>
                      <w:proofErr w:type="spellStart"/>
                      <w:r w:rsidRPr="00CE659A">
                        <w:t>B</w:t>
                      </w:r>
                      <w:proofErr w:type="spellEnd"/>
                      <w:r w:rsidRPr="00CE659A">
                        <w:t>'</w:t>
                      </w:r>
                      <w:r>
                        <w:t xml:space="preserve">              Product B                                                    </w:t>
                      </w:r>
                      <w:r w:rsidRPr="00482C54">
                        <w:rPr>
                          <w:sz w:val="16"/>
                          <w:szCs w:val="16"/>
                        </w:rPr>
                        <w:t xml:space="preserve">       </w:t>
                      </w:r>
                    </w:p>
                    <w:p w:rsidR="00205900" w:rsidRDefault="00205900" w:rsidP="004C7AB3">
                      <w:pPr>
                        <w:spacing w:after="0"/>
                      </w:pPr>
                      <w:r>
                        <w:rPr>
                          <w:sz w:val="16"/>
                          <w:szCs w:val="16"/>
                        </w:rPr>
                        <w:t xml:space="preserve">  </w:t>
                      </w:r>
                      <w:r w:rsidRPr="00482C54">
                        <w:rPr>
                          <w:sz w:val="16"/>
                          <w:szCs w:val="16"/>
                        </w:rPr>
                        <w:t xml:space="preserve">                                          </w:t>
                      </w:r>
                      <w:r>
                        <w:rPr>
                          <w:sz w:val="16"/>
                          <w:szCs w:val="16"/>
                        </w:rPr>
                        <w:tab/>
                      </w:r>
                      <w:r>
                        <w:rPr>
                          <w:sz w:val="16"/>
                          <w:szCs w:val="16"/>
                        </w:rPr>
                        <w:tab/>
                      </w:r>
                      <w:r>
                        <w:rPr>
                          <w:sz w:val="16"/>
                          <w:szCs w:val="16"/>
                        </w:rPr>
                        <w:tab/>
                      </w:r>
                      <w:r>
                        <w:rPr>
                          <w:sz w:val="16"/>
                          <w:szCs w:val="16"/>
                        </w:rPr>
                        <w:tab/>
                      </w:r>
                      <w:r>
                        <w:t xml:space="preserve">   </w:t>
                      </w:r>
                    </w:p>
                    <w:p w:rsidR="00205900" w:rsidRDefault="00205900" w:rsidP="004C7AB3">
                      <w:pPr>
                        <w:spacing w:after="0"/>
                        <w:ind w:left="4320"/>
                      </w:pPr>
                      <w:r>
                        <w:t xml:space="preserve">     B                  </w:t>
                      </w:r>
                      <w:proofErr w:type="spellStart"/>
                      <w:r>
                        <w:t>B</w:t>
                      </w:r>
                      <w:proofErr w:type="spellEnd"/>
                      <w:r>
                        <w:rPr>
                          <w:rFonts w:cstheme="minorHAnsi"/>
                        </w:rPr>
                        <w:t>´</w:t>
                      </w:r>
                    </w:p>
                  </w:txbxContent>
                </v:textbox>
              </v:shape>
            </w:pict>
          </mc:Fallback>
        </mc:AlternateContent>
      </w:r>
    </w:p>
    <w:p w:rsidR="004C7AB3" w:rsidRDefault="00E31A70" w:rsidP="004C7AB3">
      <w:pPr>
        <w:ind w:hanging="180"/>
      </w:pPr>
      <w:r>
        <w:rPr>
          <w:noProof/>
        </w:rPr>
        <mc:AlternateContent>
          <mc:Choice Requires="wps">
            <w:drawing>
              <wp:anchor distT="0" distB="0" distL="114300" distR="114300" simplePos="0" relativeHeight="251854848" behindDoc="0" locked="0" layoutInCell="1" allowOverlap="1" wp14:anchorId="00B6C44E" wp14:editId="7E959DCD">
                <wp:simplePos x="0" y="0"/>
                <wp:positionH relativeFrom="column">
                  <wp:posOffset>297180</wp:posOffset>
                </wp:positionH>
                <wp:positionV relativeFrom="paragraph">
                  <wp:posOffset>214630</wp:posOffset>
                </wp:positionV>
                <wp:extent cx="0" cy="3398520"/>
                <wp:effectExtent l="95250" t="38100" r="57150" b="11430"/>
                <wp:wrapNone/>
                <wp:docPr id="17433" name="Straight Arrow Connector 17433"/>
                <wp:cNvGraphicFramePr/>
                <a:graphic xmlns:a="http://schemas.openxmlformats.org/drawingml/2006/main">
                  <a:graphicData uri="http://schemas.microsoft.com/office/word/2010/wordprocessingShape">
                    <wps:wsp>
                      <wps:cNvCnPr/>
                      <wps:spPr>
                        <a:xfrm flipV="1">
                          <a:off x="0" y="0"/>
                          <a:ext cx="0" cy="33985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91C00" id="Straight Arrow Connector 17433" o:spid="_x0000_s1026" type="#_x0000_t32" style="position:absolute;margin-left:23.4pt;margin-top:16.9pt;width:0;height:267.6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" strokecolor="black [3213]">
                <v:stroke endarrow="open"/>
              </v:shape>
            </w:pict>
          </mc:Fallback>
        </mc:AlternateContent>
      </w:r>
      <w:r w:rsidR="004C7AB3">
        <w:tab/>
        <w:t xml:space="preserve">   </w:t>
      </w:r>
    </w:p>
    <w:p w:rsidR="004C7AB3" w:rsidRPr="003B384F" w:rsidRDefault="00E31A70" w:rsidP="004C7AB3">
      <w:r>
        <w:rPr>
          <w:noProof/>
        </w:rPr>
        <w:t xml:space="preserve">         </w:t>
      </w:r>
    </w:p>
    <w:p w:rsidR="004C7AB3" w:rsidRPr="003B384F" w:rsidRDefault="004C7AB3" w:rsidP="004C7AB3"/>
    <w:p w:rsidR="004C7AB3" w:rsidRPr="003B384F" w:rsidRDefault="004C7AB3" w:rsidP="004C7AB3"/>
    <w:p w:rsidR="004C7AB3" w:rsidRPr="003B384F" w:rsidRDefault="004C7AB3" w:rsidP="004C7AB3"/>
    <w:p w:rsidR="004C7AB3" w:rsidRPr="003B384F" w:rsidRDefault="00A81480" w:rsidP="004C7AB3">
      <w:r>
        <w:rPr>
          <w:noProof/>
        </w:rPr>
        <mc:AlternateContent>
          <mc:Choice Requires="wps">
            <w:drawing>
              <wp:anchor distT="0" distB="0" distL="114300" distR="114300" simplePos="0" relativeHeight="251855872" behindDoc="0" locked="0" layoutInCell="1" allowOverlap="1" wp14:anchorId="118D7756" wp14:editId="7B27E86B">
                <wp:simplePos x="0" y="0"/>
                <wp:positionH relativeFrom="column">
                  <wp:posOffset>-981075</wp:posOffset>
                </wp:positionH>
                <wp:positionV relativeFrom="paragraph">
                  <wp:posOffset>355600</wp:posOffset>
                </wp:positionV>
                <wp:extent cx="5358765" cy="1276350"/>
                <wp:effectExtent l="0" t="952500" r="0" b="704850"/>
                <wp:wrapNone/>
                <wp:docPr id="17441" name="Arc 17441"/>
                <wp:cNvGraphicFramePr/>
                <a:graphic xmlns:a="http://schemas.openxmlformats.org/drawingml/2006/main">
                  <a:graphicData uri="http://schemas.microsoft.com/office/word/2010/wordprocessingShape">
                    <wps:wsp>
                      <wps:cNvSpPr/>
                      <wps:spPr>
                        <a:xfrm rot="2245727">
                          <a:off x="0" y="0"/>
                          <a:ext cx="5358765" cy="1276350"/>
                        </a:xfrm>
                        <a:prstGeom prst="arc">
                          <a:avLst>
                            <a:gd name="adj1" fmla="val 11474562"/>
                            <a:gd name="adj2" fmla="val 2127889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4245" id="Arc 17441" o:spid="_x0000_s1026" style="position:absolute;margin-left:-77.25pt;margin-top:28pt;width:421.95pt;height:100.5pt;rotation:2452933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5876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" path="m622285,229265nsc1138724,81879,1906286,-2305,2712218,48,3801431,3227,4774150,163151,5172845,404596l2679383,638175,622285,229265xem622285,229265nfc1138724,81879,1906286,-2305,2712218,48,3801431,3227,4774150,163151,5172845,404596e" filled="f" strokecolor="black [3040]">
                <v:path arrowok="t" o:connecttype="custom" o:connectlocs="622285,229265;2712218,48;5172845,404596" o:connectangles="0,0,0"/>
              </v:shape>
            </w:pict>
          </mc:Fallback>
        </mc:AlternateContent>
      </w:r>
    </w:p>
    <w:p w:rsidR="004C7AB3" w:rsidRPr="003B384F" w:rsidRDefault="004C7AB3" w:rsidP="004C7AB3"/>
    <w:p w:rsidR="004C7AB3" w:rsidRPr="003B384F" w:rsidRDefault="00E31A70" w:rsidP="004C7AB3">
      <w:r>
        <w:rPr>
          <w:noProof/>
        </w:rPr>
        <mc:AlternateContent>
          <mc:Choice Requires="wps">
            <w:drawing>
              <wp:anchor distT="0" distB="0" distL="114300" distR="114300" simplePos="0" relativeHeight="251856896" behindDoc="0" locked="0" layoutInCell="1" allowOverlap="1" wp14:anchorId="7684445B" wp14:editId="4B3F5AB5">
                <wp:simplePos x="0" y="0"/>
                <wp:positionH relativeFrom="column">
                  <wp:posOffset>-909320</wp:posOffset>
                </wp:positionH>
                <wp:positionV relativeFrom="paragraph">
                  <wp:posOffset>251460</wp:posOffset>
                </wp:positionV>
                <wp:extent cx="4716145" cy="993140"/>
                <wp:effectExtent l="0" t="914400" r="0" b="607060"/>
                <wp:wrapNone/>
                <wp:docPr id="17440" name="Arc 17440"/>
                <wp:cNvGraphicFramePr/>
                <a:graphic xmlns:a="http://schemas.openxmlformats.org/drawingml/2006/main">
                  <a:graphicData uri="http://schemas.microsoft.com/office/word/2010/wordprocessingShape">
                    <wps:wsp>
                      <wps:cNvSpPr/>
                      <wps:spPr>
                        <a:xfrm rot="2387699">
                          <a:off x="0" y="0"/>
                          <a:ext cx="4716145" cy="993140"/>
                        </a:xfrm>
                        <a:prstGeom prst="arc">
                          <a:avLst>
                            <a:gd name="adj1" fmla="val 11423786"/>
                            <a:gd name="adj2" fmla="val 2115776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DE58" id="Arc 17440" o:spid="_x0000_s1026" style="position:absolute;margin-left:-71.6pt;margin-top:19.8pt;width:371.35pt;height:78.2pt;rotation:2608004fd;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6145,99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" path="m580140,170373nsc1030978,61404,1684888,-796,2371188,8v814868,954,1569647,90437,1996160,236655l2358073,496570,580140,170373xem580140,170373nfc1030978,61404,1684888,-796,2371188,8v814868,954,1569647,90437,1996160,236655e" filled="f" strokecolor="black [3040]">
                <v:path arrowok="t" o:connecttype="custom" o:connectlocs="580140,170373;2371188,8;4367348,236663" o:connectangles="0,0,0"/>
              </v:shape>
            </w:pict>
          </mc:Fallback>
        </mc:AlternateContent>
      </w:r>
    </w:p>
    <w:p w:rsidR="004C7AB3" w:rsidRPr="003B384F" w:rsidRDefault="004C7AB3" w:rsidP="004C7AB3"/>
    <w:p w:rsidR="004C7AB3" w:rsidRPr="003B384F" w:rsidRDefault="004C7AB3" w:rsidP="004C7AB3"/>
    <w:p w:rsidR="004C7AB3" w:rsidRPr="003B384F" w:rsidRDefault="004C7AB3" w:rsidP="004C7AB3"/>
    <w:p w:rsidR="004C7AB3" w:rsidRPr="003B384F" w:rsidRDefault="004C7AB3" w:rsidP="004C7AB3"/>
    <w:p w:rsidR="004C7AB3" w:rsidRDefault="004C7AB3" w:rsidP="004C7AB3">
      <w:pPr>
        <w:spacing w:before="240"/>
        <w:ind w:left="-450"/>
      </w:pPr>
    </w:p>
    <w:p w:rsidR="004C7AB3" w:rsidRDefault="00A2370D" w:rsidP="004C7AB3">
      <w:pPr>
        <w:spacing w:before="240"/>
        <w:ind w:left="-450"/>
      </w:pPr>
      <w:r>
        <w:rPr>
          <w:noProof/>
        </w:rPr>
        <mc:AlternateContent>
          <mc:Choice Requires="wps">
            <w:drawing>
              <wp:anchor distT="0" distB="0" distL="114300" distR="114300" simplePos="0" relativeHeight="251852800" behindDoc="0" locked="0" layoutInCell="1" allowOverlap="1" wp14:anchorId="36E2F15A" wp14:editId="3B51DB71">
                <wp:simplePos x="0" y="0"/>
                <wp:positionH relativeFrom="column">
                  <wp:posOffset>304800</wp:posOffset>
                </wp:positionH>
                <wp:positionV relativeFrom="paragraph">
                  <wp:posOffset>226695</wp:posOffset>
                </wp:positionV>
                <wp:extent cx="4589780" cy="34290"/>
                <wp:effectExtent l="0" t="76200" r="20320" b="80010"/>
                <wp:wrapNone/>
                <wp:docPr id="17411" name="Straight Arrow Connector 17411"/>
                <wp:cNvGraphicFramePr/>
                <a:graphic xmlns:a="http://schemas.openxmlformats.org/drawingml/2006/main">
                  <a:graphicData uri="http://schemas.microsoft.com/office/word/2010/wordprocessingShape">
                    <wps:wsp>
                      <wps:cNvCnPr/>
                      <wps:spPr>
                        <a:xfrm flipV="1">
                          <a:off x="0" y="0"/>
                          <a:ext cx="4589780" cy="34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0EB7CE3" id="Straight Arrow Connector 17411" o:spid="_x0000_s1026" type="#_x0000_t32" style="position:absolute;margin-left:24pt;margin-top:17.85pt;width:361.4pt;height:2.7pt;flip:y;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" strokecolor="black [3213]">
                <v:stroke endarrow="open"/>
              </v:shape>
            </w:pict>
          </mc:Fallback>
        </mc:AlternateContent>
      </w:r>
      <w:r w:rsidR="004C7AB3">
        <w:t xml:space="preserve">      </w:t>
      </w:r>
    </w:p>
    <w:p w:rsidR="004C7AB3" w:rsidRDefault="004C7AB3" w:rsidP="004C7AB3">
      <w:pPr>
        <w:spacing w:before="240"/>
        <w:ind w:left="-450"/>
      </w:pPr>
    </w:p>
    <w:p w:rsidR="004B2866" w:rsidRPr="004B2866" w:rsidRDefault="004B2866" w:rsidP="00CE67BD">
      <w:pPr>
        <w:spacing w:before="0" w:after="0"/>
        <w:rPr>
          <w:sz w:val="18"/>
          <w:szCs w:val="18"/>
        </w:rPr>
      </w:pPr>
      <w:r>
        <w:rPr>
          <w:sz w:val="18"/>
          <w:szCs w:val="18"/>
        </w:rPr>
        <w:t>Source: Author</w:t>
      </w:r>
    </w:p>
    <w:p w:rsidR="004C7AB3" w:rsidRDefault="004C7AB3" w:rsidP="00536A2B">
      <w:pPr>
        <w:spacing w:before="0" w:after="200" w:line="276" w:lineRule="auto"/>
        <w:rPr>
          <w:sz w:val="18"/>
          <w:szCs w:val="18"/>
        </w:rPr>
      </w:pPr>
      <w:r w:rsidRPr="004C7AB3">
        <w:rPr>
          <w:sz w:val="18"/>
          <w:szCs w:val="18"/>
        </w:rPr>
        <w:t xml:space="preserve">Note: New world class industrial management cadre </w:t>
      </w:r>
      <w:r w:rsidR="005D59BC">
        <w:rPr>
          <w:sz w:val="18"/>
          <w:szCs w:val="18"/>
        </w:rPr>
        <w:t xml:space="preserve">trained under the executive development program (EDP) </w:t>
      </w:r>
      <w:r w:rsidRPr="004C7AB3">
        <w:rPr>
          <w:sz w:val="18"/>
          <w:szCs w:val="18"/>
        </w:rPr>
        <w:t xml:space="preserve">helping to </w:t>
      </w:r>
      <w:r w:rsidR="005D59BC">
        <w:rPr>
          <w:sz w:val="18"/>
          <w:szCs w:val="18"/>
        </w:rPr>
        <w:t xml:space="preserve">                                 </w:t>
      </w:r>
      <w:r w:rsidRPr="004C7AB3">
        <w:rPr>
          <w:sz w:val="18"/>
          <w:szCs w:val="18"/>
        </w:rPr>
        <w:t xml:space="preserve">shift </w:t>
      </w:r>
      <w:r w:rsidR="005D59BC">
        <w:rPr>
          <w:sz w:val="18"/>
          <w:szCs w:val="18"/>
        </w:rPr>
        <w:t xml:space="preserve">PPF </w:t>
      </w:r>
      <w:r w:rsidRPr="004C7AB3">
        <w:rPr>
          <w:sz w:val="18"/>
          <w:szCs w:val="18"/>
        </w:rPr>
        <w:t>outward through improved efficiency and</w:t>
      </w:r>
      <w:r w:rsidR="005D59BC">
        <w:rPr>
          <w:sz w:val="18"/>
          <w:szCs w:val="18"/>
        </w:rPr>
        <w:t xml:space="preserve"> </w:t>
      </w:r>
      <w:r w:rsidRPr="004C7AB3">
        <w:rPr>
          <w:sz w:val="18"/>
          <w:szCs w:val="18"/>
        </w:rPr>
        <w:t xml:space="preserve">effectiveness in the use of production inputs and taking the production </w:t>
      </w:r>
      <w:r w:rsidR="005D59BC">
        <w:rPr>
          <w:sz w:val="18"/>
          <w:szCs w:val="18"/>
        </w:rPr>
        <w:t xml:space="preserve">                      </w:t>
      </w:r>
      <w:r w:rsidRPr="004C7AB3">
        <w:rPr>
          <w:sz w:val="18"/>
          <w:szCs w:val="18"/>
        </w:rPr>
        <w:t>process to</w:t>
      </w:r>
      <w:r w:rsidR="00CE659A">
        <w:rPr>
          <w:sz w:val="18"/>
          <w:szCs w:val="18"/>
        </w:rPr>
        <w:t xml:space="preserve"> </w:t>
      </w:r>
      <w:r w:rsidRPr="004C7AB3">
        <w:rPr>
          <w:sz w:val="18"/>
          <w:szCs w:val="18"/>
        </w:rPr>
        <w:t>a higher technology level</w:t>
      </w:r>
    </w:p>
    <w:p w:rsidR="001C63DA" w:rsidRDefault="001C63DA" w:rsidP="00C7276C">
      <w:pPr>
        <w:spacing w:before="0" w:after="200" w:line="276" w:lineRule="auto"/>
      </w:pPr>
      <w:r w:rsidRPr="001C63DA">
        <w:t xml:space="preserve">SEIP training has largely covered Levels 1 – 4 of the National Technical and Vocational Education Framework (NTVQF). </w:t>
      </w:r>
      <w:r w:rsidR="00F82DF1">
        <w:t xml:space="preserve">The missing link is </w:t>
      </w:r>
      <w:r w:rsidRPr="001C63DA">
        <w:t xml:space="preserve">in training of Levels 5 and 6 workers, supervisors and mid-level managers, high level managers and entrepreneurs. This gap is being partly filled 200,000 foreign workers who reportedly remit approximately $5 billion annually. </w:t>
      </w:r>
      <w:r w:rsidR="00F82DF1">
        <w:t xml:space="preserve">The Government </w:t>
      </w:r>
      <w:r w:rsidRPr="001C63DA">
        <w:t xml:space="preserve">is now turning attention to fill this gap at the industry level by designing and implementing an Industrial Executive Development Program (EDP) for selected university graduates and industrial workers to be transformed into world class supervisors and mid-level managers, high level managers and entrepreneurs. Four industries are being targeted, namely, ready-made garments (RMG), leather, textiles and knitwear. </w:t>
      </w:r>
      <w:r w:rsidR="00F82DF1">
        <w:t xml:space="preserve">The Government </w:t>
      </w:r>
      <w:r w:rsidRPr="001C63DA">
        <w:t>will collaborate with four universities: Dhaka University Institute of Business Administration (IBA DU), East West University (EWU), BRAC University (BRACU) and Bangladesh University of Textiles (BUTEX) are working with SEIP management and designated industries to develop course modules for EDP. The Dhaka University is working with RMG, East West with leather, and BRACU with knitwear and BUTEX with textiles.</w:t>
      </w:r>
      <w:r w:rsidR="00C7276C">
        <w:t xml:space="preserve"> On the basis of experience accumulated</w:t>
      </w:r>
      <w:r w:rsidR="00CA39A6">
        <w:t xml:space="preserve"> with application of the framework approach (Figure 4</w:t>
      </w:r>
      <w:r w:rsidR="007F2CA8">
        <w:t>2</w:t>
      </w:r>
      <w:r w:rsidR="00CA39A6">
        <w:t>)</w:t>
      </w:r>
      <w:r w:rsidR="00C7276C">
        <w:t xml:space="preserve">, the current four-university EDP can be expanded to meet the requirements of Vision 2041 taking advantage of the fact that </w:t>
      </w:r>
      <w:r w:rsidR="00C7276C" w:rsidRPr="00C7276C">
        <w:t xml:space="preserve">Bangladesh </w:t>
      </w:r>
      <w:r w:rsidR="00C7276C" w:rsidRPr="00C7276C">
        <w:lastRenderedPageBreak/>
        <w:t>is well endowed with advanced public and private universities. According to the University Grants Commission (UGC) there are 37 publics and 92 private universities in Bangladesh.</w:t>
      </w:r>
      <w:r w:rsidR="00C7276C">
        <w:t xml:space="preserve"> More ae in the pipeline.</w:t>
      </w:r>
    </w:p>
    <w:p w:rsidR="003B7632" w:rsidRPr="00C907F4" w:rsidRDefault="003B7632" w:rsidP="00C907F4">
      <w:pPr>
        <w:spacing w:after="0" w:line="276" w:lineRule="auto"/>
        <w:rPr>
          <w:b/>
          <w:bCs/>
        </w:rPr>
      </w:pPr>
      <w:r w:rsidRPr="00C907F4">
        <w:rPr>
          <w:b/>
          <w:bCs/>
        </w:rPr>
        <w:t>Figure 4</w:t>
      </w:r>
      <w:r w:rsidR="007F2CA8">
        <w:rPr>
          <w:b/>
          <w:bCs/>
        </w:rPr>
        <w:t>2</w:t>
      </w:r>
      <w:r w:rsidRPr="00C907F4">
        <w:rPr>
          <w:b/>
          <w:bCs/>
        </w:rPr>
        <w:t xml:space="preserve">: Approach to the development of new world class industrial leadership </w:t>
      </w:r>
    </w:p>
    <w:p w:rsidR="003B7632" w:rsidRDefault="003B7632" w:rsidP="003B7632">
      <w:pPr>
        <w:spacing w:after="0"/>
        <w:rPr>
          <w:b/>
          <w:bCs/>
        </w:rPr>
      </w:pPr>
      <w:r>
        <w:rPr>
          <w:b/>
          <w:bCs/>
          <w:noProof/>
        </w:rPr>
        <w:drawing>
          <wp:inline distT="0" distB="0" distL="0" distR="0" wp14:anchorId="2C0E33F7" wp14:editId="37EC5F40">
            <wp:extent cx="5638800" cy="4671060"/>
            <wp:effectExtent l="19050" t="19050" r="19050" b="152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36180" cy="4751727"/>
                    </a:xfrm>
                    <a:prstGeom prst="rect">
                      <a:avLst/>
                    </a:prstGeom>
                    <a:noFill/>
                    <a:ln>
                      <a:solidFill>
                        <a:schemeClr val="tx1"/>
                      </a:solidFill>
                    </a:ln>
                  </pic:spPr>
                </pic:pic>
              </a:graphicData>
            </a:graphic>
          </wp:inline>
        </w:drawing>
      </w:r>
    </w:p>
    <w:p w:rsidR="003B7632" w:rsidRPr="003B7632" w:rsidRDefault="003B7632" w:rsidP="003B7632">
      <w:pPr>
        <w:spacing w:before="0" w:after="200" w:line="276" w:lineRule="auto"/>
      </w:pPr>
      <w:r w:rsidRPr="003B7632">
        <w:rPr>
          <w:sz w:val="18"/>
          <w:szCs w:val="18"/>
        </w:rPr>
        <w:t>Source: A</w:t>
      </w:r>
      <w:r>
        <w:rPr>
          <w:sz w:val="18"/>
          <w:szCs w:val="18"/>
        </w:rPr>
        <w:t>uthor</w:t>
      </w:r>
    </w:p>
    <w:p w:rsidR="00CA39A6" w:rsidRDefault="00CA39A6" w:rsidP="00C7276C">
      <w:pPr>
        <w:spacing w:before="0" w:after="200" w:line="276" w:lineRule="auto"/>
      </w:pPr>
      <w:r>
        <w:tab/>
        <w:t>Policy analysis training</w:t>
      </w:r>
    </w:p>
    <w:p w:rsidR="00CF31F0" w:rsidRDefault="00F82DF1" w:rsidP="00DD1EBE">
      <w:pPr>
        <w:spacing w:before="0" w:after="200" w:line="276" w:lineRule="auto"/>
        <w:rPr>
          <w:rStyle w:val="Hyperlink"/>
          <w:color w:val="000000" w:themeColor="text1"/>
          <w:u w:val="none"/>
        </w:rPr>
      </w:pPr>
      <w:r w:rsidRPr="00DD1EBE">
        <w:t xml:space="preserve">Another serious skill gap is in policy analysis. </w:t>
      </w:r>
      <w:r w:rsidR="00DD1EBE" w:rsidRPr="00DD1EBE">
        <w:rPr>
          <w:rStyle w:val="Hyperlink"/>
          <w:color w:val="000000" w:themeColor="text1"/>
          <w:u w:val="none"/>
        </w:rPr>
        <w:t>Policy analysis is the foundation for informed decision making</w:t>
      </w:r>
      <w:r w:rsidR="00795DA6">
        <w:rPr>
          <w:rStyle w:val="Hyperlink"/>
          <w:color w:val="000000" w:themeColor="text1"/>
          <w:u w:val="none"/>
        </w:rPr>
        <w:t xml:space="preserve"> which is critical for achieving Vision 2041. </w:t>
      </w:r>
      <w:r w:rsidR="00DB31DC">
        <w:rPr>
          <w:rStyle w:val="Hyperlink"/>
          <w:color w:val="000000" w:themeColor="text1"/>
          <w:u w:val="none"/>
        </w:rPr>
        <w:t>Strategies</w:t>
      </w:r>
      <w:r w:rsidR="00795DA6">
        <w:rPr>
          <w:rStyle w:val="Hyperlink"/>
          <w:color w:val="000000" w:themeColor="text1"/>
          <w:u w:val="none"/>
        </w:rPr>
        <w:t xml:space="preserve"> will have to be formulated and implemented o</w:t>
      </w:r>
      <w:r w:rsidR="00DB31DC">
        <w:rPr>
          <w:rStyle w:val="Hyperlink"/>
          <w:color w:val="000000" w:themeColor="text1"/>
          <w:u w:val="none"/>
        </w:rPr>
        <w:t xml:space="preserve">n the basis of sound policy agenda reflecting aspirations and consensus of all stakeholders. </w:t>
      </w:r>
      <w:r w:rsidR="00DD1EBE" w:rsidRPr="00DD1EBE">
        <w:rPr>
          <w:rStyle w:val="Hyperlink"/>
          <w:color w:val="000000" w:themeColor="text1"/>
          <w:u w:val="none"/>
        </w:rPr>
        <w:t xml:space="preserve">Much of the credit for impressive social and economic performance of Bangladesh can be traced to prudent macroeconomic and bold social policies, many owing to sound policy analysis as embodied in budget and planning documents. However, gaps, inadequacies and inconsistencies remain which need to be corrected. Such shortcomings can be attributed to (a) lack of data and information, (b) inadequate knowledge of technique of analysis, (c) lack of clear definition of the problem and identification of goals, (d) poor command </w:t>
      </w:r>
      <w:r w:rsidR="00DD1EBE" w:rsidRPr="00DD1EBE">
        <w:rPr>
          <w:rStyle w:val="Hyperlink"/>
          <w:color w:val="000000" w:themeColor="text1"/>
          <w:u w:val="none"/>
        </w:rPr>
        <w:lastRenderedPageBreak/>
        <w:t>over the scope of the subject under review, (e) insufficient knowledge of the historical context of the policy, (f) lack of longer term vision, (f) inadequate understanding of the political context of policy, (g) lack of knowledge of stakeholders and a framework for stakeholder consultation, (h) absence of framework of analysis, (</w:t>
      </w:r>
      <w:proofErr w:type="spellStart"/>
      <w:r w:rsidR="00DD1EBE" w:rsidRPr="00DD1EBE">
        <w:rPr>
          <w:rStyle w:val="Hyperlink"/>
          <w:color w:val="000000" w:themeColor="text1"/>
          <w:u w:val="none"/>
        </w:rPr>
        <w:t>i</w:t>
      </w:r>
      <w:proofErr w:type="spellEnd"/>
      <w:r w:rsidR="00DD1EBE" w:rsidRPr="00DD1EBE">
        <w:rPr>
          <w:rStyle w:val="Hyperlink"/>
          <w:color w:val="000000" w:themeColor="text1"/>
          <w:u w:val="none"/>
        </w:rPr>
        <w:t xml:space="preserve">) weak networking, (j) difficulty in consensus building, (k) lack of knowledge and understanding of effects and impact of policy, (l) lack of knowledge of optimal implementation arrangement, (m) weak monitoring of implementation, and (n) lack of framework of analysis. The result is adverse impact on growth (Figure </w:t>
      </w:r>
      <w:r w:rsidR="00CF31F0">
        <w:rPr>
          <w:rStyle w:val="Hyperlink"/>
          <w:color w:val="000000" w:themeColor="text1"/>
          <w:u w:val="none"/>
        </w:rPr>
        <w:t>4</w:t>
      </w:r>
      <w:r w:rsidR="007F2CA8">
        <w:rPr>
          <w:rStyle w:val="Hyperlink"/>
          <w:color w:val="000000" w:themeColor="text1"/>
          <w:u w:val="none"/>
        </w:rPr>
        <w:t>3</w:t>
      </w:r>
      <w:r w:rsidR="00DD1EBE" w:rsidRPr="00DD1EBE">
        <w:rPr>
          <w:rStyle w:val="Hyperlink"/>
          <w:color w:val="000000" w:themeColor="text1"/>
          <w:u w:val="none"/>
        </w:rPr>
        <w:t>). With sound policy analysis growth performance would be better.</w:t>
      </w:r>
    </w:p>
    <w:p w:rsidR="00F82DF1" w:rsidRPr="00C907F4" w:rsidRDefault="00F82DF1" w:rsidP="00C907F4">
      <w:pPr>
        <w:tabs>
          <w:tab w:val="left" w:pos="1368"/>
        </w:tabs>
        <w:spacing w:before="0" w:after="0" w:line="276" w:lineRule="auto"/>
        <w:rPr>
          <w:b/>
          <w:color w:val="000000" w:themeColor="text1"/>
        </w:rPr>
      </w:pPr>
      <w:r w:rsidRPr="00C907F4">
        <w:rPr>
          <w:b/>
          <w:color w:val="000000" w:themeColor="text1"/>
        </w:rPr>
        <w:t>Figure 4</w:t>
      </w:r>
      <w:r w:rsidR="007F2CA8">
        <w:rPr>
          <w:b/>
          <w:color w:val="000000" w:themeColor="text1"/>
        </w:rPr>
        <w:t>3</w:t>
      </w:r>
      <w:r w:rsidRPr="00C907F4">
        <w:rPr>
          <w:b/>
          <w:color w:val="000000" w:themeColor="text1"/>
        </w:rPr>
        <w:t>: The Problem</w:t>
      </w:r>
      <w:r w:rsidR="00C907F4" w:rsidRPr="00C907F4">
        <w:rPr>
          <w:b/>
          <w:color w:val="000000" w:themeColor="text1"/>
        </w:rPr>
        <w:t>: policy formulation and growth</w:t>
      </w:r>
    </w:p>
    <w:p w:rsidR="00F82DF1" w:rsidRDefault="00F82DF1" w:rsidP="00F82DF1">
      <w:pPr>
        <w:tabs>
          <w:tab w:val="left" w:pos="1368"/>
        </w:tabs>
        <w:spacing w:before="0" w:after="200" w:line="276" w:lineRule="auto"/>
      </w:pPr>
      <w:r w:rsidRPr="005648B4">
        <w:rPr>
          <w:noProof/>
        </w:rPr>
        <mc:AlternateContent>
          <mc:Choice Requires="wps">
            <w:drawing>
              <wp:anchor distT="0" distB="0" distL="114300" distR="114300" simplePos="0" relativeHeight="251880448" behindDoc="0" locked="0" layoutInCell="1" allowOverlap="1" wp14:anchorId="4808DDDC" wp14:editId="17342780">
                <wp:simplePos x="0" y="0"/>
                <wp:positionH relativeFrom="column">
                  <wp:posOffset>792480</wp:posOffset>
                </wp:positionH>
                <wp:positionV relativeFrom="paragraph">
                  <wp:posOffset>1691005</wp:posOffset>
                </wp:positionV>
                <wp:extent cx="1089660" cy="876300"/>
                <wp:effectExtent l="38100" t="38100" r="34290" b="19050"/>
                <wp:wrapNone/>
                <wp:docPr id="83" name="Straight Arrow Connector 83"/>
                <wp:cNvGraphicFramePr/>
                <a:graphic xmlns:a="http://schemas.openxmlformats.org/drawingml/2006/main">
                  <a:graphicData uri="http://schemas.microsoft.com/office/word/2010/wordprocessingShape">
                    <wps:wsp>
                      <wps:cNvCnPr/>
                      <wps:spPr>
                        <a:xfrm flipH="1" flipV="1">
                          <a:off x="0" y="0"/>
                          <a:ext cx="1089660" cy="876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C7298C" id="Straight Arrow Connector 83" o:spid="_x0000_s1026" type="#_x0000_t32" style="position:absolute;margin-left:62.4pt;margin-top:133.15pt;width:85.8pt;height:69pt;flip:x y;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" strokecolor="black [3213]">
                <v:stroke endarrow="open"/>
              </v:shape>
            </w:pict>
          </mc:Fallback>
        </mc:AlternateContent>
      </w:r>
      <w:r w:rsidRPr="005648B4">
        <w:rPr>
          <w:noProof/>
        </w:rPr>
        <mc:AlternateContent>
          <mc:Choice Requires="wps">
            <w:drawing>
              <wp:anchor distT="0" distB="0" distL="114300" distR="114300" simplePos="0" relativeHeight="251881472" behindDoc="0" locked="0" layoutInCell="1" allowOverlap="1" wp14:anchorId="46DC2687" wp14:editId="06BED865">
                <wp:simplePos x="0" y="0"/>
                <wp:positionH relativeFrom="column">
                  <wp:posOffset>2773680</wp:posOffset>
                </wp:positionH>
                <wp:positionV relativeFrom="paragraph">
                  <wp:posOffset>1691005</wp:posOffset>
                </wp:positionV>
                <wp:extent cx="1165860" cy="883920"/>
                <wp:effectExtent l="0" t="38100" r="53340" b="30480"/>
                <wp:wrapNone/>
                <wp:docPr id="84" name="Straight Arrow Connector 84"/>
                <wp:cNvGraphicFramePr/>
                <a:graphic xmlns:a="http://schemas.openxmlformats.org/drawingml/2006/main">
                  <a:graphicData uri="http://schemas.microsoft.com/office/word/2010/wordprocessingShape">
                    <wps:wsp>
                      <wps:cNvCnPr/>
                      <wps:spPr>
                        <a:xfrm flipV="1">
                          <a:off x="0" y="0"/>
                          <a:ext cx="1165860" cy="8839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626A1" id="Straight Arrow Connector 84" o:spid="_x0000_s1026" type="#_x0000_t32" style="position:absolute;margin-left:218.4pt;margin-top:133.15pt;width:91.8pt;height:69.6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" strokecolor="black [3213]">
                <v:stroke endarrow="open"/>
              </v:shape>
            </w:pict>
          </mc:Fallback>
        </mc:AlternateContent>
      </w:r>
      <w:r w:rsidRPr="005648B4">
        <w:rPr>
          <w:noProof/>
        </w:rPr>
        <mc:AlternateContent>
          <mc:Choice Requires="wps">
            <w:drawing>
              <wp:anchor distT="0" distB="0" distL="114300" distR="114300" simplePos="0" relativeHeight="251884544" behindDoc="1" locked="0" layoutInCell="1" allowOverlap="1" wp14:anchorId="3E814B75" wp14:editId="01389B6E">
                <wp:simplePos x="0" y="0"/>
                <wp:positionH relativeFrom="margin">
                  <wp:posOffset>0</wp:posOffset>
                </wp:positionH>
                <wp:positionV relativeFrom="paragraph">
                  <wp:posOffset>0</wp:posOffset>
                </wp:positionV>
                <wp:extent cx="4777740" cy="3025140"/>
                <wp:effectExtent l="0" t="0" r="22860" b="22860"/>
                <wp:wrapNone/>
                <wp:docPr id="87" name="Rectangle 87"/>
                <wp:cNvGraphicFramePr/>
                <a:graphic xmlns:a="http://schemas.openxmlformats.org/drawingml/2006/main">
                  <a:graphicData uri="http://schemas.microsoft.com/office/word/2010/wordprocessingShape">
                    <wps:wsp>
                      <wps:cNvSpPr/>
                      <wps:spPr>
                        <a:xfrm>
                          <a:off x="0" y="0"/>
                          <a:ext cx="4777740" cy="30251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05900" w:rsidRPr="00CE727D" w:rsidRDefault="00205900" w:rsidP="00F82DF1">
                            <w:pPr>
                              <w:rPr>
                                <w:b/>
                                <w:color w:val="000000" w:themeColor="text1"/>
                              </w:rPr>
                            </w:pPr>
                          </w:p>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Pr="00CF31F0" w:rsidRDefault="00205900" w:rsidP="00F82DF1">
                            <w:pPr>
                              <w:rPr>
                                <w:color w:val="000000" w:themeColor="text1"/>
                                <w:sz w:val="18"/>
                                <w:szCs w:val="18"/>
                              </w:rPr>
                            </w:pPr>
                            <w:r w:rsidRPr="00CF31F0">
                              <w:rPr>
                                <w:color w:val="000000" w:themeColor="text1"/>
                                <w:sz w:val="18"/>
                                <w:szCs w:val="18"/>
                              </w:rPr>
                              <w:t>Source: Author</w:t>
                            </w:r>
                          </w:p>
                          <w:p w:rsidR="00205900" w:rsidRDefault="00205900" w:rsidP="00F82DF1"/>
                          <w:p w:rsidR="00205900" w:rsidRDefault="00205900" w:rsidP="00F82D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14B75" id="Rectangle 87" o:spid="_x0000_s1035" style="position:absolute;margin-left:0;margin-top:0;width:376.2pt;height:238.2pt;z-index:-25143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" fillcolor="#dbe5f1 [660]" strokecolor="#243f60 [1604]" strokeweight="2pt">
                <v:textbox>
                  <w:txbxContent>
                    <w:p w:rsidR="00205900" w:rsidRPr="00CE727D" w:rsidRDefault="00205900" w:rsidP="00F82DF1">
                      <w:pPr>
                        <w:rPr>
                          <w:b/>
                          <w:color w:val="000000" w:themeColor="text1"/>
                        </w:rPr>
                      </w:pPr>
                    </w:p>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Default="00205900" w:rsidP="00F82DF1"/>
                    <w:p w:rsidR="00205900" w:rsidRPr="00CF31F0" w:rsidRDefault="00205900" w:rsidP="00F82DF1">
                      <w:pPr>
                        <w:rPr>
                          <w:color w:val="000000" w:themeColor="text1"/>
                          <w:sz w:val="18"/>
                          <w:szCs w:val="18"/>
                        </w:rPr>
                      </w:pPr>
                      <w:r w:rsidRPr="00CF31F0">
                        <w:rPr>
                          <w:color w:val="000000" w:themeColor="text1"/>
                          <w:sz w:val="18"/>
                          <w:szCs w:val="18"/>
                        </w:rPr>
                        <w:t>Source: Author</w:t>
                      </w:r>
                    </w:p>
                    <w:p w:rsidR="00205900" w:rsidRDefault="00205900" w:rsidP="00F82DF1"/>
                    <w:p w:rsidR="00205900" w:rsidRDefault="00205900" w:rsidP="00F82DF1"/>
                  </w:txbxContent>
                </v:textbox>
                <w10:wrap anchorx="margin"/>
              </v:rect>
            </w:pict>
          </mc:Fallback>
        </mc:AlternateContent>
      </w:r>
    </w:p>
    <w:p w:rsidR="00F82DF1" w:rsidRDefault="00CF31F0" w:rsidP="00F82DF1">
      <w:pPr>
        <w:tabs>
          <w:tab w:val="left" w:pos="1368"/>
        </w:tabs>
        <w:spacing w:before="0" w:after="200" w:line="276" w:lineRule="auto"/>
      </w:pPr>
      <w:r w:rsidRPr="005648B4">
        <w:rPr>
          <w:noProof/>
        </w:rPr>
        <mc:AlternateContent>
          <mc:Choice Requires="wps">
            <w:drawing>
              <wp:anchor distT="0" distB="0" distL="114300" distR="114300" simplePos="0" relativeHeight="251883520" behindDoc="0" locked="0" layoutInCell="1" allowOverlap="1" wp14:anchorId="31506DD7" wp14:editId="7592A579">
                <wp:simplePos x="0" y="0"/>
                <wp:positionH relativeFrom="column">
                  <wp:posOffset>2766060</wp:posOffset>
                </wp:positionH>
                <wp:positionV relativeFrom="paragraph">
                  <wp:posOffset>264160</wp:posOffset>
                </wp:positionV>
                <wp:extent cx="1143000" cy="701040"/>
                <wp:effectExtent l="38100" t="38100" r="19050" b="22860"/>
                <wp:wrapNone/>
                <wp:docPr id="86" name="Straight Arrow Connector 86"/>
                <wp:cNvGraphicFramePr/>
                <a:graphic xmlns:a="http://schemas.openxmlformats.org/drawingml/2006/main">
                  <a:graphicData uri="http://schemas.microsoft.com/office/word/2010/wordprocessingShape">
                    <wps:wsp>
                      <wps:cNvCnPr/>
                      <wps:spPr>
                        <a:xfrm flipH="1" flipV="1">
                          <a:off x="0" y="0"/>
                          <a:ext cx="1143000" cy="701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0D68A" id="Straight Arrow Connector 86" o:spid="_x0000_s1026" type="#_x0000_t32" style="position:absolute;margin-left:217.8pt;margin-top:20.8pt;width:90pt;height:55.2pt;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" strokecolor="black [3213]">
                <v:stroke endarrow="open"/>
              </v:shape>
            </w:pict>
          </mc:Fallback>
        </mc:AlternateContent>
      </w:r>
      <w:r w:rsidRPr="005648B4">
        <w:rPr>
          <w:noProof/>
        </w:rPr>
        <mc:AlternateContent>
          <mc:Choice Requires="wps">
            <w:drawing>
              <wp:anchor distT="0" distB="0" distL="114300" distR="114300" simplePos="0" relativeHeight="251882496" behindDoc="0" locked="0" layoutInCell="1" allowOverlap="1" wp14:anchorId="273C5298" wp14:editId="503965D0">
                <wp:simplePos x="0" y="0"/>
                <wp:positionH relativeFrom="column">
                  <wp:posOffset>800100</wp:posOffset>
                </wp:positionH>
                <wp:positionV relativeFrom="paragraph">
                  <wp:posOffset>250825</wp:posOffset>
                </wp:positionV>
                <wp:extent cx="1082040" cy="708660"/>
                <wp:effectExtent l="0" t="38100" r="60960" b="34290"/>
                <wp:wrapNone/>
                <wp:docPr id="85" name="Straight Arrow Connector 85"/>
                <wp:cNvGraphicFramePr/>
                <a:graphic xmlns:a="http://schemas.openxmlformats.org/drawingml/2006/main">
                  <a:graphicData uri="http://schemas.microsoft.com/office/word/2010/wordprocessingShape">
                    <wps:wsp>
                      <wps:cNvCnPr/>
                      <wps:spPr>
                        <a:xfrm flipV="1">
                          <a:off x="0" y="0"/>
                          <a:ext cx="1082040" cy="708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1E5C6" id="Straight Arrow Connector 85" o:spid="_x0000_s1026" type="#_x0000_t32" style="position:absolute;margin-left:63pt;margin-top:19.75pt;width:85.2pt;height:55.8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" strokecolor="black [3213]">
                <v:stroke endarrow="open"/>
              </v:shape>
            </w:pict>
          </mc:Fallback>
        </mc:AlternateContent>
      </w:r>
      <w:r w:rsidRPr="005648B4">
        <w:rPr>
          <w:noProof/>
        </w:rPr>
        <mc:AlternateContent>
          <mc:Choice Requires="wps">
            <w:drawing>
              <wp:anchor distT="0" distB="0" distL="114300" distR="114300" simplePos="0" relativeHeight="251875328" behindDoc="0" locked="0" layoutInCell="1" allowOverlap="1" wp14:anchorId="6C8ED3EF" wp14:editId="3E655CE7">
                <wp:simplePos x="0" y="0"/>
                <wp:positionH relativeFrom="column">
                  <wp:posOffset>1882140</wp:posOffset>
                </wp:positionH>
                <wp:positionV relativeFrom="paragraph">
                  <wp:posOffset>15240</wp:posOffset>
                </wp:positionV>
                <wp:extent cx="883920" cy="457200"/>
                <wp:effectExtent l="0" t="0" r="11430" b="19050"/>
                <wp:wrapNone/>
                <wp:docPr id="41" name="Text Box 41"/>
                <wp:cNvGraphicFramePr/>
                <a:graphic xmlns:a="http://schemas.openxmlformats.org/drawingml/2006/main">
                  <a:graphicData uri="http://schemas.microsoft.com/office/word/2010/wordprocessingShape">
                    <wps:wsp>
                      <wps:cNvSpPr txBox="1"/>
                      <wps:spPr>
                        <a:xfrm>
                          <a:off x="0" y="0"/>
                          <a:ext cx="883920" cy="457200"/>
                        </a:xfrm>
                        <a:prstGeom prst="rect">
                          <a:avLst/>
                        </a:prstGeom>
                        <a:solidFill>
                          <a:srgbClr val="E8BF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CF31F0" w:rsidRDefault="00205900" w:rsidP="00F82DF1">
                            <w:pPr>
                              <w:jc w:val="center"/>
                              <w:rPr>
                                <w:sz w:val="18"/>
                                <w:szCs w:val="18"/>
                              </w:rPr>
                            </w:pPr>
                            <w:r w:rsidRPr="00CF31F0">
                              <w:rPr>
                                <w:sz w:val="18"/>
                                <w:szCs w:val="18"/>
                              </w:rPr>
                              <w:t>Poor policy formulation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D3EF" id="Text Box 41" o:spid="_x0000_s1036" type="#_x0000_t202" style="position:absolute;margin-left:148.2pt;margin-top:1.2pt;width:69.6pt;height: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" fillcolor="#e8bfbe" strokeweight=".5pt">
                <v:textbox>
                  <w:txbxContent>
                    <w:p w:rsidR="00205900" w:rsidRPr="00CF31F0" w:rsidRDefault="00205900" w:rsidP="00F82DF1">
                      <w:pPr>
                        <w:jc w:val="center"/>
                        <w:rPr>
                          <w:sz w:val="18"/>
                          <w:szCs w:val="18"/>
                        </w:rPr>
                      </w:pPr>
                      <w:r w:rsidRPr="00CF31F0">
                        <w:rPr>
                          <w:sz w:val="18"/>
                          <w:szCs w:val="18"/>
                        </w:rPr>
                        <w:t>Poor policy formulation</w:t>
                      </w:r>
                    </w:p>
                  </w:txbxContent>
                </v:textbox>
              </v:shape>
            </w:pict>
          </mc:Fallback>
        </mc:AlternateContent>
      </w:r>
    </w:p>
    <w:p w:rsidR="00F82DF1" w:rsidRDefault="00F82DF1" w:rsidP="00F82DF1">
      <w:pPr>
        <w:spacing w:before="0" w:after="200" w:line="276" w:lineRule="auto"/>
      </w:pPr>
    </w:p>
    <w:p w:rsidR="00F82DF1" w:rsidRDefault="00F82DF1" w:rsidP="00F82DF1">
      <w:pPr>
        <w:spacing w:before="0" w:after="200" w:line="276" w:lineRule="auto"/>
      </w:pPr>
      <w:r w:rsidRPr="005648B4">
        <w:rPr>
          <w:noProof/>
        </w:rPr>
        <mc:AlternateContent>
          <mc:Choice Requires="wps">
            <w:drawing>
              <wp:anchor distT="0" distB="0" distL="114300" distR="114300" simplePos="0" relativeHeight="251877376" behindDoc="0" locked="0" layoutInCell="1" allowOverlap="1" wp14:anchorId="6F0B7A78" wp14:editId="266632AD">
                <wp:simplePos x="0" y="0"/>
                <wp:positionH relativeFrom="column">
                  <wp:posOffset>480060</wp:posOffset>
                </wp:positionH>
                <wp:positionV relativeFrom="paragraph">
                  <wp:posOffset>310515</wp:posOffset>
                </wp:positionV>
                <wp:extent cx="685800" cy="419100"/>
                <wp:effectExtent l="0" t="0" r="19050" b="19050"/>
                <wp:wrapNone/>
                <wp:docPr id="80" name="Text Box 80"/>
                <wp:cNvGraphicFramePr/>
                <a:graphic xmlns:a="http://schemas.openxmlformats.org/drawingml/2006/main">
                  <a:graphicData uri="http://schemas.microsoft.com/office/word/2010/wordprocessingShape">
                    <wps:wsp>
                      <wps:cNvSpPr txBox="1"/>
                      <wps:spPr>
                        <a:xfrm>
                          <a:off x="0" y="0"/>
                          <a:ext cx="685800" cy="419100"/>
                        </a:xfrm>
                        <a:prstGeom prst="rect">
                          <a:avLst/>
                        </a:prstGeom>
                        <a:solidFill>
                          <a:srgbClr val="B3FFD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CF31F0" w:rsidRDefault="00205900" w:rsidP="00F82DF1">
                            <w:pPr>
                              <w:spacing w:after="0"/>
                              <w:jc w:val="center"/>
                              <w:rPr>
                                <w:sz w:val="18"/>
                                <w:szCs w:val="18"/>
                              </w:rPr>
                            </w:pPr>
                            <w:r w:rsidRPr="00CF31F0">
                              <w:rPr>
                                <w:sz w:val="18"/>
                                <w:szCs w:val="18"/>
                              </w:rPr>
                              <w:t>Weak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7A78" id="Text Box 80" o:spid="_x0000_s1037" type="#_x0000_t202" style="position:absolute;margin-left:37.8pt;margin-top:24.45pt;width:54pt;height:3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" fillcolor="#b3ffd5" strokeweight=".5pt">
                <v:textbox>
                  <w:txbxContent>
                    <w:p w:rsidR="00205900" w:rsidRPr="00CF31F0" w:rsidRDefault="00205900" w:rsidP="00F82DF1">
                      <w:pPr>
                        <w:spacing w:after="0"/>
                        <w:jc w:val="center"/>
                        <w:rPr>
                          <w:sz w:val="18"/>
                          <w:szCs w:val="18"/>
                        </w:rPr>
                      </w:pPr>
                      <w:r w:rsidRPr="00CF31F0">
                        <w:rPr>
                          <w:sz w:val="18"/>
                          <w:szCs w:val="18"/>
                        </w:rPr>
                        <w:t>Weak data</w:t>
                      </w:r>
                    </w:p>
                  </w:txbxContent>
                </v:textbox>
              </v:shape>
            </w:pict>
          </mc:Fallback>
        </mc:AlternateContent>
      </w:r>
      <w:r w:rsidRPr="005648B4">
        <w:rPr>
          <w:noProof/>
        </w:rPr>
        <mc:AlternateContent>
          <mc:Choice Requires="wps">
            <w:drawing>
              <wp:anchor distT="0" distB="0" distL="114300" distR="114300" simplePos="0" relativeHeight="251876352" behindDoc="0" locked="0" layoutInCell="1" allowOverlap="1" wp14:anchorId="39B2CBAC" wp14:editId="1B3C6180">
                <wp:simplePos x="0" y="0"/>
                <wp:positionH relativeFrom="column">
                  <wp:posOffset>3512820</wp:posOffset>
                </wp:positionH>
                <wp:positionV relativeFrom="paragraph">
                  <wp:posOffset>310515</wp:posOffset>
                </wp:positionV>
                <wp:extent cx="861060" cy="403860"/>
                <wp:effectExtent l="0" t="0" r="15240" b="15240"/>
                <wp:wrapNone/>
                <wp:docPr id="79" name="Text Box 79"/>
                <wp:cNvGraphicFramePr/>
                <a:graphic xmlns:a="http://schemas.openxmlformats.org/drawingml/2006/main">
                  <a:graphicData uri="http://schemas.microsoft.com/office/word/2010/wordprocessingShape">
                    <wps:wsp>
                      <wps:cNvSpPr txBox="1"/>
                      <wps:spPr>
                        <a:xfrm>
                          <a:off x="0" y="0"/>
                          <a:ext cx="861060" cy="40386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CF31F0" w:rsidRDefault="00205900" w:rsidP="00F82DF1">
                            <w:pPr>
                              <w:spacing w:after="0"/>
                              <w:jc w:val="center"/>
                              <w:rPr>
                                <w:sz w:val="18"/>
                                <w:szCs w:val="18"/>
                              </w:rPr>
                            </w:pPr>
                            <w:r w:rsidRPr="00CF31F0">
                              <w:rPr>
                                <w:sz w:val="18"/>
                                <w:szCs w:val="18"/>
                              </w:rPr>
                              <w:t>Weak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CBAC" id="Text Box 79" o:spid="_x0000_s1038" type="#_x0000_t202" style="position:absolute;margin-left:276.6pt;margin-top:24.45pt;width:67.8pt;height:3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" fillcolor="#ffc000" strokeweight=".5pt">
                <v:textbox>
                  <w:txbxContent>
                    <w:p w:rsidR="00205900" w:rsidRPr="00CF31F0" w:rsidRDefault="00205900" w:rsidP="00F82DF1">
                      <w:pPr>
                        <w:spacing w:after="0"/>
                        <w:jc w:val="center"/>
                        <w:rPr>
                          <w:sz w:val="18"/>
                          <w:szCs w:val="18"/>
                        </w:rPr>
                      </w:pPr>
                      <w:r w:rsidRPr="00CF31F0">
                        <w:rPr>
                          <w:sz w:val="18"/>
                          <w:szCs w:val="18"/>
                        </w:rPr>
                        <w:t>Weak analysis</w:t>
                      </w:r>
                    </w:p>
                  </w:txbxContent>
                </v:textbox>
              </v:shape>
            </w:pict>
          </mc:Fallback>
        </mc:AlternateContent>
      </w:r>
      <w:r w:rsidRPr="005648B4">
        <w:rPr>
          <w:noProof/>
        </w:rPr>
        <mc:AlternateContent>
          <mc:Choice Requires="wps">
            <w:drawing>
              <wp:anchor distT="0" distB="0" distL="114300" distR="114300" simplePos="0" relativeHeight="251879424" behindDoc="0" locked="0" layoutInCell="1" allowOverlap="1" wp14:anchorId="76752112" wp14:editId="0682AAE0">
                <wp:simplePos x="0" y="0"/>
                <wp:positionH relativeFrom="column">
                  <wp:posOffset>1836420</wp:posOffset>
                </wp:positionH>
                <wp:positionV relativeFrom="paragraph">
                  <wp:posOffset>112395</wp:posOffset>
                </wp:positionV>
                <wp:extent cx="998220" cy="670560"/>
                <wp:effectExtent l="0" t="0" r="11430" b="15240"/>
                <wp:wrapNone/>
                <wp:docPr id="82" name="Oval 82"/>
                <wp:cNvGraphicFramePr/>
                <a:graphic xmlns:a="http://schemas.openxmlformats.org/drawingml/2006/main">
                  <a:graphicData uri="http://schemas.microsoft.com/office/word/2010/wordprocessingShape">
                    <wps:wsp>
                      <wps:cNvSpPr/>
                      <wps:spPr>
                        <a:xfrm>
                          <a:off x="0" y="0"/>
                          <a:ext cx="998220" cy="670560"/>
                        </a:xfrm>
                        <a:prstGeom prst="ellipse">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5900" w:rsidRPr="00CF31F0" w:rsidRDefault="00205900" w:rsidP="00F82DF1">
                            <w:pPr>
                              <w:spacing w:after="0"/>
                              <w:jc w:val="center"/>
                              <w:rPr>
                                <w:sz w:val="18"/>
                                <w:szCs w:val="18"/>
                              </w:rPr>
                            </w:pPr>
                            <w:r w:rsidRPr="00CF31F0">
                              <w:rPr>
                                <w:color w:val="000000" w:themeColor="text1"/>
                                <w:sz w:val="18"/>
                                <w:szCs w:val="18"/>
                              </w:rPr>
                              <w:t>Impact on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52112" id="Oval 82" o:spid="_x0000_s1039" style="position:absolute;margin-left:144.6pt;margin-top:8.85pt;width:78.6pt;height:52.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" fillcolor="#c6d9f1 [671]" strokecolor="black [3213]" strokeweight="2pt">
                <v:textbox>
                  <w:txbxContent>
                    <w:p w:rsidR="00205900" w:rsidRPr="00CF31F0" w:rsidRDefault="00205900" w:rsidP="00F82DF1">
                      <w:pPr>
                        <w:spacing w:after="0"/>
                        <w:jc w:val="center"/>
                        <w:rPr>
                          <w:sz w:val="18"/>
                          <w:szCs w:val="18"/>
                        </w:rPr>
                      </w:pPr>
                      <w:r w:rsidRPr="00CF31F0">
                        <w:rPr>
                          <w:color w:val="000000" w:themeColor="text1"/>
                          <w:sz w:val="18"/>
                          <w:szCs w:val="18"/>
                        </w:rPr>
                        <w:t>Impact on growth</w:t>
                      </w:r>
                    </w:p>
                  </w:txbxContent>
                </v:textbox>
              </v:oval>
            </w:pict>
          </mc:Fallback>
        </mc:AlternateContent>
      </w:r>
    </w:p>
    <w:p w:rsidR="00F82DF1" w:rsidRDefault="00F82DF1" w:rsidP="00F82DF1">
      <w:pPr>
        <w:spacing w:before="0" w:after="200" w:line="276" w:lineRule="auto"/>
      </w:pPr>
    </w:p>
    <w:p w:rsidR="00F82DF1" w:rsidRDefault="00F82DF1" w:rsidP="00F82DF1">
      <w:pPr>
        <w:spacing w:before="0" w:after="200" w:line="276" w:lineRule="auto"/>
      </w:pPr>
    </w:p>
    <w:p w:rsidR="00F82DF1" w:rsidRDefault="00CF31F0" w:rsidP="00F82DF1">
      <w:pPr>
        <w:spacing w:before="0" w:after="200" w:line="276" w:lineRule="auto"/>
      </w:pPr>
      <w:r w:rsidRPr="005648B4">
        <w:rPr>
          <w:noProof/>
        </w:rPr>
        <mc:AlternateContent>
          <mc:Choice Requires="wps">
            <w:drawing>
              <wp:anchor distT="0" distB="0" distL="114300" distR="114300" simplePos="0" relativeHeight="251878400" behindDoc="0" locked="0" layoutInCell="1" allowOverlap="1" wp14:anchorId="39D6E1B9" wp14:editId="039E4D94">
                <wp:simplePos x="0" y="0"/>
                <wp:positionH relativeFrom="column">
                  <wp:posOffset>1874520</wp:posOffset>
                </wp:positionH>
                <wp:positionV relativeFrom="paragraph">
                  <wp:posOffset>305435</wp:posOffset>
                </wp:positionV>
                <wp:extent cx="899160" cy="464820"/>
                <wp:effectExtent l="0" t="0" r="15240" b="11430"/>
                <wp:wrapNone/>
                <wp:docPr id="81" name="Text Box 81"/>
                <wp:cNvGraphicFramePr/>
                <a:graphic xmlns:a="http://schemas.openxmlformats.org/drawingml/2006/main">
                  <a:graphicData uri="http://schemas.microsoft.com/office/word/2010/wordprocessingShape">
                    <wps:wsp>
                      <wps:cNvSpPr txBox="1"/>
                      <wps:spPr>
                        <a:xfrm>
                          <a:off x="0" y="0"/>
                          <a:ext cx="899160" cy="46482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F979A8" w:rsidRDefault="00205900" w:rsidP="00F82DF1">
                            <w:pPr>
                              <w:spacing w:after="0"/>
                              <w:jc w:val="center"/>
                              <w:rPr>
                                <w:sz w:val="16"/>
                                <w:szCs w:val="16"/>
                              </w:rPr>
                            </w:pPr>
                            <w:r w:rsidRPr="00CF31F0">
                              <w:rPr>
                                <w:sz w:val="18"/>
                                <w:szCs w:val="18"/>
                              </w:rPr>
                              <w:t>Weak actors in policy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6E1B9" id="Text Box 81" o:spid="_x0000_s1040" type="#_x0000_t202" style="position:absolute;margin-left:147.6pt;margin-top:24.05pt;width:70.8pt;height:36.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" fillcolor="#d8d8d8 [2732]" strokeweight=".5pt">
                <v:textbox>
                  <w:txbxContent>
                    <w:p w:rsidR="00205900" w:rsidRPr="00F979A8" w:rsidRDefault="00205900" w:rsidP="00F82DF1">
                      <w:pPr>
                        <w:spacing w:after="0"/>
                        <w:jc w:val="center"/>
                        <w:rPr>
                          <w:sz w:val="16"/>
                          <w:szCs w:val="16"/>
                        </w:rPr>
                      </w:pPr>
                      <w:r w:rsidRPr="00CF31F0">
                        <w:rPr>
                          <w:sz w:val="18"/>
                          <w:szCs w:val="18"/>
                        </w:rPr>
                        <w:t>Weak actors in policy making</w:t>
                      </w:r>
                    </w:p>
                  </w:txbxContent>
                </v:textbox>
              </v:shape>
            </w:pict>
          </mc:Fallback>
        </mc:AlternateContent>
      </w:r>
    </w:p>
    <w:p w:rsidR="00F82DF1" w:rsidRDefault="00F82DF1" w:rsidP="00F82DF1">
      <w:pPr>
        <w:spacing w:before="0" w:after="200" w:line="276" w:lineRule="auto"/>
      </w:pPr>
    </w:p>
    <w:p w:rsidR="00F82DF1" w:rsidRDefault="00F82DF1" w:rsidP="00F82DF1">
      <w:pPr>
        <w:spacing w:before="0" w:after="200" w:line="276" w:lineRule="auto"/>
      </w:pPr>
    </w:p>
    <w:p w:rsidR="00DD1EBE" w:rsidRDefault="00DD1EBE">
      <w:pPr>
        <w:rPr>
          <w:b/>
        </w:rPr>
      </w:pPr>
    </w:p>
    <w:p w:rsidR="00DB31DC" w:rsidRDefault="00795DA6" w:rsidP="00DB31DC">
      <w:pPr>
        <w:spacing w:before="0" w:after="200" w:line="276" w:lineRule="auto"/>
      </w:pPr>
      <w:r w:rsidRPr="00795DA6">
        <w:t>Policy analysis involves inventory of problems, prioritizing problems, selecting the most urgent at the moment, searching for alternative solutions, evaluating alternatives on the basis of agreed criteria and consultation with clients about potential candidate choice, preparation of position paper, feedback from client, final position paper, and decision on policy with time horizon for implementation and arrangements for monitoring and evaluation. The decision makers will use the information and analysis available to draft and adopt a policy (Land Policy) and/or draft and enact a law (Land Law).</w:t>
      </w:r>
    </w:p>
    <w:p w:rsidR="00DB31DC" w:rsidRPr="00835575" w:rsidRDefault="00DB31DC" w:rsidP="00DB31DC">
      <w:pPr>
        <w:spacing w:before="0" w:after="200" w:line="276" w:lineRule="auto"/>
      </w:pPr>
      <w:r w:rsidRPr="003E6BF2">
        <w:t xml:space="preserve">Political decision making is the sum of compromises. </w:t>
      </w:r>
      <w:r>
        <w:t xml:space="preserve">Unguided such compromises may lead to disastrous consequences. Succinct analysis of options avoids such pitfalls. </w:t>
      </w:r>
      <w:r w:rsidRPr="00DB31DC">
        <w:rPr>
          <w:bCs/>
          <w:color w:val="000000" w:themeColor="text1"/>
        </w:rPr>
        <w:t xml:space="preserve">Policy analysis includes the following characteristics: intervention or non-intervention, regulation or deregulation, open door or closed door policy, new barriers or removal of barriers, more transparency or less, distribution or concentration, decentralization or centralization, reform or retrogression, forward looking or static, radical or incremental, market friendly or otherwise, trade friendly or otherwise, growth only or inclusive growth and many others. </w:t>
      </w:r>
    </w:p>
    <w:p w:rsidR="00DB31DC" w:rsidRPr="001C1C19" w:rsidRDefault="00DB31DC" w:rsidP="00DB31DC">
      <w:pPr>
        <w:spacing w:before="0" w:after="200" w:line="276" w:lineRule="auto"/>
      </w:pPr>
      <w:r w:rsidRPr="00DB31DC">
        <w:rPr>
          <w:bCs/>
          <w:color w:val="000000" w:themeColor="text1"/>
        </w:rPr>
        <w:lastRenderedPageBreak/>
        <w:t xml:space="preserve">Policy analysis has an analytic phase and a political phase. Sound and rigorous policy analysis based on reliable data has to be vetted politically and has to remain politically feasible. Otherwise, policy will not work. In other words, clearly articulated policy alternatives have to be offered to decision makers for a political choice. Professional policy analysts consider among others cost and consequences in choosing alternatives. Political leaders apply judgment, political environment, political fallout, political wisdom and transparency and accountability. From start to finish of policy analysis many decisions are involved. What is needed? A new policy? Reform of the existing policy? Revision of the existing policy? Change of scope of the existing policy? An amendment or two of the existing policy? A complementary policy? Elaboration of the existing policy to ease implementation? What kind of action plan is required for the implementation phase? These and many other relevant questions have to be soberly pondered over before making moves. </w:t>
      </w:r>
    </w:p>
    <w:p w:rsidR="00F82DF1" w:rsidRPr="00DB31DC" w:rsidRDefault="00DB31DC" w:rsidP="00DB31DC">
      <w:pPr>
        <w:spacing w:before="0" w:after="200" w:line="276" w:lineRule="auto"/>
        <w:rPr>
          <w:b/>
        </w:rPr>
      </w:pPr>
      <w:r>
        <w:t>Policy analysis is important because it maximizes the potential for inclusive growth (Figure 4</w:t>
      </w:r>
      <w:r w:rsidR="007F2CA8">
        <w:t>4</w:t>
      </w:r>
      <w:r>
        <w:t xml:space="preserve">). Public policy affects nearly all aspects of life irrespective of the level at which policy decisions are taken. Political and business leaders alike trigger sound policy analysis with the firm belief that it will lead to actions contributing to growth of income, wages and profit. Policy makers and business leaders are always confronted with constraints and problems as they pursue growth and/or political objectives. They seek the most cost effective solutions with minimum or no damage to the client base. Their concerns arise from market signal and public discussion and debate. Both market and people place demand on leaders to come up with policies that would alleviate difficulties arising from a particular constellation of factors. Policy analysis will find the optimal path to realize vision and mission 2041, achieve objectives and reach set targets. Using the SEIP platform the Government has initiated a </w:t>
      </w:r>
      <w:r w:rsidRPr="007D3E1B">
        <w:rPr>
          <w:snapToGrid w:val="0"/>
        </w:rPr>
        <w:t xml:space="preserve">training program on policy analysis for executives at the Bangladesh Institute for Governance and Management (BIGM) </w:t>
      </w:r>
      <w:r>
        <w:rPr>
          <w:snapToGrid w:val="0"/>
        </w:rPr>
        <w:t xml:space="preserve">which </w:t>
      </w:r>
      <w:r w:rsidRPr="007D3E1B">
        <w:rPr>
          <w:snapToGrid w:val="0"/>
        </w:rPr>
        <w:t xml:space="preserve">is intended to be a sound learning experience empowering participants to formulate, apply and evaluate policies. </w:t>
      </w:r>
      <w:r w:rsidRPr="007D3E1B">
        <w:t>The learning module comprises basic disciplines and sector specialization. Formulation involves studying the field and policy case stud</w:t>
      </w:r>
      <w:r>
        <w:t>ies</w:t>
      </w:r>
      <w:r w:rsidRPr="007D3E1B">
        <w:t>. Application and evaluation follows.</w:t>
      </w:r>
      <w:r w:rsidR="00B6054D">
        <w:t xml:space="preserve"> For Vision 2041 this policy analysis training program should be expanded at BIGM and in leading partner universities.</w:t>
      </w:r>
      <w:r w:rsidR="00F82DF1" w:rsidRPr="00DB31DC">
        <w:rPr>
          <w:b/>
        </w:rPr>
        <w:br w:type="page"/>
      </w:r>
    </w:p>
    <w:p w:rsidR="00BD2AC7" w:rsidRDefault="00BD2AC7" w:rsidP="008F30F5">
      <w:pPr>
        <w:tabs>
          <w:tab w:val="center" w:pos="4680"/>
        </w:tabs>
      </w:pPr>
      <w:r>
        <w:rPr>
          <w:noProof/>
        </w:rPr>
        <w:lastRenderedPageBreak/>
        <mc:AlternateContent>
          <mc:Choice Requires="wps">
            <w:drawing>
              <wp:anchor distT="0" distB="0" distL="114300" distR="114300" simplePos="0" relativeHeight="251919360" behindDoc="1" locked="0" layoutInCell="1" allowOverlap="1" wp14:anchorId="3281ECAF" wp14:editId="3D61C9CB">
                <wp:simplePos x="0" y="0"/>
                <wp:positionH relativeFrom="margin">
                  <wp:posOffset>22860</wp:posOffset>
                </wp:positionH>
                <wp:positionV relativeFrom="paragraph">
                  <wp:posOffset>114300</wp:posOffset>
                </wp:positionV>
                <wp:extent cx="5905500" cy="6918960"/>
                <wp:effectExtent l="0" t="0" r="19050" b="15240"/>
                <wp:wrapNone/>
                <wp:docPr id="121" name="Oval 121"/>
                <wp:cNvGraphicFramePr/>
                <a:graphic xmlns:a="http://schemas.openxmlformats.org/drawingml/2006/main">
                  <a:graphicData uri="http://schemas.microsoft.com/office/word/2010/wordprocessingShape">
                    <wps:wsp>
                      <wps:cNvSpPr/>
                      <wps:spPr>
                        <a:xfrm>
                          <a:off x="0" y="0"/>
                          <a:ext cx="5905500" cy="6918960"/>
                        </a:xfrm>
                        <a:prstGeom prst="ellipse">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55973" id="Oval 121" o:spid="_x0000_s1026" style="position:absolute;margin-left:1.8pt;margin-top:9pt;width:465pt;height:544.8pt;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" fillcolor="#80ff80" strokecolor="#243f60 [1604]" strokeweight="2pt">
                <v:fill color2="#daffda" rotate="t" colors="0 #80ff80;.5 #b3ffb3;1 #daffda" focus="100%" type="gradient"/>
                <w10:wrap anchorx="margin"/>
              </v:oval>
            </w:pict>
          </mc:Fallback>
        </mc:AlternateContent>
      </w:r>
      <w:r w:rsidR="008F30F5">
        <w:t xml:space="preserve">                            </w:t>
      </w:r>
    </w:p>
    <w:p w:rsidR="00BD2AC7" w:rsidRDefault="00BD2AC7" w:rsidP="008F30F5">
      <w:pPr>
        <w:tabs>
          <w:tab w:val="center" w:pos="4680"/>
        </w:tabs>
      </w:pPr>
    </w:p>
    <w:p w:rsidR="00BD2AC7" w:rsidRDefault="008F30F5" w:rsidP="008F30F5">
      <w:pPr>
        <w:tabs>
          <w:tab w:val="center" w:pos="4680"/>
        </w:tabs>
      </w:pPr>
      <w:r>
        <w:t xml:space="preserve"> </w:t>
      </w:r>
      <w:r w:rsidR="00BD2AC7">
        <w:t xml:space="preserve">                                   </w:t>
      </w:r>
    </w:p>
    <w:p w:rsidR="008F30F5" w:rsidRPr="005648B4" w:rsidRDefault="00BD2AC7" w:rsidP="008F30F5">
      <w:pPr>
        <w:tabs>
          <w:tab w:val="center" w:pos="4680"/>
        </w:tabs>
      </w:pPr>
      <w:r>
        <w:t xml:space="preserve">                                    </w:t>
      </w:r>
      <w:r w:rsidR="008F30F5">
        <w:rPr>
          <w:b/>
        </w:rPr>
        <w:t xml:space="preserve">Figure </w:t>
      </w:r>
      <w:r>
        <w:rPr>
          <w:b/>
        </w:rPr>
        <w:t>4</w:t>
      </w:r>
      <w:r w:rsidR="007F2CA8">
        <w:rPr>
          <w:b/>
        </w:rPr>
        <w:t>4</w:t>
      </w:r>
      <w:r w:rsidR="008F30F5">
        <w:rPr>
          <w:b/>
        </w:rPr>
        <w:t>: Why is sound policy analysis important?</w:t>
      </w:r>
      <w:r w:rsidR="008F30F5">
        <w:t xml:space="preserve"> </w:t>
      </w:r>
    </w:p>
    <w:p w:rsidR="008F30F5" w:rsidRDefault="00BD2AC7" w:rsidP="008F30F5">
      <w:r>
        <w:rPr>
          <w:noProof/>
        </w:rPr>
        <mc:AlternateContent>
          <mc:Choice Requires="wps">
            <w:drawing>
              <wp:anchor distT="0" distB="0" distL="114300" distR="114300" simplePos="0" relativeHeight="251886592" behindDoc="0" locked="0" layoutInCell="1" allowOverlap="1" wp14:anchorId="04A93B77" wp14:editId="6B5B01E5">
                <wp:simplePos x="0" y="0"/>
                <wp:positionH relativeFrom="column">
                  <wp:posOffset>2545080</wp:posOffset>
                </wp:positionH>
                <wp:positionV relativeFrom="paragraph">
                  <wp:posOffset>15240</wp:posOffset>
                </wp:positionV>
                <wp:extent cx="906780" cy="335280"/>
                <wp:effectExtent l="0" t="0" r="26670" b="26670"/>
                <wp:wrapNone/>
                <wp:docPr id="88" name="Text Box 88"/>
                <wp:cNvGraphicFramePr/>
                <a:graphic xmlns:a="http://schemas.openxmlformats.org/drawingml/2006/main">
                  <a:graphicData uri="http://schemas.microsoft.com/office/word/2010/wordprocessingShape">
                    <wps:wsp>
                      <wps:cNvSpPr txBox="1"/>
                      <wps:spPr>
                        <a:xfrm>
                          <a:off x="0" y="0"/>
                          <a:ext cx="906780" cy="33528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B6054D">
                            <w:pPr>
                              <w:spacing w:before="0" w:after="0"/>
                              <w:jc w:val="center"/>
                              <w:rPr>
                                <w:sz w:val="18"/>
                                <w:szCs w:val="18"/>
                              </w:rPr>
                            </w:pPr>
                            <w:r w:rsidRPr="00B6054D">
                              <w:rPr>
                                <w:sz w:val="18"/>
                                <w:szCs w:val="18"/>
                              </w:rPr>
                              <w:t>Realize vision 2041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93B77" id="Text Box 88" o:spid="_x0000_s1041" type="#_x0000_t202" style="position:absolute;margin-left:200.4pt;margin-top:1.2pt;width:71.4pt;height:26.4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" fillcolor="#ffe497" strokeweight=".5pt">
                <v:fill color2="#fff5df" rotate="t" colors="0 #ffe497;.5 #ffecbf;1 #fff5df" focus="100%" type="gradient"/>
                <v:textbox>
                  <w:txbxContent>
                    <w:p w:rsidR="00205900" w:rsidRPr="00B6054D" w:rsidRDefault="00205900" w:rsidP="00B6054D">
                      <w:pPr>
                        <w:spacing w:before="0" w:after="0"/>
                        <w:jc w:val="center"/>
                        <w:rPr>
                          <w:sz w:val="18"/>
                          <w:szCs w:val="18"/>
                        </w:rPr>
                      </w:pPr>
                      <w:r w:rsidRPr="00B6054D">
                        <w:rPr>
                          <w:sz w:val="18"/>
                          <w:szCs w:val="18"/>
                        </w:rPr>
                        <w:t>Realize vision 2041</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522074FE" wp14:editId="4235039F">
                <wp:simplePos x="0" y="0"/>
                <wp:positionH relativeFrom="column">
                  <wp:posOffset>891540</wp:posOffset>
                </wp:positionH>
                <wp:positionV relativeFrom="paragraph">
                  <wp:posOffset>182245</wp:posOffset>
                </wp:positionV>
                <wp:extent cx="1356360" cy="701040"/>
                <wp:effectExtent l="0" t="0" r="15240" b="22860"/>
                <wp:wrapNone/>
                <wp:docPr id="89" name="Text Box 89"/>
                <wp:cNvGraphicFramePr/>
                <a:graphic xmlns:a="http://schemas.openxmlformats.org/drawingml/2006/main">
                  <a:graphicData uri="http://schemas.microsoft.com/office/word/2010/wordprocessingShape">
                    <wps:wsp>
                      <wps:cNvSpPr txBox="1"/>
                      <wps:spPr>
                        <a:xfrm>
                          <a:off x="0" y="0"/>
                          <a:ext cx="1356360" cy="70104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Provide a sound basis for rational discussion and debate and informed decision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74FE" id="Text Box 89" o:spid="_x0000_s1042" type="#_x0000_t202" style="position:absolute;margin-left:70.2pt;margin-top:14.35pt;width:106.8pt;height:55.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Provide a sound basis for rational discussion and debate and informed decision making</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6BE5DF76" wp14:editId="6CBAAEB2">
                <wp:simplePos x="0" y="0"/>
                <wp:positionH relativeFrom="column">
                  <wp:posOffset>3886200</wp:posOffset>
                </wp:positionH>
                <wp:positionV relativeFrom="paragraph">
                  <wp:posOffset>347980</wp:posOffset>
                </wp:positionV>
                <wp:extent cx="906780" cy="396240"/>
                <wp:effectExtent l="0" t="0" r="26670" b="22860"/>
                <wp:wrapNone/>
                <wp:docPr id="92" name="Text Box 92"/>
                <wp:cNvGraphicFramePr/>
                <a:graphic xmlns:a="http://schemas.openxmlformats.org/drawingml/2006/main">
                  <a:graphicData uri="http://schemas.microsoft.com/office/word/2010/wordprocessingShape">
                    <wps:wsp>
                      <wps:cNvSpPr txBox="1"/>
                      <wps:spPr>
                        <a:xfrm>
                          <a:off x="0" y="0"/>
                          <a:ext cx="906780" cy="39624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B6054D">
                            <w:pPr>
                              <w:spacing w:before="0"/>
                              <w:jc w:val="center"/>
                              <w:rPr>
                                <w:sz w:val="18"/>
                                <w:szCs w:val="18"/>
                              </w:rPr>
                            </w:pPr>
                            <w:r w:rsidRPr="00B6054D">
                              <w:rPr>
                                <w:sz w:val="18"/>
                                <w:szCs w:val="18"/>
                              </w:rPr>
                              <w:t>Achieve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5DF76" id="Text Box 92" o:spid="_x0000_s1043" type="#_x0000_t202" style="position:absolute;margin-left:306pt;margin-top:27.4pt;width:71.4pt;height:31.2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" fillcolor="#ffe497" strokeweight=".5pt">
                <v:fill color2="#fff5df" rotate="t" angle="315" colors="0 #ffe497;.5 #ffecbf;1 #fff5df" focus="100%" type="gradient"/>
                <v:textbox>
                  <w:txbxContent>
                    <w:p w:rsidR="00205900" w:rsidRPr="00B6054D" w:rsidRDefault="00205900" w:rsidP="00B6054D">
                      <w:pPr>
                        <w:spacing w:before="0"/>
                        <w:jc w:val="center"/>
                        <w:rPr>
                          <w:sz w:val="18"/>
                          <w:szCs w:val="18"/>
                        </w:rPr>
                      </w:pPr>
                      <w:r w:rsidRPr="00B6054D">
                        <w:rPr>
                          <w:sz w:val="18"/>
                          <w:szCs w:val="18"/>
                        </w:rPr>
                        <w:t>Achieve objectives</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5F6FD820" wp14:editId="60C3360A">
                <wp:simplePos x="0" y="0"/>
                <wp:positionH relativeFrom="column">
                  <wp:posOffset>3703320</wp:posOffset>
                </wp:positionH>
                <wp:positionV relativeFrom="paragraph">
                  <wp:posOffset>1458595</wp:posOffset>
                </wp:positionV>
                <wp:extent cx="1028700" cy="701040"/>
                <wp:effectExtent l="38100" t="0" r="19050" b="60960"/>
                <wp:wrapNone/>
                <wp:docPr id="99" name="Straight Arrow Connector 99"/>
                <wp:cNvGraphicFramePr/>
                <a:graphic xmlns:a="http://schemas.openxmlformats.org/drawingml/2006/main">
                  <a:graphicData uri="http://schemas.microsoft.com/office/word/2010/wordprocessingShape">
                    <wps:wsp>
                      <wps:cNvCnPr/>
                      <wps:spPr>
                        <a:xfrm flipH="1">
                          <a:off x="0" y="0"/>
                          <a:ext cx="1028700" cy="701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3C7AB" id="Straight Arrow Connector 99" o:spid="_x0000_s1026" type="#_x0000_t32" style="position:absolute;margin-left:291.6pt;margin-top:114.85pt;width:81pt;height:55.2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" strokecolor="black [3213]">
                <v:stroke endarrow="open"/>
              </v:shape>
            </w:pict>
          </mc:Fallback>
        </mc:AlternateContent>
      </w:r>
      <w:r>
        <w:rPr>
          <w:noProof/>
        </w:rPr>
        <mc:AlternateContent>
          <mc:Choice Requires="wps">
            <w:drawing>
              <wp:anchor distT="0" distB="0" distL="114300" distR="114300" simplePos="0" relativeHeight="251890688" behindDoc="0" locked="0" layoutInCell="1" allowOverlap="1" wp14:anchorId="35D517A5" wp14:editId="4AF8EFC1">
                <wp:simplePos x="0" y="0"/>
                <wp:positionH relativeFrom="column">
                  <wp:posOffset>4815840</wp:posOffset>
                </wp:positionH>
                <wp:positionV relativeFrom="paragraph">
                  <wp:posOffset>2034540</wp:posOffset>
                </wp:positionV>
                <wp:extent cx="906780" cy="281940"/>
                <wp:effectExtent l="0" t="0" r="26670" b="22860"/>
                <wp:wrapNone/>
                <wp:docPr id="102" name="Text Box 102"/>
                <wp:cNvGraphicFramePr/>
                <a:graphic xmlns:a="http://schemas.openxmlformats.org/drawingml/2006/main">
                  <a:graphicData uri="http://schemas.microsoft.com/office/word/2010/wordprocessingShape">
                    <wps:wsp>
                      <wps:cNvSpPr txBox="1"/>
                      <wps:spPr>
                        <a:xfrm>
                          <a:off x="0" y="0"/>
                          <a:ext cx="906780" cy="28194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spacing w:before="60" w:after="60"/>
                              <w:jc w:val="center"/>
                              <w:rPr>
                                <w:sz w:val="18"/>
                                <w:szCs w:val="18"/>
                              </w:rPr>
                            </w:pPr>
                            <w:r w:rsidRPr="00B6054D">
                              <w:rPr>
                                <w:sz w:val="18"/>
                                <w:szCs w:val="18"/>
                              </w:rPr>
                              <w:t>Avoid conflict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517A5" id="Text Box 102" o:spid="_x0000_s1044" type="#_x0000_t202" style="position:absolute;margin-left:379.2pt;margin-top:160.2pt;width:71.4pt;height:22.2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" fillcolor="#ffe497" strokeweight=".5pt">
                <v:fill color2="#fff5df" rotate="t" angle="315" colors="0 #ffe497;.5 #ffecbf;1 #fff5df" focus="100%" type="gradient"/>
                <v:textbox>
                  <w:txbxContent>
                    <w:p w:rsidR="00205900" w:rsidRPr="00B6054D" w:rsidRDefault="00205900" w:rsidP="008F30F5">
                      <w:pPr>
                        <w:spacing w:before="60" w:after="60"/>
                        <w:jc w:val="center"/>
                        <w:rPr>
                          <w:sz w:val="18"/>
                          <w:szCs w:val="18"/>
                        </w:rPr>
                      </w:pPr>
                      <w:r w:rsidRPr="00B6054D">
                        <w:rPr>
                          <w:sz w:val="18"/>
                          <w:szCs w:val="18"/>
                        </w:rPr>
                        <w:t>Avoid conflict</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4B129EA6" wp14:editId="245D107C">
                <wp:simplePos x="0" y="0"/>
                <wp:positionH relativeFrom="column">
                  <wp:posOffset>3886200</wp:posOffset>
                </wp:positionH>
                <wp:positionV relativeFrom="paragraph">
                  <wp:posOffset>2165985</wp:posOffset>
                </wp:positionV>
                <wp:extent cx="929640" cy="335280"/>
                <wp:effectExtent l="38100" t="0" r="22860" b="83820"/>
                <wp:wrapNone/>
                <wp:docPr id="103" name="Straight Arrow Connector 103"/>
                <wp:cNvGraphicFramePr/>
                <a:graphic xmlns:a="http://schemas.openxmlformats.org/drawingml/2006/main">
                  <a:graphicData uri="http://schemas.microsoft.com/office/word/2010/wordprocessingShape">
                    <wps:wsp>
                      <wps:cNvCnPr/>
                      <wps:spPr>
                        <a:xfrm flipH="1">
                          <a:off x="0" y="0"/>
                          <a:ext cx="929640" cy="3352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B5562" id="Straight Arrow Connector 103" o:spid="_x0000_s1026" type="#_x0000_t32" style="position:absolute;margin-left:306pt;margin-top:170.55pt;width:73.2pt;height:26.4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" strokecolor="black [3213]">
                <v:stroke endarrow="open"/>
              </v:shape>
            </w:pict>
          </mc:Fallback>
        </mc:AlternateContent>
      </w:r>
      <w:r>
        <w:rPr>
          <w:noProof/>
        </w:rPr>
        <mc:AlternateContent>
          <mc:Choice Requires="wps">
            <w:drawing>
              <wp:anchor distT="0" distB="0" distL="114300" distR="114300" simplePos="0" relativeHeight="251910144" behindDoc="0" locked="0" layoutInCell="1" allowOverlap="1" wp14:anchorId="214E3825" wp14:editId="50CCA7C6">
                <wp:simplePos x="0" y="0"/>
                <wp:positionH relativeFrom="column">
                  <wp:posOffset>1676400</wp:posOffset>
                </wp:positionH>
                <wp:positionV relativeFrom="paragraph">
                  <wp:posOffset>2019935</wp:posOffset>
                </wp:positionV>
                <wp:extent cx="891540" cy="236220"/>
                <wp:effectExtent l="0" t="0" r="80010" b="87630"/>
                <wp:wrapNone/>
                <wp:docPr id="109" name="Straight Arrow Connector 109"/>
                <wp:cNvGraphicFramePr/>
                <a:graphic xmlns:a="http://schemas.openxmlformats.org/drawingml/2006/main">
                  <a:graphicData uri="http://schemas.microsoft.com/office/word/2010/wordprocessingShape">
                    <wps:wsp>
                      <wps:cNvCnPr/>
                      <wps:spPr>
                        <a:xfrm>
                          <a:off x="0" y="0"/>
                          <a:ext cx="891540" cy="2362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FA3B6" id="Straight Arrow Connector 109" o:spid="_x0000_s1026" type="#_x0000_t32" style="position:absolute;margin-left:132pt;margin-top:159.05pt;width:70.2pt;height:18.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" strokecolor="black [3213]">
                <v:stroke endarrow="open"/>
              </v:shape>
            </w:pict>
          </mc:Fallback>
        </mc:AlternateContent>
      </w:r>
      <w:r>
        <w:rPr>
          <w:noProof/>
        </w:rPr>
        <mc:AlternateContent>
          <mc:Choice Requires="wps">
            <w:drawing>
              <wp:anchor distT="0" distB="0" distL="114300" distR="114300" simplePos="0" relativeHeight="251898880" behindDoc="0" locked="0" layoutInCell="1" allowOverlap="1" wp14:anchorId="564D49F2" wp14:editId="6E1A9BC8">
                <wp:simplePos x="0" y="0"/>
                <wp:positionH relativeFrom="margin">
                  <wp:posOffset>167640</wp:posOffset>
                </wp:positionH>
                <wp:positionV relativeFrom="paragraph">
                  <wp:posOffset>1767205</wp:posOffset>
                </wp:positionV>
                <wp:extent cx="1508760" cy="563880"/>
                <wp:effectExtent l="0" t="0" r="15240" b="26670"/>
                <wp:wrapNone/>
                <wp:docPr id="110" name="Text Box 110"/>
                <wp:cNvGraphicFramePr/>
                <a:graphic xmlns:a="http://schemas.openxmlformats.org/drawingml/2006/main">
                  <a:graphicData uri="http://schemas.microsoft.com/office/word/2010/wordprocessingShape">
                    <wps:wsp>
                      <wps:cNvSpPr txBox="1"/>
                      <wps:spPr>
                        <a:xfrm>
                          <a:off x="0" y="0"/>
                          <a:ext cx="1508760" cy="56388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Understand constraints and ways to remove/release such constraints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D49F2" id="Text Box 110" o:spid="_x0000_s1045" type="#_x0000_t202" style="position:absolute;margin-left:13.2pt;margin-top:139.15pt;width:118.8pt;height:44.4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Understand constraints and ways to remove/release such constraints</w:t>
                      </w:r>
                    </w:p>
                  </w:txbxContent>
                </v:textbox>
                <w10:wrap anchorx="margin"/>
              </v:shape>
            </w:pict>
          </mc:Fallback>
        </mc:AlternateContent>
      </w:r>
      <w:r>
        <w:rPr>
          <w:noProof/>
        </w:rPr>
        <mc:AlternateContent>
          <mc:Choice Requires="wps">
            <w:drawing>
              <wp:anchor distT="0" distB="0" distL="114300" distR="114300" simplePos="0" relativeHeight="251896832" behindDoc="0" locked="0" layoutInCell="1" allowOverlap="1" wp14:anchorId="205B9920" wp14:editId="750E16CC">
                <wp:simplePos x="0" y="0"/>
                <wp:positionH relativeFrom="column">
                  <wp:posOffset>487680</wp:posOffset>
                </wp:positionH>
                <wp:positionV relativeFrom="paragraph">
                  <wp:posOffset>3613785</wp:posOffset>
                </wp:positionV>
                <wp:extent cx="1165860" cy="493395"/>
                <wp:effectExtent l="0" t="0" r="15240" b="20955"/>
                <wp:wrapNone/>
                <wp:docPr id="118" name="Text Box 118"/>
                <wp:cNvGraphicFramePr/>
                <a:graphic xmlns:a="http://schemas.openxmlformats.org/drawingml/2006/main">
                  <a:graphicData uri="http://schemas.microsoft.com/office/word/2010/wordprocessingShape">
                    <wps:wsp>
                      <wps:cNvSpPr txBox="1"/>
                      <wps:spPr>
                        <a:xfrm>
                          <a:off x="0" y="0"/>
                          <a:ext cx="1165860" cy="493395"/>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spacing w:before="60" w:after="60"/>
                              <w:jc w:val="center"/>
                              <w:rPr>
                                <w:sz w:val="18"/>
                                <w:szCs w:val="18"/>
                              </w:rPr>
                            </w:pPr>
                            <w:r w:rsidRPr="00B6054D">
                              <w:rPr>
                                <w:sz w:val="18"/>
                                <w:szCs w:val="18"/>
                              </w:rPr>
                              <w:t>Introduce necessary institutional 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9920" id="Text Box 118" o:spid="_x0000_s1046" type="#_x0000_t202" style="position:absolute;margin-left:38.4pt;margin-top:284.55pt;width:91.8pt;height:38.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" fillcolor="#ffe497" strokeweight=".5pt">
                <v:fill color2="#fff5df" rotate="t" angle="315" colors="0 #ffe497;.5 #ffecbf;1 #fff5df" focus="100%" type="gradient"/>
                <v:textbox>
                  <w:txbxContent>
                    <w:p w:rsidR="00205900" w:rsidRPr="00B6054D" w:rsidRDefault="00205900" w:rsidP="008F30F5">
                      <w:pPr>
                        <w:spacing w:before="60" w:after="60"/>
                        <w:jc w:val="center"/>
                        <w:rPr>
                          <w:sz w:val="18"/>
                          <w:szCs w:val="18"/>
                        </w:rPr>
                      </w:pPr>
                      <w:r w:rsidRPr="00B6054D">
                        <w:rPr>
                          <w:sz w:val="18"/>
                          <w:szCs w:val="18"/>
                        </w:rPr>
                        <w:t>Introduce necessary institutional reforms</w:t>
                      </w:r>
                    </w:p>
                  </w:txbxContent>
                </v:textbox>
              </v:shape>
            </w:pict>
          </mc:Fallback>
        </mc:AlternateContent>
      </w:r>
    </w:p>
    <w:p w:rsidR="008F30F5" w:rsidRPr="00843FF1" w:rsidRDefault="00B6054D" w:rsidP="008F30F5">
      <w:r>
        <w:rPr>
          <w:noProof/>
        </w:rPr>
        <mc:AlternateContent>
          <mc:Choice Requires="wps">
            <w:drawing>
              <wp:anchor distT="0" distB="0" distL="114300" distR="114300" simplePos="0" relativeHeight="251908096" behindDoc="0" locked="0" layoutInCell="1" allowOverlap="1" wp14:anchorId="05416AB9" wp14:editId="39A7E17F">
                <wp:simplePos x="0" y="0"/>
                <wp:positionH relativeFrom="column">
                  <wp:posOffset>2247900</wp:posOffset>
                </wp:positionH>
                <wp:positionV relativeFrom="paragraph">
                  <wp:posOffset>251460</wp:posOffset>
                </wp:positionV>
                <wp:extent cx="640080" cy="1531620"/>
                <wp:effectExtent l="0" t="0" r="83820" b="49530"/>
                <wp:wrapNone/>
                <wp:docPr id="91" name="Straight Arrow Connector 91"/>
                <wp:cNvGraphicFramePr/>
                <a:graphic xmlns:a="http://schemas.openxmlformats.org/drawingml/2006/main">
                  <a:graphicData uri="http://schemas.microsoft.com/office/word/2010/wordprocessingShape">
                    <wps:wsp>
                      <wps:cNvCnPr/>
                      <wps:spPr>
                        <a:xfrm>
                          <a:off x="0" y="0"/>
                          <a:ext cx="640080" cy="1531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7AFE7" id="Straight Arrow Connector 91" o:spid="_x0000_s1026" type="#_x0000_t32" style="position:absolute;margin-left:177pt;margin-top:19.8pt;width:50.4pt;height:120.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" strokecolor="black [3213]">
                <v:stroke endarrow="open"/>
              </v:shape>
            </w:pict>
          </mc:Fallback>
        </mc:AlternateContent>
      </w:r>
      <w:r>
        <w:rPr>
          <w:noProof/>
        </w:rPr>
        <mc:AlternateContent>
          <mc:Choice Requires="wps">
            <w:drawing>
              <wp:anchor distT="0" distB="0" distL="114300" distR="114300" simplePos="0" relativeHeight="251907072" behindDoc="0" locked="0" layoutInCell="1" allowOverlap="1" wp14:anchorId="78829801" wp14:editId="450E5A85">
                <wp:simplePos x="0" y="0"/>
                <wp:positionH relativeFrom="column">
                  <wp:posOffset>3025140</wp:posOffset>
                </wp:positionH>
                <wp:positionV relativeFrom="paragraph">
                  <wp:posOffset>96520</wp:posOffset>
                </wp:positionV>
                <wp:extent cx="106680" cy="1638300"/>
                <wp:effectExtent l="0" t="0" r="83820" b="57150"/>
                <wp:wrapNone/>
                <wp:docPr id="90" name="Straight Arrow Connector 90"/>
                <wp:cNvGraphicFramePr/>
                <a:graphic xmlns:a="http://schemas.openxmlformats.org/drawingml/2006/main">
                  <a:graphicData uri="http://schemas.microsoft.com/office/word/2010/wordprocessingShape">
                    <wps:wsp>
                      <wps:cNvCnPr/>
                      <wps:spPr>
                        <a:xfrm>
                          <a:off x="0" y="0"/>
                          <a:ext cx="106680" cy="163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93C5B" id="Straight Arrow Connector 90" o:spid="_x0000_s1026" type="#_x0000_t32" style="position:absolute;margin-left:238.2pt;margin-top:7.6pt;width:8.4pt;height:12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" strokecolor="black [3213]">
                <v:stroke endarrow="open"/>
              </v:shape>
            </w:pict>
          </mc:Fallback>
        </mc:AlternateContent>
      </w:r>
    </w:p>
    <w:p w:rsidR="008F30F5" w:rsidRPr="00843FF1" w:rsidRDefault="008F30F5" w:rsidP="008F30F5">
      <w:r>
        <w:rPr>
          <w:noProof/>
        </w:rPr>
        <mc:AlternateContent>
          <mc:Choice Requires="wps">
            <w:drawing>
              <wp:anchor distT="0" distB="0" distL="114300" distR="114300" simplePos="0" relativeHeight="251906048" behindDoc="0" locked="0" layoutInCell="1" allowOverlap="1" wp14:anchorId="52B37968" wp14:editId="4A45637F">
                <wp:simplePos x="0" y="0"/>
                <wp:positionH relativeFrom="column">
                  <wp:posOffset>3299460</wp:posOffset>
                </wp:positionH>
                <wp:positionV relativeFrom="paragraph">
                  <wp:posOffset>58420</wp:posOffset>
                </wp:positionV>
                <wp:extent cx="586740" cy="1424940"/>
                <wp:effectExtent l="57150" t="0" r="22860" b="60960"/>
                <wp:wrapNone/>
                <wp:docPr id="93" name="Straight Arrow Connector 93"/>
                <wp:cNvGraphicFramePr/>
                <a:graphic xmlns:a="http://schemas.openxmlformats.org/drawingml/2006/main">
                  <a:graphicData uri="http://schemas.microsoft.com/office/word/2010/wordprocessingShape">
                    <wps:wsp>
                      <wps:cNvCnPr/>
                      <wps:spPr>
                        <a:xfrm flipH="1">
                          <a:off x="0" y="0"/>
                          <a:ext cx="586740" cy="1424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60C9E" id="Straight Arrow Connector 93" o:spid="_x0000_s1026" type="#_x0000_t32" style="position:absolute;margin-left:259.8pt;margin-top:4.6pt;width:46.2pt;height:112.2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" strokecolor="black [3213]">
                <v:stroke endarrow="open"/>
              </v:shape>
            </w:pict>
          </mc:Fallback>
        </mc:AlternateContent>
      </w:r>
    </w:p>
    <w:p w:rsidR="008F30F5" w:rsidRPr="00843FF1" w:rsidRDefault="008F30F5" w:rsidP="008F30F5">
      <w:r>
        <w:rPr>
          <w:noProof/>
        </w:rPr>
        <mc:AlternateContent>
          <mc:Choice Requires="wps">
            <w:drawing>
              <wp:anchor distT="0" distB="0" distL="114300" distR="114300" simplePos="0" relativeHeight="251888640" behindDoc="0" locked="0" layoutInCell="1" allowOverlap="1" wp14:anchorId="6306DB5F" wp14:editId="191ABC5B">
                <wp:simplePos x="0" y="0"/>
                <wp:positionH relativeFrom="column">
                  <wp:posOffset>4495800</wp:posOffset>
                </wp:positionH>
                <wp:positionV relativeFrom="paragraph">
                  <wp:posOffset>119380</wp:posOffset>
                </wp:positionV>
                <wp:extent cx="906780" cy="281940"/>
                <wp:effectExtent l="0" t="0" r="26670" b="22860"/>
                <wp:wrapNone/>
                <wp:docPr id="94" name="Text Box 94"/>
                <wp:cNvGraphicFramePr/>
                <a:graphic xmlns:a="http://schemas.openxmlformats.org/drawingml/2006/main">
                  <a:graphicData uri="http://schemas.microsoft.com/office/word/2010/wordprocessingShape">
                    <wps:wsp>
                      <wps:cNvSpPr txBox="1"/>
                      <wps:spPr>
                        <a:xfrm>
                          <a:off x="0" y="0"/>
                          <a:ext cx="906780" cy="28194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spacing w:before="60" w:after="60"/>
                              <w:jc w:val="center"/>
                              <w:rPr>
                                <w:sz w:val="18"/>
                                <w:szCs w:val="18"/>
                              </w:rPr>
                            </w:pPr>
                            <w:r w:rsidRPr="00B6054D">
                              <w:rPr>
                                <w:sz w:val="18"/>
                                <w:szCs w:val="18"/>
                              </w:rPr>
                              <w:t>Reach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6DB5F" id="Text Box 94" o:spid="_x0000_s1047" type="#_x0000_t202" style="position:absolute;margin-left:354pt;margin-top:9.4pt;width:71.4pt;height:22.2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" fillcolor="#ffe497" strokeweight=".5pt">
                <v:fill color2="#fff5df" rotate="t" angle="315" colors="0 #ffe497;.5 #ffecbf;1 #fff5df" focus="100%" type="gradient"/>
                <v:textbox>
                  <w:txbxContent>
                    <w:p w:rsidR="00205900" w:rsidRPr="00B6054D" w:rsidRDefault="00205900" w:rsidP="008F30F5">
                      <w:pPr>
                        <w:spacing w:before="60" w:after="60"/>
                        <w:jc w:val="center"/>
                        <w:rPr>
                          <w:sz w:val="18"/>
                          <w:szCs w:val="18"/>
                        </w:rPr>
                      </w:pPr>
                      <w:r w:rsidRPr="00B6054D">
                        <w:rPr>
                          <w:sz w:val="18"/>
                          <w:szCs w:val="18"/>
                        </w:rPr>
                        <w:t>Reach target</w:t>
                      </w:r>
                    </w:p>
                  </w:txbxContent>
                </v:textbox>
              </v:shape>
            </w:pict>
          </mc:Fallback>
        </mc:AlternateContent>
      </w:r>
    </w:p>
    <w:p w:rsidR="008F30F5" w:rsidRPr="00843FF1" w:rsidRDefault="00B6054D" w:rsidP="008F30F5">
      <w:r>
        <w:rPr>
          <w:noProof/>
        </w:rPr>
        <mc:AlternateContent>
          <mc:Choice Requires="wps">
            <w:drawing>
              <wp:anchor distT="0" distB="0" distL="114300" distR="114300" simplePos="0" relativeHeight="251899904" behindDoc="0" locked="0" layoutInCell="1" allowOverlap="1" wp14:anchorId="31B8B7AA" wp14:editId="166ACEF9">
                <wp:simplePos x="0" y="0"/>
                <wp:positionH relativeFrom="column">
                  <wp:posOffset>464820</wp:posOffset>
                </wp:positionH>
                <wp:positionV relativeFrom="paragraph">
                  <wp:posOffset>60960</wp:posOffset>
                </wp:positionV>
                <wp:extent cx="1424940" cy="586740"/>
                <wp:effectExtent l="0" t="0" r="22860" b="22860"/>
                <wp:wrapNone/>
                <wp:docPr id="97" name="Text Box 97"/>
                <wp:cNvGraphicFramePr/>
                <a:graphic xmlns:a="http://schemas.openxmlformats.org/drawingml/2006/main">
                  <a:graphicData uri="http://schemas.microsoft.com/office/word/2010/wordprocessingShape">
                    <wps:wsp>
                      <wps:cNvSpPr txBox="1"/>
                      <wps:spPr>
                        <a:xfrm>
                          <a:off x="0" y="0"/>
                          <a:ext cx="1424940" cy="58674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Assess winners and losers, the magnitude and mitigation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8B7AA" id="Text Box 97" o:spid="_x0000_s1048" type="#_x0000_t202" style="position:absolute;margin-left:36.6pt;margin-top:4.8pt;width:112.2pt;height:46.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Assess winners and losers, the magnitude and mitigation</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1A92F49C" wp14:editId="12BEC976">
                <wp:simplePos x="0" y="0"/>
                <wp:positionH relativeFrom="column">
                  <wp:posOffset>1889760</wp:posOffset>
                </wp:positionH>
                <wp:positionV relativeFrom="paragraph">
                  <wp:posOffset>251460</wp:posOffset>
                </wp:positionV>
                <wp:extent cx="784860" cy="883920"/>
                <wp:effectExtent l="0" t="0" r="72390" b="49530"/>
                <wp:wrapNone/>
                <wp:docPr id="96" name="Straight Arrow Connector 96"/>
                <wp:cNvGraphicFramePr/>
                <a:graphic xmlns:a="http://schemas.openxmlformats.org/drawingml/2006/main">
                  <a:graphicData uri="http://schemas.microsoft.com/office/word/2010/wordprocessingShape">
                    <wps:wsp>
                      <wps:cNvCnPr/>
                      <wps:spPr>
                        <a:xfrm>
                          <a:off x="0" y="0"/>
                          <a:ext cx="784860" cy="8839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ACB8F" id="Straight Arrow Connector 96" o:spid="_x0000_s1026" type="#_x0000_t32" style="position:absolute;margin-left:148.8pt;margin-top:19.8pt;width:61.8pt;height:69.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" strokecolor="black [3213]">
                <v:stroke endarrow="open"/>
              </v:shape>
            </w:pict>
          </mc:Fallback>
        </mc:AlternateContent>
      </w:r>
      <w:r w:rsidR="008F30F5">
        <w:rPr>
          <w:noProof/>
        </w:rPr>
        <mc:AlternateContent>
          <mc:Choice Requires="wps">
            <w:drawing>
              <wp:anchor distT="0" distB="0" distL="114300" distR="114300" simplePos="0" relativeHeight="251905024" behindDoc="0" locked="0" layoutInCell="1" allowOverlap="1" wp14:anchorId="3C435D9A" wp14:editId="7F6ABD73">
                <wp:simplePos x="0" y="0"/>
                <wp:positionH relativeFrom="column">
                  <wp:posOffset>3489960</wp:posOffset>
                </wp:positionH>
                <wp:positionV relativeFrom="paragraph">
                  <wp:posOffset>19050</wp:posOffset>
                </wp:positionV>
                <wp:extent cx="1005840" cy="1013460"/>
                <wp:effectExtent l="38100" t="0" r="22860" b="53340"/>
                <wp:wrapNone/>
                <wp:docPr id="95" name="Straight Arrow Connector 95"/>
                <wp:cNvGraphicFramePr/>
                <a:graphic xmlns:a="http://schemas.openxmlformats.org/drawingml/2006/main">
                  <a:graphicData uri="http://schemas.microsoft.com/office/word/2010/wordprocessingShape">
                    <wps:wsp>
                      <wps:cNvCnPr/>
                      <wps:spPr>
                        <a:xfrm flipH="1">
                          <a:off x="0" y="0"/>
                          <a:ext cx="1005840" cy="10134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B30CB" id="Straight Arrow Connector 95" o:spid="_x0000_s1026" type="#_x0000_t32" style="position:absolute;margin-left:274.8pt;margin-top:1.5pt;width:79.2pt;height:79.8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" strokecolor="black [3213]">
                <v:stroke endarrow="open"/>
              </v:shape>
            </w:pict>
          </mc:Fallback>
        </mc:AlternateContent>
      </w:r>
    </w:p>
    <w:p w:rsidR="008F30F5" w:rsidRPr="00843FF1" w:rsidRDefault="008F30F5" w:rsidP="008F30F5">
      <w:r>
        <w:rPr>
          <w:noProof/>
        </w:rPr>
        <mc:AlternateContent>
          <mc:Choice Requires="wps">
            <w:drawing>
              <wp:anchor distT="0" distB="0" distL="114300" distR="114300" simplePos="0" relativeHeight="251889664" behindDoc="0" locked="0" layoutInCell="1" allowOverlap="1" wp14:anchorId="3CF2E32F" wp14:editId="4D024609">
                <wp:simplePos x="0" y="0"/>
                <wp:positionH relativeFrom="column">
                  <wp:posOffset>4724400</wp:posOffset>
                </wp:positionH>
                <wp:positionV relativeFrom="paragraph">
                  <wp:posOffset>7620</wp:posOffset>
                </wp:positionV>
                <wp:extent cx="906780" cy="457200"/>
                <wp:effectExtent l="0" t="0" r="26670" b="19050"/>
                <wp:wrapNone/>
                <wp:docPr id="98" name="Text Box 98"/>
                <wp:cNvGraphicFramePr/>
                <a:graphic xmlns:a="http://schemas.openxmlformats.org/drawingml/2006/main">
                  <a:graphicData uri="http://schemas.microsoft.com/office/word/2010/wordprocessingShape">
                    <wps:wsp>
                      <wps:cNvSpPr txBox="1"/>
                      <wps:spPr>
                        <a:xfrm>
                          <a:off x="0" y="0"/>
                          <a:ext cx="906780" cy="45720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Find optimal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2E32F" id="Text Box 98" o:spid="_x0000_s1049" type="#_x0000_t202" style="position:absolute;margin-left:372pt;margin-top:.6pt;width:71.4pt;height:36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Find optimal path</w:t>
                      </w:r>
                    </w:p>
                  </w:txbxContent>
                </v:textbox>
              </v:shape>
            </w:pict>
          </mc:Fallback>
        </mc:AlternateContent>
      </w:r>
    </w:p>
    <w:p w:rsidR="008F30F5" w:rsidRPr="00843FF1" w:rsidRDefault="008F30F5" w:rsidP="008F30F5"/>
    <w:p w:rsidR="008F30F5" w:rsidRDefault="00111A23" w:rsidP="008F30F5">
      <w:r>
        <w:rPr>
          <w:noProof/>
        </w:rPr>
        <mc:AlternateContent>
          <mc:Choice Requires="wps">
            <w:drawing>
              <wp:anchor distT="0" distB="0" distL="114300" distR="114300" simplePos="0" relativeHeight="251921408" behindDoc="0" locked="0" layoutInCell="1" allowOverlap="1">
                <wp:simplePos x="0" y="0"/>
                <wp:positionH relativeFrom="column">
                  <wp:posOffset>2354580</wp:posOffset>
                </wp:positionH>
                <wp:positionV relativeFrom="paragraph">
                  <wp:posOffset>3870960</wp:posOffset>
                </wp:positionV>
                <wp:extent cx="1051560" cy="274320"/>
                <wp:effectExtent l="0" t="0" r="0" b="0"/>
                <wp:wrapNone/>
                <wp:docPr id="120" name="Rectangle 120"/>
                <wp:cNvGraphicFramePr/>
                <a:graphic xmlns:a="http://schemas.openxmlformats.org/drawingml/2006/main">
                  <a:graphicData uri="http://schemas.microsoft.com/office/word/2010/wordprocessingShape">
                    <wps:wsp>
                      <wps:cNvSpPr/>
                      <wps:spPr>
                        <a:xfrm>
                          <a:off x="0" y="0"/>
                          <a:ext cx="105156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5900" w:rsidRPr="00111A23" w:rsidRDefault="00205900" w:rsidP="00111A23">
                            <w:pPr>
                              <w:spacing w:before="0" w:after="0"/>
                              <w:jc w:val="center"/>
                              <w:rPr>
                                <w:color w:val="000000" w:themeColor="text1"/>
                              </w:rPr>
                            </w:pPr>
                            <w:r w:rsidRPr="00111A23">
                              <w:rPr>
                                <w:color w:val="000000" w:themeColor="text1"/>
                                <w:sz w:val="18"/>
                                <w:szCs w:val="18"/>
                              </w:rPr>
                              <w:t>Source</w:t>
                            </w:r>
                            <w:r>
                              <w:rPr>
                                <w:color w:val="000000" w:themeColor="text1"/>
                                <w:sz w:val="18"/>
                                <w:szCs w:val="18"/>
                              </w:rPr>
                              <w:t>: Author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0" o:spid="_x0000_s1050" style="position:absolute;margin-left:185.4pt;margin-top:304.8pt;width:82.8pt;height:21.6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" filled="f" stroked="f" strokeweight="2pt">
                <v:textbox>
                  <w:txbxContent>
                    <w:p w:rsidR="00205900" w:rsidRPr="00111A23" w:rsidRDefault="00205900" w:rsidP="00111A23">
                      <w:pPr>
                        <w:spacing w:before="0" w:after="0"/>
                        <w:jc w:val="center"/>
                        <w:rPr>
                          <w:color w:val="000000" w:themeColor="text1"/>
                        </w:rPr>
                      </w:pPr>
                      <w:r w:rsidRPr="00111A23">
                        <w:rPr>
                          <w:color w:val="000000" w:themeColor="text1"/>
                          <w:sz w:val="18"/>
                          <w:szCs w:val="18"/>
                        </w:rPr>
                        <w:t>Source</w:t>
                      </w:r>
                      <w:r>
                        <w:rPr>
                          <w:color w:val="000000" w:themeColor="text1"/>
                          <w:sz w:val="18"/>
                          <w:szCs w:val="18"/>
                        </w:rPr>
                        <w:t>: Author</w:t>
                      </w:r>
                    </w:p>
                  </w:txbxContent>
                </v:textbox>
              </v:rect>
            </w:pict>
          </mc:Fallback>
        </mc:AlternateContent>
      </w:r>
      <w:r w:rsidR="00B97E5F">
        <w:rPr>
          <w:noProof/>
        </w:rPr>
        <mc:AlternateContent>
          <mc:Choice Requires="wps">
            <w:drawing>
              <wp:anchor distT="0" distB="0" distL="114300" distR="114300" simplePos="0" relativeHeight="251911168" behindDoc="0" locked="0" layoutInCell="1" allowOverlap="1" wp14:anchorId="3DAFFA40" wp14:editId="2320389A">
                <wp:simplePos x="0" y="0"/>
                <wp:positionH relativeFrom="column">
                  <wp:posOffset>1623060</wp:posOffset>
                </wp:positionH>
                <wp:positionV relativeFrom="paragraph">
                  <wp:posOffset>914400</wp:posOffset>
                </wp:positionV>
                <wp:extent cx="891540" cy="419100"/>
                <wp:effectExtent l="0" t="38100" r="60960" b="19050"/>
                <wp:wrapNone/>
                <wp:docPr id="119" name="Straight Arrow Connector 119"/>
                <wp:cNvGraphicFramePr/>
                <a:graphic xmlns:a="http://schemas.openxmlformats.org/drawingml/2006/main">
                  <a:graphicData uri="http://schemas.microsoft.com/office/word/2010/wordprocessingShape">
                    <wps:wsp>
                      <wps:cNvCnPr/>
                      <wps:spPr>
                        <a:xfrm flipV="1">
                          <a:off x="0" y="0"/>
                          <a:ext cx="89154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3D5C7" id="Straight Arrow Connector 119" o:spid="_x0000_s1026" type="#_x0000_t32" style="position:absolute;margin-left:127.8pt;margin-top:1in;width:70.2pt;height:33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" strokecolor="black [3213]">
                <v:stroke endarrow="open"/>
              </v:shape>
            </w:pict>
          </mc:Fallback>
        </mc:AlternateContent>
      </w:r>
      <w:r w:rsidR="00B97E5F">
        <w:rPr>
          <w:noProof/>
        </w:rPr>
        <mc:AlternateContent>
          <mc:Choice Requires="wps">
            <w:drawing>
              <wp:anchor distT="0" distB="0" distL="114300" distR="114300" simplePos="0" relativeHeight="251897856" behindDoc="0" locked="0" layoutInCell="1" allowOverlap="1" wp14:anchorId="2468C417" wp14:editId="62376871">
                <wp:simplePos x="0" y="0"/>
                <wp:positionH relativeFrom="column">
                  <wp:posOffset>213360</wp:posOffset>
                </wp:positionH>
                <wp:positionV relativeFrom="paragraph">
                  <wp:posOffset>883920</wp:posOffset>
                </wp:positionV>
                <wp:extent cx="1409700" cy="845820"/>
                <wp:effectExtent l="0" t="0" r="19050" b="11430"/>
                <wp:wrapNone/>
                <wp:docPr id="117" name="Text Box 117"/>
                <wp:cNvGraphicFramePr/>
                <a:graphic xmlns:a="http://schemas.openxmlformats.org/drawingml/2006/main">
                  <a:graphicData uri="http://schemas.microsoft.com/office/word/2010/wordprocessingShape">
                    <wps:wsp>
                      <wps:cNvSpPr txBox="1"/>
                      <wps:spPr>
                        <a:xfrm>
                          <a:off x="0" y="0"/>
                          <a:ext cx="1409700" cy="84582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Design training program for manpower and skills necessary to deal with policy and institutional 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8C417" id="Text Box 117" o:spid="_x0000_s1051" type="#_x0000_t202" style="position:absolute;margin-left:16.8pt;margin-top:69.6pt;width:111pt;height:66.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Design training program for manpower and skills necessary to deal with policy and institutional reforms</w:t>
                      </w:r>
                    </w:p>
                  </w:txbxContent>
                </v:textbox>
              </v:shape>
            </w:pict>
          </mc:Fallback>
        </mc:AlternateContent>
      </w:r>
      <w:r w:rsidR="004D662D">
        <w:rPr>
          <w:noProof/>
        </w:rPr>
        <mc:AlternateContent>
          <mc:Choice Requires="wps">
            <w:drawing>
              <wp:anchor distT="0" distB="0" distL="114300" distR="114300" simplePos="0" relativeHeight="251913216" behindDoc="0" locked="0" layoutInCell="1" allowOverlap="1" wp14:anchorId="290890DA" wp14:editId="48A9C78C">
                <wp:simplePos x="0" y="0"/>
                <wp:positionH relativeFrom="column">
                  <wp:posOffset>3764280</wp:posOffset>
                </wp:positionH>
                <wp:positionV relativeFrom="paragraph">
                  <wp:posOffset>1029970</wp:posOffset>
                </wp:positionV>
                <wp:extent cx="723900" cy="260985"/>
                <wp:effectExtent l="38100" t="57150" r="19050" b="24765"/>
                <wp:wrapNone/>
                <wp:docPr id="114" name="Straight Arrow Connector 114"/>
                <wp:cNvGraphicFramePr/>
                <a:graphic xmlns:a="http://schemas.openxmlformats.org/drawingml/2006/main">
                  <a:graphicData uri="http://schemas.microsoft.com/office/word/2010/wordprocessingShape">
                    <wps:wsp>
                      <wps:cNvCnPr/>
                      <wps:spPr>
                        <a:xfrm flipH="1" flipV="1">
                          <a:off x="0" y="0"/>
                          <a:ext cx="723900" cy="260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EFB26" id="Straight Arrow Connector 114" o:spid="_x0000_s1026" type="#_x0000_t32" style="position:absolute;margin-left:296.4pt;margin-top:81.1pt;width:57pt;height:20.55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" strokecolor="black [3213]">
                <v:stroke endarrow="open"/>
              </v:shape>
            </w:pict>
          </mc:Fallback>
        </mc:AlternateContent>
      </w:r>
      <w:r w:rsidR="004D662D">
        <w:rPr>
          <w:noProof/>
        </w:rPr>
        <mc:AlternateContent>
          <mc:Choice Requires="wps">
            <w:drawing>
              <wp:anchor distT="0" distB="0" distL="114300" distR="114300" simplePos="0" relativeHeight="251912192" behindDoc="0" locked="0" layoutInCell="1" allowOverlap="1" wp14:anchorId="34592339" wp14:editId="5AA9019F">
                <wp:simplePos x="0" y="0"/>
                <wp:positionH relativeFrom="column">
                  <wp:posOffset>1653540</wp:posOffset>
                </wp:positionH>
                <wp:positionV relativeFrom="paragraph">
                  <wp:posOffset>1135380</wp:posOffset>
                </wp:positionV>
                <wp:extent cx="1074420" cy="982980"/>
                <wp:effectExtent l="0" t="38100" r="49530" b="26670"/>
                <wp:wrapNone/>
                <wp:docPr id="111" name="Straight Arrow Connector 111"/>
                <wp:cNvGraphicFramePr/>
                <a:graphic xmlns:a="http://schemas.openxmlformats.org/drawingml/2006/main">
                  <a:graphicData uri="http://schemas.microsoft.com/office/word/2010/wordprocessingShape">
                    <wps:wsp>
                      <wps:cNvCnPr/>
                      <wps:spPr>
                        <a:xfrm flipV="1">
                          <a:off x="0" y="0"/>
                          <a:ext cx="1074420" cy="982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C5412" id="Straight Arrow Connector 111" o:spid="_x0000_s1026" type="#_x0000_t32" style="position:absolute;margin-left:130.2pt;margin-top:89.4pt;width:84.6pt;height:77.4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" strokecolor="black [3213]">
                <v:stroke endarrow="open"/>
              </v:shape>
            </w:pict>
          </mc:Fallback>
        </mc:AlternateContent>
      </w:r>
      <w:r w:rsidR="00F2070B">
        <w:rPr>
          <w:noProof/>
        </w:rPr>
        <mc:AlternateContent>
          <mc:Choice Requires="wps">
            <w:drawing>
              <wp:anchor distT="0" distB="0" distL="114300" distR="114300" simplePos="0" relativeHeight="251917312" behindDoc="0" locked="0" layoutInCell="1" allowOverlap="1" wp14:anchorId="20B00848" wp14:editId="1C3A6BA1">
                <wp:simplePos x="0" y="0"/>
                <wp:positionH relativeFrom="column">
                  <wp:posOffset>1752600</wp:posOffset>
                </wp:positionH>
                <wp:positionV relativeFrom="paragraph">
                  <wp:posOffset>1219200</wp:posOffset>
                </wp:positionV>
                <wp:extent cx="1120140" cy="1357630"/>
                <wp:effectExtent l="0" t="38100" r="60960" b="33020"/>
                <wp:wrapNone/>
                <wp:docPr id="101" name="Straight Arrow Connector 101"/>
                <wp:cNvGraphicFramePr/>
                <a:graphic xmlns:a="http://schemas.openxmlformats.org/drawingml/2006/main">
                  <a:graphicData uri="http://schemas.microsoft.com/office/word/2010/wordprocessingShape">
                    <wps:wsp>
                      <wps:cNvCnPr/>
                      <wps:spPr>
                        <a:xfrm flipV="1">
                          <a:off x="0" y="0"/>
                          <a:ext cx="1120140" cy="1357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6D6B1" id="Straight Arrow Connector 101" o:spid="_x0000_s1026" type="#_x0000_t32" style="position:absolute;margin-left:138pt;margin-top:96pt;width:88.2pt;height:106.9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" strokecolor="black [3213]">
                <v:stroke endarrow="open"/>
              </v:shape>
            </w:pict>
          </mc:Fallback>
        </mc:AlternateContent>
      </w:r>
      <w:r w:rsidR="00F2070B">
        <w:rPr>
          <w:noProof/>
        </w:rPr>
        <mc:AlternateContent>
          <mc:Choice Requires="wps">
            <w:drawing>
              <wp:anchor distT="0" distB="0" distL="114300" distR="114300" simplePos="0" relativeHeight="251916288" behindDoc="0" locked="0" layoutInCell="1" allowOverlap="1" wp14:anchorId="083FBF2E" wp14:editId="10960A53">
                <wp:simplePos x="0" y="0"/>
                <wp:positionH relativeFrom="column">
                  <wp:posOffset>2910840</wp:posOffset>
                </wp:positionH>
                <wp:positionV relativeFrom="paragraph">
                  <wp:posOffset>1249679</wp:posOffset>
                </wp:positionV>
                <wp:extent cx="114300" cy="2047875"/>
                <wp:effectExtent l="0" t="38100" r="76200" b="28575"/>
                <wp:wrapNone/>
                <wp:docPr id="104" name="Straight Arrow Connector 104"/>
                <wp:cNvGraphicFramePr/>
                <a:graphic xmlns:a="http://schemas.openxmlformats.org/drawingml/2006/main">
                  <a:graphicData uri="http://schemas.microsoft.com/office/word/2010/wordprocessingShape">
                    <wps:wsp>
                      <wps:cNvCnPr/>
                      <wps:spPr>
                        <a:xfrm flipV="1">
                          <a:off x="0" y="0"/>
                          <a:ext cx="114300" cy="2047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D4694" id="Straight Arrow Connector 104" o:spid="_x0000_s1026" type="#_x0000_t32" style="position:absolute;margin-left:229.2pt;margin-top:98.4pt;width:9pt;height:161.2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" strokecolor="black [3213]">
                <v:stroke endarrow="open"/>
              </v:shape>
            </w:pict>
          </mc:Fallback>
        </mc:AlternateContent>
      </w:r>
      <w:r w:rsidR="00F2070B">
        <w:rPr>
          <w:noProof/>
        </w:rPr>
        <mc:AlternateContent>
          <mc:Choice Requires="wps">
            <w:drawing>
              <wp:anchor distT="0" distB="0" distL="114300" distR="114300" simplePos="0" relativeHeight="251914240" behindDoc="0" locked="0" layoutInCell="1" allowOverlap="1" wp14:anchorId="6716D7FC" wp14:editId="7268C379">
                <wp:simplePos x="0" y="0"/>
                <wp:positionH relativeFrom="column">
                  <wp:posOffset>3512820</wp:posOffset>
                </wp:positionH>
                <wp:positionV relativeFrom="paragraph">
                  <wp:posOffset>1196339</wp:posOffset>
                </wp:positionV>
                <wp:extent cx="403860" cy="960755"/>
                <wp:effectExtent l="57150" t="38100" r="34290" b="29845"/>
                <wp:wrapNone/>
                <wp:docPr id="108" name="Straight Arrow Connector 108"/>
                <wp:cNvGraphicFramePr/>
                <a:graphic xmlns:a="http://schemas.openxmlformats.org/drawingml/2006/main">
                  <a:graphicData uri="http://schemas.microsoft.com/office/word/2010/wordprocessingShape">
                    <wps:wsp>
                      <wps:cNvCnPr/>
                      <wps:spPr>
                        <a:xfrm flipH="1" flipV="1">
                          <a:off x="0" y="0"/>
                          <a:ext cx="403860" cy="9607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9402D" id="Straight Arrow Connector 108" o:spid="_x0000_s1026" type="#_x0000_t32" style="position:absolute;margin-left:276.6pt;margin-top:94.2pt;width:31.8pt;height:75.65pt;flip:x 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" strokecolor="black [3213]">
                <v:stroke endarrow="open"/>
              </v:shape>
            </w:pict>
          </mc:Fallback>
        </mc:AlternateContent>
      </w:r>
      <w:r w:rsidR="00F2070B">
        <w:rPr>
          <w:noProof/>
        </w:rPr>
        <mc:AlternateContent>
          <mc:Choice Requires="wps">
            <w:drawing>
              <wp:anchor distT="0" distB="0" distL="114300" distR="114300" simplePos="0" relativeHeight="251915264" behindDoc="0" locked="0" layoutInCell="1" allowOverlap="1" wp14:anchorId="381FEC7F" wp14:editId="3BC0A193">
                <wp:simplePos x="0" y="0"/>
                <wp:positionH relativeFrom="column">
                  <wp:posOffset>3223260</wp:posOffset>
                </wp:positionH>
                <wp:positionV relativeFrom="paragraph">
                  <wp:posOffset>1251584</wp:posOffset>
                </wp:positionV>
                <wp:extent cx="304800" cy="1697355"/>
                <wp:effectExtent l="76200" t="38100" r="19050" b="17145"/>
                <wp:wrapNone/>
                <wp:docPr id="106" name="Straight Arrow Connector 106"/>
                <wp:cNvGraphicFramePr/>
                <a:graphic xmlns:a="http://schemas.openxmlformats.org/drawingml/2006/main">
                  <a:graphicData uri="http://schemas.microsoft.com/office/word/2010/wordprocessingShape">
                    <wps:wsp>
                      <wps:cNvCnPr/>
                      <wps:spPr>
                        <a:xfrm flipH="1" flipV="1">
                          <a:off x="0" y="0"/>
                          <a:ext cx="304800" cy="16973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3DE6C" id="Straight Arrow Connector 106" o:spid="_x0000_s1026" type="#_x0000_t32" style="position:absolute;margin-left:253.8pt;margin-top:98.55pt;width:24pt;height:133.6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" strokecolor="black [3213]">
                <v:stroke endarrow="open"/>
              </v:shape>
            </w:pict>
          </mc:Fallback>
        </mc:AlternateContent>
      </w:r>
      <w:r w:rsidR="00F2070B">
        <w:rPr>
          <w:noProof/>
        </w:rPr>
        <mc:AlternateContent>
          <mc:Choice Requires="wps">
            <w:drawing>
              <wp:anchor distT="0" distB="0" distL="114300" distR="114300" simplePos="0" relativeHeight="251901952" behindDoc="0" locked="0" layoutInCell="1" allowOverlap="1" wp14:anchorId="68034B48" wp14:editId="616C02EA">
                <wp:simplePos x="0" y="0"/>
                <wp:positionH relativeFrom="column">
                  <wp:posOffset>2476500</wp:posOffset>
                </wp:positionH>
                <wp:positionV relativeFrom="paragraph">
                  <wp:posOffset>228600</wp:posOffset>
                </wp:positionV>
                <wp:extent cx="1409700" cy="1036320"/>
                <wp:effectExtent l="0" t="0" r="19050" b="11430"/>
                <wp:wrapNone/>
                <wp:docPr id="112" name="Oval 112"/>
                <wp:cNvGraphicFramePr/>
                <a:graphic xmlns:a="http://schemas.openxmlformats.org/drawingml/2006/main">
                  <a:graphicData uri="http://schemas.microsoft.com/office/word/2010/wordprocessingShape">
                    <wps:wsp>
                      <wps:cNvSpPr/>
                      <wps:spPr>
                        <a:xfrm>
                          <a:off x="0" y="0"/>
                          <a:ext cx="1409700" cy="1036320"/>
                        </a:xfrm>
                        <a:prstGeom prst="ellipse">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205900" w:rsidRPr="00B6054D" w:rsidRDefault="00205900" w:rsidP="008F30F5">
                            <w:pPr>
                              <w:jc w:val="center"/>
                              <w:rPr>
                                <w:b/>
                                <w:color w:val="000000" w:themeColor="text1"/>
                                <w:sz w:val="18"/>
                                <w:szCs w:val="18"/>
                              </w:rPr>
                            </w:pPr>
                            <w:r w:rsidRPr="00B6054D">
                              <w:rPr>
                                <w:b/>
                                <w:color w:val="000000" w:themeColor="text1"/>
                                <w:sz w:val="18"/>
                                <w:szCs w:val="18"/>
                              </w:rPr>
                              <w:t>Maximize potential for inclusive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34B48" id="Oval 112" o:spid="_x0000_s1052" style="position:absolute;margin-left:195pt;margin-top:18pt;width:111pt;height:81.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" fillcolor="#ea8c8c" strokecolor="#243f60 [1604]" strokeweight="2pt">
                <v:fill color2="#f7dede" rotate="t" angle="45" colors="0 #ea8c8c;.5 #f0baba;1 #f7dede" focus="100%" type="gradient"/>
                <v:textbox>
                  <w:txbxContent>
                    <w:p w:rsidR="00205900" w:rsidRPr="00B6054D" w:rsidRDefault="00205900" w:rsidP="008F30F5">
                      <w:pPr>
                        <w:jc w:val="center"/>
                        <w:rPr>
                          <w:b/>
                          <w:color w:val="000000" w:themeColor="text1"/>
                          <w:sz w:val="18"/>
                          <w:szCs w:val="18"/>
                        </w:rPr>
                      </w:pPr>
                      <w:r w:rsidRPr="00B6054D">
                        <w:rPr>
                          <w:b/>
                          <w:color w:val="000000" w:themeColor="text1"/>
                          <w:sz w:val="18"/>
                          <w:szCs w:val="18"/>
                        </w:rPr>
                        <w:t>Maximize potential for inclusive growth</w:t>
                      </w:r>
                    </w:p>
                  </w:txbxContent>
                </v:textbox>
              </v:oval>
            </w:pict>
          </mc:Fallback>
        </mc:AlternateContent>
      </w:r>
      <w:r w:rsidR="00B6054D">
        <w:rPr>
          <w:noProof/>
        </w:rPr>
        <mc:AlternateContent>
          <mc:Choice Requires="wps">
            <w:drawing>
              <wp:anchor distT="0" distB="0" distL="114300" distR="114300" simplePos="0" relativeHeight="251895808" behindDoc="0" locked="0" layoutInCell="1" allowOverlap="1" wp14:anchorId="3D4DC0FE" wp14:editId="6AF1A577">
                <wp:simplePos x="0" y="0"/>
                <wp:positionH relativeFrom="column">
                  <wp:posOffset>1150620</wp:posOffset>
                </wp:positionH>
                <wp:positionV relativeFrom="paragraph">
                  <wp:posOffset>2590800</wp:posOffset>
                </wp:positionV>
                <wp:extent cx="1188720" cy="642620"/>
                <wp:effectExtent l="0" t="0" r="11430" b="24130"/>
                <wp:wrapNone/>
                <wp:docPr id="116" name="Text Box 116"/>
                <wp:cNvGraphicFramePr/>
                <a:graphic xmlns:a="http://schemas.openxmlformats.org/drawingml/2006/main">
                  <a:graphicData uri="http://schemas.microsoft.com/office/word/2010/wordprocessingShape">
                    <wps:wsp>
                      <wps:cNvSpPr txBox="1"/>
                      <wps:spPr>
                        <a:xfrm>
                          <a:off x="0" y="0"/>
                          <a:ext cx="1188720" cy="64262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Improvement of management of transition and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C0FE" id="Text Box 116" o:spid="_x0000_s1053" type="#_x0000_t202" style="position:absolute;margin-left:90.6pt;margin-top:204pt;width:93.6pt;height:50.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Improvement of management of transition and change</w:t>
                      </w:r>
                    </w:p>
                  </w:txbxContent>
                </v:textbox>
              </v:shape>
            </w:pict>
          </mc:Fallback>
        </mc:AlternateContent>
      </w:r>
      <w:r w:rsidR="00B6054D">
        <w:rPr>
          <w:noProof/>
        </w:rPr>
        <mc:AlternateContent>
          <mc:Choice Requires="wps">
            <w:drawing>
              <wp:anchor distT="0" distB="0" distL="114300" distR="114300" simplePos="0" relativeHeight="251894784" behindDoc="0" locked="0" layoutInCell="1" allowOverlap="1" wp14:anchorId="5365B439" wp14:editId="7FBFE16B">
                <wp:simplePos x="0" y="0"/>
                <wp:positionH relativeFrom="column">
                  <wp:posOffset>2308860</wp:posOffset>
                </wp:positionH>
                <wp:positionV relativeFrom="paragraph">
                  <wp:posOffset>3291840</wp:posOffset>
                </wp:positionV>
                <wp:extent cx="1226820" cy="518160"/>
                <wp:effectExtent l="0" t="0" r="11430" b="15240"/>
                <wp:wrapNone/>
                <wp:docPr id="113" name="Text Box 113"/>
                <wp:cNvGraphicFramePr/>
                <a:graphic xmlns:a="http://schemas.openxmlformats.org/drawingml/2006/main">
                  <a:graphicData uri="http://schemas.microsoft.com/office/word/2010/wordprocessingShape">
                    <wps:wsp>
                      <wps:cNvSpPr txBox="1"/>
                      <wps:spPr>
                        <a:xfrm>
                          <a:off x="0" y="0"/>
                          <a:ext cx="1226820" cy="51816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Reconcile conflicting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5B439" id="Text Box 113" o:spid="_x0000_s1054" type="#_x0000_t202" style="position:absolute;margin-left:181.8pt;margin-top:259.2pt;width:96.6pt;height:40.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Reconcile conflicting objectives</w:t>
                      </w:r>
                    </w:p>
                  </w:txbxContent>
                </v:textbox>
              </v:shape>
            </w:pict>
          </mc:Fallback>
        </mc:AlternateContent>
      </w:r>
      <w:r w:rsidR="00B6054D">
        <w:rPr>
          <w:noProof/>
        </w:rPr>
        <mc:AlternateContent>
          <mc:Choice Requires="wps">
            <w:drawing>
              <wp:anchor distT="0" distB="0" distL="114300" distR="114300" simplePos="0" relativeHeight="251892736" behindDoc="0" locked="0" layoutInCell="1" allowOverlap="1" wp14:anchorId="7F37C997" wp14:editId="1A3DB2A6">
                <wp:simplePos x="0" y="0"/>
                <wp:positionH relativeFrom="column">
                  <wp:posOffset>3916680</wp:posOffset>
                </wp:positionH>
                <wp:positionV relativeFrom="paragraph">
                  <wp:posOffset>1805940</wp:posOffset>
                </wp:positionV>
                <wp:extent cx="1501140" cy="772795"/>
                <wp:effectExtent l="0" t="0" r="22860" b="27305"/>
                <wp:wrapNone/>
                <wp:docPr id="107" name="Text Box 107"/>
                <wp:cNvGraphicFramePr/>
                <a:graphic xmlns:a="http://schemas.openxmlformats.org/drawingml/2006/main">
                  <a:graphicData uri="http://schemas.microsoft.com/office/word/2010/wordprocessingShape">
                    <wps:wsp>
                      <wps:cNvSpPr txBox="1"/>
                      <wps:spPr>
                        <a:xfrm>
                          <a:off x="0" y="0"/>
                          <a:ext cx="1501140" cy="772795"/>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 xml:space="preserve">Explore alternative options looking for the best in terms of effectiveness, efficiency, ethics and impact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7C997" id="Text Box 107" o:spid="_x0000_s1055" type="#_x0000_t202" style="position:absolute;margin-left:308.4pt;margin-top:142.2pt;width:118.2pt;height:60.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 xml:space="preserve">Explore alternative options looking for the best in terms of effectiveness, efficiency, ethics and impact </w:t>
                      </w:r>
                    </w:p>
                  </w:txbxContent>
                </v:textbox>
              </v:shape>
            </w:pict>
          </mc:Fallback>
        </mc:AlternateContent>
      </w:r>
      <w:r w:rsidR="00B6054D">
        <w:rPr>
          <w:noProof/>
        </w:rPr>
        <mc:AlternateContent>
          <mc:Choice Requires="wps">
            <w:drawing>
              <wp:anchor distT="0" distB="0" distL="114300" distR="114300" simplePos="0" relativeHeight="251891712" behindDoc="0" locked="0" layoutInCell="1" allowOverlap="1" wp14:anchorId="3D90A48E" wp14:editId="7105AB02">
                <wp:simplePos x="0" y="0"/>
                <wp:positionH relativeFrom="column">
                  <wp:posOffset>4488180</wp:posOffset>
                </wp:positionH>
                <wp:positionV relativeFrom="paragraph">
                  <wp:posOffset>998221</wp:posOffset>
                </wp:positionV>
                <wp:extent cx="1219200" cy="586740"/>
                <wp:effectExtent l="0" t="0" r="19050" b="22860"/>
                <wp:wrapNone/>
                <wp:docPr id="115" name="Text Box 115"/>
                <wp:cNvGraphicFramePr/>
                <a:graphic xmlns:a="http://schemas.openxmlformats.org/drawingml/2006/main">
                  <a:graphicData uri="http://schemas.microsoft.com/office/word/2010/wordprocessingShape">
                    <wps:wsp>
                      <wps:cNvSpPr txBox="1"/>
                      <wps:spPr>
                        <a:xfrm>
                          <a:off x="0" y="0"/>
                          <a:ext cx="1219200" cy="58674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Build consensus around goals and means to achieve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A48E" id="Text Box 115" o:spid="_x0000_s1056" type="#_x0000_t202" style="position:absolute;margin-left:353.4pt;margin-top:78.6pt;width:96pt;height:46.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Build consensus around goals and means to achieve goals</w:t>
                      </w:r>
                    </w:p>
                  </w:txbxContent>
                </v:textbox>
              </v:shape>
            </w:pict>
          </mc:Fallback>
        </mc:AlternateContent>
      </w:r>
      <w:r w:rsidR="00B6054D">
        <w:rPr>
          <w:noProof/>
        </w:rPr>
        <mc:AlternateContent>
          <mc:Choice Requires="wps">
            <w:drawing>
              <wp:anchor distT="0" distB="0" distL="114300" distR="114300" simplePos="0" relativeHeight="251893760" behindDoc="0" locked="0" layoutInCell="1" allowOverlap="1" wp14:anchorId="51535967" wp14:editId="059992DF">
                <wp:simplePos x="0" y="0"/>
                <wp:positionH relativeFrom="column">
                  <wp:posOffset>3528060</wp:posOffset>
                </wp:positionH>
                <wp:positionV relativeFrom="paragraph">
                  <wp:posOffset>2674621</wp:posOffset>
                </wp:positionV>
                <wp:extent cx="1143000" cy="548640"/>
                <wp:effectExtent l="0" t="0" r="19050" b="22860"/>
                <wp:wrapNone/>
                <wp:docPr id="105" name="Text Box 105"/>
                <wp:cNvGraphicFramePr/>
                <a:graphic xmlns:a="http://schemas.openxmlformats.org/drawingml/2006/main">
                  <a:graphicData uri="http://schemas.microsoft.com/office/word/2010/wordprocessingShape">
                    <wps:wsp>
                      <wps:cNvSpPr txBox="1"/>
                      <wps:spPr>
                        <a:xfrm>
                          <a:off x="0" y="0"/>
                          <a:ext cx="1143000" cy="548640"/>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lin ang="81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900" w:rsidRPr="00B6054D" w:rsidRDefault="00205900" w:rsidP="008F30F5">
                            <w:pPr>
                              <w:jc w:val="center"/>
                              <w:rPr>
                                <w:sz w:val="18"/>
                                <w:szCs w:val="18"/>
                              </w:rPr>
                            </w:pPr>
                            <w:r w:rsidRPr="00B6054D">
                              <w:rPr>
                                <w:sz w:val="18"/>
                                <w:szCs w:val="18"/>
                              </w:rPr>
                              <w:t>Avoid inconsistencies between policies looking for the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967" id="Text Box 105" o:spid="_x0000_s1057" type="#_x0000_t202" style="position:absolute;margin-left:277.8pt;margin-top:210.6pt;width:90pt;height:43.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" fillcolor="#ffe497" strokeweight=".5pt">
                <v:fill color2="#fff5df" rotate="t" angle="315" colors="0 #ffe497;.5 #ffecbf;1 #fff5df" focus="100%" type="gradient"/>
                <v:textbox>
                  <w:txbxContent>
                    <w:p w:rsidR="00205900" w:rsidRPr="00B6054D" w:rsidRDefault="00205900" w:rsidP="008F30F5">
                      <w:pPr>
                        <w:jc w:val="center"/>
                        <w:rPr>
                          <w:sz w:val="18"/>
                          <w:szCs w:val="18"/>
                        </w:rPr>
                      </w:pPr>
                      <w:r w:rsidRPr="00B6054D">
                        <w:rPr>
                          <w:sz w:val="18"/>
                          <w:szCs w:val="18"/>
                        </w:rPr>
                        <w:t>Avoid inconsistencies between policies looking for the best</w:t>
                      </w:r>
                    </w:p>
                  </w:txbxContent>
                </v:textbox>
              </v:shape>
            </w:pict>
          </mc:Fallback>
        </mc:AlternateContent>
      </w:r>
      <w:r w:rsidR="008F30F5">
        <w:br w:type="page"/>
      </w:r>
    </w:p>
    <w:p w:rsidR="00F82DF1" w:rsidRDefault="00F85647" w:rsidP="00F82DF1">
      <w:pPr>
        <w:spacing w:before="0" w:after="200" w:line="276" w:lineRule="auto"/>
        <w:rPr>
          <w:b/>
        </w:rPr>
      </w:pPr>
      <w:r>
        <w:rPr>
          <w:b/>
        </w:rPr>
        <w:lastRenderedPageBreak/>
        <w:t>Technology</w:t>
      </w:r>
    </w:p>
    <w:p w:rsidR="002C47DF" w:rsidRDefault="002C47DF" w:rsidP="00C951F6">
      <w:pPr>
        <w:spacing w:before="0" w:after="200" w:line="276" w:lineRule="auto"/>
      </w:pPr>
      <w:r>
        <w:tab/>
        <w:t>Technology platform</w:t>
      </w:r>
    </w:p>
    <w:p w:rsidR="00C951F6" w:rsidRPr="00C951F6" w:rsidRDefault="00A81480" w:rsidP="00C951F6">
      <w:pPr>
        <w:spacing w:before="0" w:after="200" w:line="276" w:lineRule="auto"/>
      </w:pPr>
      <w:r>
        <w:t xml:space="preserve">Technology will play a pivotal role in transforming the Bangladesh economy for moving along the accelerated growth trajectory towards achieving Vision 2041. </w:t>
      </w:r>
      <w:r w:rsidR="00A155E3">
        <w:t>There is a big gap in Bangladesh’s quest for new technology to raise factor productivity. Bangladesh has an advantage as a latecomer. While Bangladesh will indeed contribute by adding to new knowledge through research and development, it can do technology leap frogging by scanning the technology space t</w:t>
      </w:r>
      <w:r w:rsidR="0032376C">
        <w:t>o</w:t>
      </w:r>
      <w:r w:rsidR="00A155E3">
        <w:t xml:space="preserve"> choose among possibilities and adopt and/or adapt.</w:t>
      </w:r>
      <w:r w:rsidR="0032376C">
        <w:t xml:space="preserve"> Bangladesh should consider creating a virtual platform jointly under the Ministry of Science and Technology and the private sector to develop, adapt or adopt and implement technology of the future (Figure 4</w:t>
      </w:r>
      <w:r w:rsidR="00111A23">
        <w:t>4</w:t>
      </w:r>
      <w:r w:rsidR="0032376C">
        <w:t xml:space="preserve">). Bangladesh will have to join and be an integral part of the global technology value chain. Bangladesh cannot continue to live in the past. It has to directly deal with the global technology market of the future as an active player. Through its own technology development and adaptation platform Bangladesh will add to the supply of technology in the global market and at the same time driven by its production, consumption, investment and trade needs </w:t>
      </w:r>
      <w:r w:rsidR="00E33BF7">
        <w:t>Bangladesh will create demand for technologies for which it will apply a search and select instrument creating future technology flow for client user of technology.</w:t>
      </w:r>
      <w:r w:rsidR="0032376C">
        <w:t xml:space="preserve"> </w:t>
      </w:r>
      <w:r w:rsidR="00C951F6" w:rsidRPr="00C951F6">
        <w:t>The challenge is how to create an environment f</w:t>
      </w:r>
      <w:r w:rsidR="00A155E3">
        <w:t>or</w:t>
      </w:r>
      <w:r w:rsidR="00C951F6" w:rsidRPr="00C951F6">
        <w:t xml:space="preserve"> free flow of technologies through development adoption and adaptation</w:t>
      </w:r>
      <w:r w:rsidR="00C951F6">
        <w:t>.</w:t>
      </w:r>
      <w:r w:rsidR="00E33BF7">
        <w:t xml:space="preserve"> There are barriers – paten</w:t>
      </w:r>
      <w:r w:rsidR="00602A47">
        <w:t>t</w:t>
      </w:r>
      <w:r w:rsidR="00531411">
        <w:t>, finance, skill, motivation, relevance, information, universities, IT</w:t>
      </w:r>
      <w:r w:rsidR="00E33BF7">
        <w:t xml:space="preserve"> and other</w:t>
      </w:r>
      <w:r w:rsidR="00531411">
        <w:t>s</w:t>
      </w:r>
      <w:r w:rsidR="00E33BF7">
        <w:t xml:space="preserve"> which have to be dealt with.</w:t>
      </w:r>
    </w:p>
    <w:p w:rsidR="00CA39A6" w:rsidRDefault="003B7632" w:rsidP="00C951F6">
      <w:pPr>
        <w:spacing w:before="0" w:after="0"/>
        <w:rPr>
          <w:b/>
        </w:rPr>
      </w:pPr>
      <w:r w:rsidRPr="003B7632">
        <w:rPr>
          <w:b/>
        </w:rPr>
        <w:t>F</w:t>
      </w:r>
      <w:r>
        <w:rPr>
          <w:b/>
        </w:rPr>
        <w:t>igure</w:t>
      </w:r>
      <w:r w:rsidR="00B04149">
        <w:rPr>
          <w:b/>
        </w:rPr>
        <w:t xml:space="preserve"> 4</w:t>
      </w:r>
      <w:r w:rsidR="007F2CA8">
        <w:rPr>
          <w:b/>
        </w:rPr>
        <w:t>5</w:t>
      </w:r>
      <w:r>
        <w:rPr>
          <w:b/>
        </w:rPr>
        <w:t>: Develop, adapt and implement technology of the future</w:t>
      </w:r>
    </w:p>
    <w:p w:rsidR="003B7632" w:rsidRPr="003B7632" w:rsidRDefault="003B7632" w:rsidP="003B7632">
      <w:pPr>
        <w:spacing w:before="0" w:after="0"/>
        <w:rPr>
          <w:sz w:val="18"/>
          <w:szCs w:val="18"/>
        </w:rPr>
      </w:pPr>
      <w:r>
        <w:rPr>
          <w:sz w:val="18"/>
          <w:szCs w:val="18"/>
        </w:rPr>
        <w:t>(Create a virtual platform jointly under the Ministry of Science and Technology and the private sector)</w:t>
      </w:r>
    </w:p>
    <w:p w:rsidR="00940D36" w:rsidRDefault="00765BD1" w:rsidP="00940D36">
      <w:pPr>
        <w:spacing w:after="0"/>
        <w:rPr>
          <w:b/>
          <w:sz w:val="18"/>
          <w:szCs w:val="18"/>
        </w:rPr>
      </w:pPr>
      <w:r>
        <w:rPr>
          <w:noProof/>
        </w:rPr>
        <w:drawing>
          <wp:inline distT="0" distB="0" distL="0" distR="0" wp14:anchorId="36876833" wp14:editId="5B8C62E2">
            <wp:extent cx="5356860" cy="3436620"/>
            <wp:effectExtent l="0" t="0" r="0" b="0"/>
            <wp:docPr id="17454" name="Picture 1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10040"/>
                    <a:stretch/>
                  </pic:blipFill>
                  <pic:spPr bwMode="auto">
                    <a:xfrm>
                      <a:off x="0" y="0"/>
                      <a:ext cx="5356860" cy="3436620"/>
                    </a:xfrm>
                    <a:prstGeom prst="rect">
                      <a:avLst/>
                    </a:prstGeom>
                    <a:ln>
                      <a:noFill/>
                    </a:ln>
                    <a:extLst>
                      <a:ext uri="{53640926-AAD7-44D8-BBD7-CCE9431645EC}">
                        <a14:shadowObscured xmlns:a14="http://schemas.microsoft.com/office/drawing/2010/main"/>
                      </a:ext>
                    </a:extLst>
                  </pic:spPr>
                </pic:pic>
              </a:graphicData>
            </a:graphic>
          </wp:inline>
        </w:drawing>
      </w:r>
    </w:p>
    <w:p w:rsidR="002C47DF" w:rsidRDefault="002C47DF" w:rsidP="00940D36">
      <w:pPr>
        <w:spacing w:before="0"/>
        <w:rPr>
          <w:sz w:val="18"/>
          <w:szCs w:val="18"/>
        </w:rPr>
      </w:pPr>
    </w:p>
    <w:p w:rsidR="00C951F6" w:rsidRDefault="00C951F6" w:rsidP="00C951F6">
      <w:pPr>
        <w:spacing w:before="0" w:after="200" w:line="276" w:lineRule="auto"/>
        <w:ind w:left="720"/>
      </w:pPr>
      <w:r>
        <w:lastRenderedPageBreak/>
        <w:t>Advanced Universities for science and technology</w:t>
      </w:r>
    </w:p>
    <w:p w:rsidR="00D040C3" w:rsidRPr="009F3730" w:rsidRDefault="00D040C3" w:rsidP="00D040C3">
      <w:pPr>
        <w:spacing w:before="0" w:after="200" w:line="276" w:lineRule="auto"/>
      </w:pPr>
      <w:r w:rsidRPr="009F3730">
        <w:t>High quality human capital is an important factor in the production function to transform Bangladesh into knowledge-driven economy with innovation. Bangladesh’s aspiration to move from lower middle income country (LMIC) in 2015 to an upper middle income (UMIC) country by 2030 and a developed country by 2041 will be one of the fastest transition in recorded history.</w:t>
      </w:r>
    </w:p>
    <w:p w:rsidR="00D040C3" w:rsidRPr="009F3730" w:rsidRDefault="00D040C3" w:rsidP="00D040C3">
      <w:pPr>
        <w:spacing w:before="0" w:after="200" w:line="276" w:lineRule="auto"/>
      </w:pPr>
      <w:r w:rsidRPr="009F3730">
        <w:t>This is a challenge but an attainable one. The growth engine needs to be diversified into more productive sectors to make the most use of demographic dividend – 2 million youth flowing into labor market every year. Innovation will have to play a crucial role to avoid middle income trap, and IT and other advanced technologies could become a breakthrough.</w:t>
      </w:r>
    </w:p>
    <w:p w:rsidR="00D040C3" w:rsidRPr="009F3730" w:rsidRDefault="00D040C3" w:rsidP="00D040C3">
      <w:pPr>
        <w:spacing w:before="0" w:after="200" w:line="276" w:lineRule="auto"/>
      </w:pPr>
      <w:r w:rsidRPr="009F3730">
        <w:t>Government has invested and continues to invest in basic education. The yawning gap in the quality of secondary graduates has been acknowledged. For UMIC and developed country transition gap is deeper in high quality science and technology graduates, research and development and exploration of new ideas geared towards innovation, invention and experimentation. Bangladesh is far behind India, Korea, China, Malaysia and developed countries in terms of high-level advanced Universities in science and technology.</w:t>
      </w:r>
    </w:p>
    <w:p w:rsidR="00D040C3" w:rsidRDefault="00D040C3" w:rsidP="00D040C3">
      <w:pPr>
        <w:spacing w:before="0" w:after="200" w:line="276" w:lineRule="auto"/>
      </w:pPr>
      <w:r w:rsidRPr="009F3730">
        <w:t>Bangladesh requires higher education graduates, particularly related to science and technology, to lead the innovation using the advanced technologies. The tertiary level enrollment is still stagnated around 12% in 2014 (only 30% of them are female).</w:t>
      </w:r>
    </w:p>
    <w:p w:rsidR="00D040C3" w:rsidRPr="00351641" w:rsidRDefault="00D040C3" w:rsidP="00D040C3">
      <w:pPr>
        <w:spacing w:before="0" w:after="200" w:line="276" w:lineRule="auto"/>
      </w:pPr>
      <w:r w:rsidRPr="00351641">
        <w:t>Bangladesh education system needs to be cognizant of the four higher education challenges in Asia</w:t>
      </w:r>
      <w:r w:rsidRPr="00351641">
        <w:rPr>
          <w:rStyle w:val="FootnoteReference"/>
        </w:rPr>
        <w:footnoteReference w:id="8"/>
      </w:r>
      <w:r w:rsidRPr="00351641">
        <w:t xml:space="preserve"> to get ahead of the curve.</w:t>
      </w:r>
    </w:p>
    <w:p w:rsidR="00D040C3" w:rsidRPr="00351641" w:rsidRDefault="00D040C3" w:rsidP="003A237D">
      <w:pPr>
        <w:pStyle w:val="ListParagraph"/>
        <w:numPr>
          <w:ilvl w:val="0"/>
          <w:numId w:val="38"/>
        </w:numPr>
        <w:spacing w:before="0" w:after="200" w:line="276" w:lineRule="auto"/>
        <w:rPr>
          <w:rFonts w:ascii="Times New Roman" w:hAnsi="Times New Roman" w:cs="Times New Roman"/>
        </w:rPr>
      </w:pPr>
      <w:r w:rsidRPr="00351641">
        <w:rPr>
          <w:rFonts w:ascii="Times New Roman" w:hAnsi="Times New Roman" w:cs="Times New Roman"/>
        </w:rPr>
        <w:t>Maintaining and improving education quality, even in the face of serious financial constraints.</w:t>
      </w:r>
    </w:p>
    <w:p w:rsidR="00D040C3" w:rsidRPr="00351641" w:rsidRDefault="00D040C3" w:rsidP="003A237D">
      <w:pPr>
        <w:pStyle w:val="ListParagraph"/>
        <w:numPr>
          <w:ilvl w:val="0"/>
          <w:numId w:val="38"/>
        </w:numPr>
        <w:spacing w:before="0" w:after="200" w:line="276" w:lineRule="auto"/>
        <w:rPr>
          <w:rFonts w:ascii="Times New Roman" w:hAnsi="Times New Roman" w:cs="Times New Roman"/>
        </w:rPr>
      </w:pPr>
      <w:r w:rsidRPr="00351641">
        <w:rPr>
          <w:rFonts w:ascii="Times New Roman" w:hAnsi="Times New Roman" w:cs="Times New Roman"/>
        </w:rPr>
        <w:t xml:space="preserve">Increasing relevance of curriculum </w:t>
      </w:r>
      <w:r>
        <w:rPr>
          <w:rFonts w:ascii="Times New Roman" w:hAnsi="Times New Roman" w:cs="Times New Roman"/>
        </w:rPr>
        <w:t>and</w:t>
      </w:r>
      <w:r w:rsidRPr="00351641">
        <w:rPr>
          <w:rFonts w:ascii="Times New Roman" w:hAnsi="Times New Roman" w:cs="Times New Roman"/>
        </w:rPr>
        <w:t xml:space="preserve"> instruction at a time of rapid change in labor market needs.</w:t>
      </w:r>
    </w:p>
    <w:p w:rsidR="00D040C3" w:rsidRPr="00351641" w:rsidRDefault="00D040C3" w:rsidP="003A237D">
      <w:pPr>
        <w:pStyle w:val="ListParagraph"/>
        <w:numPr>
          <w:ilvl w:val="0"/>
          <w:numId w:val="38"/>
        </w:numPr>
        <w:spacing w:before="0" w:after="200" w:line="276" w:lineRule="auto"/>
        <w:rPr>
          <w:rFonts w:ascii="Times New Roman" w:hAnsi="Times New Roman" w:cs="Times New Roman"/>
        </w:rPr>
      </w:pPr>
      <w:r w:rsidRPr="00351641">
        <w:rPr>
          <w:rFonts w:ascii="Times New Roman" w:hAnsi="Times New Roman" w:cs="Times New Roman"/>
        </w:rPr>
        <w:t>Increasing and better utilizing the financial resources available to higher education.</w:t>
      </w:r>
    </w:p>
    <w:p w:rsidR="00D040C3" w:rsidRDefault="00D040C3" w:rsidP="003A237D">
      <w:pPr>
        <w:pStyle w:val="ListParagraph"/>
        <w:numPr>
          <w:ilvl w:val="0"/>
          <w:numId w:val="38"/>
        </w:numPr>
        <w:spacing w:before="0" w:after="200" w:line="276" w:lineRule="auto"/>
        <w:contextualSpacing w:val="0"/>
        <w:rPr>
          <w:rFonts w:ascii="Times New Roman" w:hAnsi="Times New Roman" w:cs="Times New Roman"/>
        </w:rPr>
      </w:pPr>
      <w:r w:rsidRPr="00351641">
        <w:rPr>
          <w:rFonts w:ascii="Times New Roman" w:hAnsi="Times New Roman" w:cs="Times New Roman"/>
        </w:rPr>
        <w:t>Balancing the continued expansion of access to higher education with greater attention to equitable access and inclusiveness of higher education systems to support inclusive growth.</w:t>
      </w:r>
    </w:p>
    <w:p w:rsidR="00D040C3" w:rsidRPr="00351641" w:rsidRDefault="00D040C3" w:rsidP="00D040C3">
      <w:pPr>
        <w:spacing w:before="0" w:after="200" w:line="276" w:lineRule="auto"/>
      </w:pPr>
      <w:r w:rsidRPr="00351641">
        <w:t>Bangladesh has taken measures to strengthen existing higher education system, but more investments are required in the new growth frontiers.</w:t>
      </w:r>
    </w:p>
    <w:p w:rsidR="00D040C3" w:rsidRPr="00351641" w:rsidRDefault="00D040C3" w:rsidP="003A237D">
      <w:pPr>
        <w:pStyle w:val="ListParagraph"/>
        <w:numPr>
          <w:ilvl w:val="0"/>
          <w:numId w:val="37"/>
        </w:numPr>
        <w:spacing w:before="0" w:after="200" w:line="276" w:lineRule="auto"/>
        <w:ind w:left="720" w:hanging="274"/>
        <w:rPr>
          <w:rFonts w:ascii="Times New Roman" w:hAnsi="Times New Roman" w:cs="Times New Roman"/>
          <w:b/>
        </w:rPr>
      </w:pPr>
      <w:r w:rsidRPr="00351641">
        <w:rPr>
          <w:rFonts w:ascii="Times New Roman" w:hAnsi="Times New Roman" w:cs="Times New Roman"/>
        </w:rPr>
        <w:t>The government made efforts to improve the quality and relevance of teaching/research environment through innovation and accountability with the support from development partners.</w:t>
      </w:r>
    </w:p>
    <w:p w:rsidR="00D040C3" w:rsidRPr="00351641" w:rsidRDefault="00D040C3" w:rsidP="003A237D">
      <w:pPr>
        <w:pStyle w:val="ListParagraph"/>
        <w:numPr>
          <w:ilvl w:val="0"/>
          <w:numId w:val="37"/>
        </w:numPr>
        <w:spacing w:before="0" w:after="200" w:line="276" w:lineRule="auto"/>
        <w:ind w:left="720" w:hanging="274"/>
        <w:rPr>
          <w:rFonts w:ascii="Times New Roman" w:hAnsi="Times New Roman" w:cs="Times New Roman"/>
          <w:b/>
        </w:rPr>
      </w:pPr>
      <w:r>
        <w:rPr>
          <w:rFonts w:ascii="Times New Roman" w:hAnsi="Times New Roman" w:cs="Times New Roman"/>
        </w:rPr>
        <w:lastRenderedPageBreak/>
        <w:t xml:space="preserve">The Government is keen on expanding the </w:t>
      </w:r>
      <w:r w:rsidRPr="00351641">
        <w:rPr>
          <w:rFonts w:ascii="Times New Roman" w:hAnsi="Times New Roman" w:cs="Times New Roman"/>
        </w:rPr>
        <w:t xml:space="preserve">IT </w:t>
      </w:r>
      <w:r>
        <w:rPr>
          <w:rFonts w:ascii="Times New Roman" w:hAnsi="Times New Roman" w:cs="Times New Roman"/>
        </w:rPr>
        <w:t xml:space="preserve">sector and IT </w:t>
      </w:r>
      <w:proofErr w:type="gramStart"/>
      <w:r>
        <w:rPr>
          <w:rFonts w:ascii="Times New Roman" w:hAnsi="Times New Roman" w:cs="Times New Roman"/>
        </w:rPr>
        <w:t>education  by</w:t>
      </w:r>
      <w:proofErr w:type="gramEnd"/>
      <w:r>
        <w:rPr>
          <w:rFonts w:ascii="Times New Roman" w:hAnsi="Times New Roman" w:cs="Times New Roman"/>
        </w:rPr>
        <w:t xml:space="preserve"> investing in IT parks and</w:t>
      </w:r>
      <w:r w:rsidRPr="00351641">
        <w:rPr>
          <w:rFonts w:ascii="Times New Roman" w:hAnsi="Times New Roman" w:cs="Times New Roman"/>
        </w:rPr>
        <w:t xml:space="preserve"> support</w:t>
      </w:r>
      <w:r>
        <w:rPr>
          <w:rFonts w:ascii="Times New Roman" w:hAnsi="Times New Roman" w:cs="Times New Roman"/>
        </w:rPr>
        <w:t>ing</w:t>
      </w:r>
      <w:r w:rsidRPr="00351641">
        <w:rPr>
          <w:rFonts w:ascii="Times New Roman" w:hAnsi="Times New Roman" w:cs="Times New Roman"/>
        </w:rPr>
        <w:t xml:space="preserve"> Computer Science and Engineering (CSE) Department as well as Institute of Information Technology (IIT) in selected universities in order to nurture skilled graduates.</w:t>
      </w:r>
    </w:p>
    <w:p w:rsidR="00D040C3" w:rsidRPr="005F1AAD" w:rsidRDefault="00D040C3" w:rsidP="003A237D">
      <w:pPr>
        <w:pStyle w:val="ListParagraph"/>
        <w:numPr>
          <w:ilvl w:val="0"/>
          <w:numId w:val="37"/>
        </w:numPr>
        <w:spacing w:before="0" w:after="200" w:line="276" w:lineRule="auto"/>
        <w:ind w:left="720" w:hanging="274"/>
        <w:contextualSpacing w:val="0"/>
        <w:rPr>
          <w:b/>
        </w:rPr>
      </w:pPr>
      <w:r w:rsidRPr="00351641">
        <w:rPr>
          <w:rFonts w:ascii="Times New Roman" w:hAnsi="Times New Roman" w:cs="Times New Roman"/>
        </w:rPr>
        <w:t>The advanced technologies, such as IT, are instruments, and they need to be fully utilized to address the sector issues and challenges to explore the new growth frontiers.</w:t>
      </w:r>
      <w:r w:rsidRPr="00351641">
        <w:rPr>
          <w:rStyle w:val="FootnoteReference"/>
          <w:rFonts w:ascii="Times New Roman" w:hAnsi="Times New Roman" w:cs="Times New Roman"/>
        </w:rPr>
        <w:footnoteReference w:id="9"/>
      </w:r>
    </w:p>
    <w:p w:rsidR="00D040C3" w:rsidRDefault="00D040C3" w:rsidP="00D040C3">
      <w:pPr>
        <w:spacing w:before="0" w:after="200" w:line="276" w:lineRule="auto"/>
      </w:pPr>
      <w:r w:rsidRPr="005F1AAD">
        <w:t xml:space="preserve">In addition, and more important is to establish/strengthen universities with advanced technologies in a medium and longer-term horizons. </w:t>
      </w:r>
      <w:r w:rsidRPr="00C334EC">
        <w:t xml:space="preserve">The challenge is how to avoid the current of university expansions without resources and quality. The steps are several. Start with Operational advanced universities for science and technology, support technology and innovation in Universities, establishing/strengthen advanced universities specialized in </w:t>
      </w:r>
      <w:proofErr w:type="spellStart"/>
      <w:r w:rsidRPr="00C334EC">
        <w:t>i</w:t>
      </w:r>
      <w:proofErr w:type="spellEnd"/>
      <w:r w:rsidRPr="00C334EC">
        <w:t xml:space="preserve">) IT, ii) high tech agriculture, iii) marine, iv) textile and v) leather over the medium term and establish institutions of higher learning and research in the mold of IIT in India in all divisions over the longer term. Furthermore, attention has to be given to the establishment of </w:t>
      </w:r>
      <w:r w:rsidRPr="008F1257">
        <w:rPr>
          <w:color w:val="000000" w:themeColor="text1"/>
        </w:rPr>
        <w:t xml:space="preserve">Centers of Excellence (CoEs) in </w:t>
      </w:r>
      <w:r w:rsidRPr="00C334EC">
        <w:t>all trades with potential domestic and export expansion.</w:t>
      </w:r>
    </w:p>
    <w:p w:rsidR="00D040C3" w:rsidRPr="00847343" w:rsidRDefault="00D040C3" w:rsidP="00D040C3">
      <w:pPr>
        <w:spacing w:before="0" w:after="200" w:line="276" w:lineRule="auto"/>
        <w:ind w:left="720"/>
        <w:rPr>
          <w:rFonts w:eastAsia="Times New Roman"/>
          <w:color w:val="000000"/>
        </w:rPr>
      </w:pPr>
      <w:r w:rsidRPr="00847343">
        <w:rPr>
          <w:rFonts w:eastAsia="Times New Roman"/>
          <w:color w:val="000000"/>
        </w:rPr>
        <w:t>Centers of Excellence (</w:t>
      </w:r>
      <w:proofErr w:type="spellStart"/>
      <w:r w:rsidRPr="00847343">
        <w:rPr>
          <w:rFonts w:eastAsia="Times New Roman"/>
          <w:color w:val="000000"/>
        </w:rPr>
        <w:t>CoE</w:t>
      </w:r>
      <w:proofErr w:type="spellEnd"/>
      <w:r w:rsidRPr="00847343">
        <w:rPr>
          <w:rFonts w:eastAsia="Times New Roman"/>
          <w:color w:val="000000"/>
        </w:rPr>
        <w:t xml:space="preserve">) </w:t>
      </w:r>
    </w:p>
    <w:p w:rsidR="00D040C3" w:rsidRPr="00F51BA0" w:rsidRDefault="00D040C3" w:rsidP="00D040C3">
      <w:pPr>
        <w:spacing w:before="0" w:after="200" w:line="276" w:lineRule="auto"/>
        <w:rPr>
          <w:rFonts w:eastAsia="Times New Roman"/>
          <w:color w:val="000000"/>
        </w:rPr>
      </w:pPr>
      <w:r w:rsidRPr="00F51BA0">
        <w:rPr>
          <w:rFonts w:eastAsia="Times New Roman"/>
          <w:color w:val="000000"/>
        </w:rPr>
        <w:t>An outstanding idea whose time has come and many existing bodies are clearly ready for the transition with SEIP support. Recall according to Wikipedia,” A center of excellence refers to a team, a shared facility or an entity that provides leadership, best practices, research, support and/or training for a focus area.” The concept works well with a focus on a particular area. Hence the definition from website Agile Elements,” a Center of Excellence (</w:t>
      </w:r>
      <w:proofErr w:type="spellStart"/>
      <w:r w:rsidRPr="00F51BA0">
        <w:rPr>
          <w:rFonts w:eastAsia="Times New Roman"/>
          <w:color w:val="000000"/>
        </w:rPr>
        <w:t>CoE</w:t>
      </w:r>
      <w:proofErr w:type="spellEnd"/>
      <w:r w:rsidRPr="00F51BA0">
        <w:rPr>
          <w:rFonts w:eastAsia="Times New Roman"/>
          <w:color w:val="000000"/>
        </w:rPr>
        <w:t>) should, at a most basic level consist of:  </w:t>
      </w:r>
      <w:r w:rsidRPr="00F51BA0">
        <w:rPr>
          <w:rFonts w:eastAsia="Times New Roman"/>
          <w:i/>
          <w:iCs/>
          <w:color w:val="000000"/>
        </w:rPr>
        <w:t>A</w:t>
      </w:r>
      <w:r w:rsidRPr="00F51BA0">
        <w:rPr>
          <w:rFonts w:eastAsia="Times New Roman"/>
          <w:iCs/>
          <w:color w:val="000000"/>
        </w:rPr>
        <w:t xml:space="preserve"> team of people that promote collaboration and using best practices around a specific focus area to drive</w:t>
      </w:r>
      <w:r w:rsidRPr="00F51BA0">
        <w:rPr>
          <w:rFonts w:eastAsia="Times New Roman"/>
          <w:color w:val="000000"/>
        </w:rPr>
        <w:t> </w:t>
      </w:r>
      <w:r w:rsidRPr="00F51BA0">
        <w:rPr>
          <w:rFonts w:eastAsia="Times New Roman"/>
          <w:iCs/>
          <w:color w:val="000000"/>
        </w:rPr>
        <w:t>business or customer-valued results.”</w:t>
      </w:r>
      <w:r w:rsidRPr="00F51BA0">
        <w:footnoteReference w:id="10"/>
      </w:r>
      <w:r w:rsidRPr="00F51BA0">
        <w:rPr>
          <w:rFonts w:eastAsia="Times New Roman"/>
          <w:color w:val="000000"/>
        </w:rPr>
        <w:t xml:space="preserve"> CoEs should provide support (subject matter experts), guidance (standards and methodologies), shared learning (training and certification), measurements (output) and governance (resource allocation and coordination). One may consider going one step beyond and think of establishing Center of Innovation and Development (CFID). SEIP proposes to establish 30 centers of excellence. Following the discussion presented above, CoEs should be at the cutting edge of development in at least four areas: technical expertise, training, innovation and institution. Technical expertise is needed for the development of standards and for service delivery. Training is shared learning with focus on level, methodology, content, job link, job performance, job mobility and wages and productivity. Innovation will be concerned with linkages, product and process development, </w:t>
      </w:r>
      <w:r w:rsidRPr="00F51BA0">
        <w:rPr>
          <w:rFonts w:eastAsia="Times New Roman"/>
          <w:color w:val="000000"/>
        </w:rPr>
        <w:lastRenderedPageBreak/>
        <w:t>and technology and skill transfer. Finally, institution will deal with people, governance, development and output measurement.</w:t>
      </w:r>
    </w:p>
    <w:p w:rsidR="00D040C3" w:rsidRPr="00F51BA0" w:rsidRDefault="00D040C3" w:rsidP="00D040C3">
      <w:pPr>
        <w:spacing w:before="0" w:after="200" w:line="276" w:lineRule="auto"/>
        <w:rPr>
          <w:rFonts w:eastAsia="Times New Roman"/>
          <w:color w:val="000000"/>
        </w:rPr>
      </w:pPr>
      <w:r w:rsidRPr="00F51BA0">
        <w:rPr>
          <w:rFonts w:eastAsia="Times New Roman"/>
          <w:color w:val="000000"/>
        </w:rPr>
        <w:t xml:space="preserve">CoEs would have to be devised separately for each sector. One blue print will not serve all because while all may follow the module discussed here as the starting point different CoEs will differ in details. </w:t>
      </w:r>
      <w:r>
        <w:rPr>
          <w:rFonts w:eastAsia="Times New Roman"/>
          <w:color w:val="000000"/>
        </w:rPr>
        <w:t xml:space="preserve">One can draw lesson from the </w:t>
      </w:r>
      <w:r w:rsidRPr="00F51BA0">
        <w:rPr>
          <w:rFonts w:eastAsia="Times New Roman"/>
          <w:color w:val="000000"/>
        </w:rPr>
        <w:t xml:space="preserve">framework for a </w:t>
      </w:r>
      <w:proofErr w:type="spellStart"/>
      <w:r w:rsidRPr="00F51BA0">
        <w:rPr>
          <w:rFonts w:eastAsia="Times New Roman"/>
          <w:color w:val="000000"/>
        </w:rPr>
        <w:t>CoE</w:t>
      </w:r>
      <w:proofErr w:type="spellEnd"/>
      <w:r w:rsidRPr="00F51BA0">
        <w:rPr>
          <w:rFonts w:eastAsia="Times New Roman"/>
          <w:color w:val="000000"/>
        </w:rPr>
        <w:t xml:space="preserve"> for</w:t>
      </w:r>
      <w:r>
        <w:rPr>
          <w:rFonts w:eastAsia="Times New Roman"/>
          <w:color w:val="000000"/>
        </w:rPr>
        <w:t xml:space="preserve"> a hypothetical sector</w:t>
      </w:r>
      <w:r w:rsidRPr="00F51BA0">
        <w:rPr>
          <w:rFonts w:eastAsia="Times New Roman"/>
          <w:color w:val="000000"/>
        </w:rPr>
        <w:t xml:space="preserve">. It is a working model ready to go. </w:t>
      </w:r>
      <w:r>
        <w:rPr>
          <w:rFonts w:eastAsia="Times New Roman"/>
          <w:color w:val="000000"/>
        </w:rPr>
        <w:t xml:space="preserve">The </w:t>
      </w:r>
      <w:r w:rsidRPr="00F51BA0">
        <w:rPr>
          <w:rFonts w:eastAsia="Times New Roman"/>
          <w:color w:val="000000"/>
        </w:rPr>
        <w:t xml:space="preserve">purpose of </w:t>
      </w:r>
      <w:proofErr w:type="spellStart"/>
      <w:r w:rsidRPr="00F51BA0">
        <w:rPr>
          <w:rFonts w:eastAsia="Times New Roman"/>
          <w:color w:val="000000"/>
        </w:rPr>
        <w:t>CoE</w:t>
      </w:r>
      <w:proofErr w:type="spellEnd"/>
      <w:r w:rsidRPr="00F51BA0">
        <w:rPr>
          <w:rFonts w:eastAsia="Times New Roman"/>
          <w:color w:val="000000"/>
        </w:rPr>
        <w:t xml:space="preserve"> can be generalized </w:t>
      </w:r>
      <w:r>
        <w:rPr>
          <w:rFonts w:eastAsia="Times New Roman"/>
          <w:color w:val="000000"/>
        </w:rPr>
        <w:t>as follows</w:t>
      </w:r>
      <w:r w:rsidRPr="00F51BA0">
        <w:rPr>
          <w:rFonts w:eastAsia="Times New Roman"/>
          <w:color w:val="000000"/>
        </w:rPr>
        <w:t>:</w:t>
      </w:r>
    </w:p>
    <w:p w:rsidR="00D040C3" w:rsidRPr="00F51BA0" w:rsidRDefault="00D040C3" w:rsidP="003A237D">
      <w:pPr>
        <w:pStyle w:val="ListParagraph"/>
        <w:numPr>
          <w:ilvl w:val="0"/>
          <w:numId w:val="39"/>
        </w:numPr>
        <w:spacing w:before="0" w:after="0" w:line="276" w:lineRule="auto"/>
        <w:contextualSpacing w:val="0"/>
        <w:rPr>
          <w:rFonts w:ascii="Times New Roman" w:hAnsi="Times New Roman" w:cs="Times New Roman"/>
        </w:rPr>
      </w:pPr>
      <w:r w:rsidRPr="00F51BA0">
        <w:rPr>
          <w:rFonts w:ascii="Times New Roman" w:hAnsi="Times New Roman" w:cs="Times New Roman"/>
        </w:rPr>
        <w:t xml:space="preserve">Provision of advanced technology facility for demonstration of productivity benefits to </w:t>
      </w:r>
      <w:r>
        <w:rPr>
          <w:rFonts w:ascii="Times New Roman" w:hAnsi="Times New Roman" w:cs="Times New Roman"/>
        </w:rPr>
        <w:t xml:space="preserve">the </w:t>
      </w:r>
      <w:r w:rsidRPr="00F51BA0">
        <w:rPr>
          <w:rFonts w:ascii="Times New Roman" w:hAnsi="Times New Roman" w:cs="Times New Roman"/>
        </w:rPr>
        <w:t>sector</w:t>
      </w:r>
    </w:p>
    <w:p w:rsidR="00D040C3" w:rsidRPr="00F51BA0" w:rsidRDefault="00D040C3" w:rsidP="003A237D">
      <w:pPr>
        <w:pStyle w:val="ListParagraph"/>
        <w:numPr>
          <w:ilvl w:val="0"/>
          <w:numId w:val="39"/>
        </w:numPr>
        <w:spacing w:before="0" w:after="0" w:line="276" w:lineRule="auto"/>
        <w:contextualSpacing w:val="0"/>
        <w:rPr>
          <w:rFonts w:ascii="Times New Roman" w:hAnsi="Times New Roman" w:cs="Times New Roman"/>
        </w:rPr>
      </w:pPr>
      <w:r w:rsidRPr="00F51BA0">
        <w:rPr>
          <w:rFonts w:ascii="Times New Roman" w:hAnsi="Times New Roman" w:cs="Times New Roman"/>
        </w:rPr>
        <w:t>Development and higher end training of skilled manpower</w:t>
      </w:r>
    </w:p>
    <w:p w:rsidR="00D040C3" w:rsidRPr="00F51BA0" w:rsidRDefault="00D040C3" w:rsidP="003A237D">
      <w:pPr>
        <w:pStyle w:val="ListParagraph"/>
        <w:numPr>
          <w:ilvl w:val="0"/>
          <w:numId w:val="39"/>
        </w:numPr>
        <w:spacing w:before="0" w:after="0" w:line="276" w:lineRule="auto"/>
        <w:contextualSpacing w:val="0"/>
        <w:rPr>
          <w:rFonts w:ascii="Times New Roman" w:hAnsi="Times New Roman" w:cs="Times New Roman"/>
        </w:rPr>
      </w:pPr>
      <w:r w:rsidRPr="00F51BA0">
        <w:rPr>
          <w:rFonts w:ascii="Times New Roman" w:hAnsi="Times New Roman" w:cs="Times New Roman"/>
        </w:rPr>
        <w:t>Providing a platform for research and development for new technology development and technology transfer</w:t>
      </w:r>
    </w:p>
    <w:p w:rsidR="00D040C3" w:rsidRPr="00F51BA0" w:rsidRDefault="00D040C3" w:rsidP="003A237D">
      <w:pPr>
        <w:pStyle w:val="ListParagraph"/>
        <w:numPr>
          <w:ilvl w:val="0"/>
          <w:numId w:val="39"/>
        </w:numPr>
        <w:spacing w:before="0" w:after="0" w:line="276" w:lineRule="auto"/>
        <w:contextualSpacing w:val="0"/>
        <w:rPr>
          <w:rFonts w:ascii="Times New Roman" w:hAnsi="Times New Roman" w:cs="Times New Roman"/>
        </w:rPr>
      </w:pPr>
      <w:r w:rsidRPr="00F51BA0">
        <w:rPr>
          <w:rFonts w:ascii="Times New Roman" w:hAnsi="Times New Roman" w:cs="Times New Roman"/>
        </w:rPr>
        <w:t>Undertaking low-cost automation and other industrial consultancy projects for upgrading of existing industry</w:t>
      </w:r>
    </w:p>
    <w:p w:rsidR="00D040C3" w:rsidRPr="00F51BA0" w:rsidRDefault="00D040C3" w:rsidP="003A237D">
      <w:pPr>
        <w:pStyle w:val="ListParagraph"/>
        <w:numPr>
          <w:ilvl w:val="0"/>
          <w:numId w:val="39"/>
        </w:numPr>
        <w:spacing w:before="0" w:after="0" w:line="276" w:lineRule="auto"/>
        <w:contextualSpacing w:val="0"/>
        <w:rPr>
          <w:rFonts w:ascii="Times New Roman" w:hAnsi="Times New Roman" w:cs="Times New Roman"/>
        </w:rPr>
      </w:pPr>
      <w:r w:rsidRPr="00F51BA0">
        <w:rPr>
          <w:rFonts w:ascii="Times New Roman" w:hAnsi="Times New Roman" w:cs="Times New Roman"/>
        </w:rPr>
        <w:t xml:space="preserve">Supporting </w:t>
      </w:r>
      <w:r>
        <w:rPr>
          <w:rFonts w:ascii="Times New Roman" w:hAnsi="Times New Roman" w:cs="Times New Roman"/>
        </w:rPr>
        <w:t>i</w:t>
      </w:r>
      <w:r w:rsidRPr="00F51BA0">
        <w:rPr>
          <w:rFonts w:ascii="Times New Roman" w:hAnsi="Times New Roman" w:cs="Times New Roman"/>
        </w:rPr>
        <w:t>ncubation of new business as there is good prospects for nurturing entrepreneurship</w:t>
      </w:r>
    </w:p>
    <w:p w:rsidR="00D040C3" w:rsidRPr="00F51BA0" w:rsidRDefault="00D040C3" w:rsidP="003A237D">
      <w:pPr>
        <w:pStyle w:val="ListParagraph"/>
        <w:numPr>
          <w:ilvl w:val="0"/>
          <w:numId w:val="39"/>
        </w:numPr>
        <w:spacing w:before="0" w:after="0" w:line="276" w:lineRule="auto"/>
        <w:contextualSpacing w:val="0"/>
        <w:rPr>
          <w:rFonts w:ascii="Times New Roman" w:hAnsi="Times New Roman" w:cs="Times New Roman"/>
        </w:rPr>
      </w:pPr>
      <w:r w:rsidRPr="00F51BA0">
        <w:rPr>
          <w:rFonts w:ascii="Times New Roman" w:hAnsi="Times New Roman" w:cs="Times New Roman"/>
        </w:rPr>
        <w:t>Providing common service center for testing, calibration</w:t>
      </w:r>
      <w:r>
        <w:rPr>
          <w:rFonts w:ascii="Times New Roman" w:hAnsi="Times New Roman" w:cs="Times New Roman"/>
        </w:rPr>
        <w:t xml:space="preserve"> and others as needed</w:t>
      </w:r>
      <w:r w:rsidRPr="00F51BA0">
        <w:rPr>
          <w:rFonts w:ascii="Times New Roman" w:hAnsi="Times New Roman" w:cs="Times New Roman"/>
        </w:rPr>
        <w:t xml:space="preserve"> </w:t>
      </w:r>
    </w:p>
    <w:p w:rsidR="00D040C3" w:rsidRPr="00F51BA0" w:rsidRDefault="00D040C3" w:rsidP="003A237D">
      <w:pPr>
        <w:pStyle w:val="ListParagraph"/>
        <w:numPr>
          <w:ilvl w:val="0"/>
          <w:numId w:val="39"/>
        </w:numPr>
        <w:spacing w:before="0" w:after="0" w:line="276" w:lineRule="auto"/>
        <w:contextualSpacing w:val="0"/>
        <w:rPr>
          <w:rFonts w:ascii="Times New Roman" w:hAnsi="Times New Roman" w:cs="Times New Roman"/>
        </w:rPr>
      </w:pPr>
      <w:r w:rsidRPr="00F51BA0">
        <w:rPr>
          <w:rFonts w:ascii="Times New Roman" w:hAnsi="Times New Roman" w:cs="Times New Roman"/>
        </w:rPr>
        <w:t xml:space="preserve">Supporting repair and maintenance of equipment </w:t>
      </w:r>
    </w:p>
    <w:p w:rsidR="00D040C3" w:rsidRPr="00F51BA0" w:rsidRDefault="00D040C3" w:rsidP="003A237D">
      <w:pPr>
        <w:pStyle w:val="ListParagraph"/>
        <w:numPr>
          <w:ilvl w:val="0"/>
          <w:numId w:val="39"/>
        </w:numPr>
        <w:spacing w:before="0" w:after="0" w:line="276" w:lineRule="auto"/>
        <w:contextualSpacing w:val="0"/>
        <w:rPr>
          <w:rFonts w:ascii="Times New Roman" w:hAnsi="Times New Roman" w:cs="Times New Roman"/>
        </w:rPr>
      </w:pPr>
      <w:r w:rsidRPr="00F51BA0">
        <w:rPr>
          <w:rFonts w:ascii="Times New Roman" w:hAnsi="Times New Roman" w:cs="Times New Roman"/>
        </w:rPr>
        <w:t xml:space="preserve">Demonstrating and creating models of IT implementation in </w:t>
      </w:r>
      <w:r>
        <w:rPr>
          <w:rFonts w:ascii="Times New Roman" w:hAnsi="Times New Roman" w:cs="Times New Roman"/>
        </w:rPr>
        <w:t>the sector</w:t>
      </w:r>
    </w:p>
    <w:p w:rsidR="00C951F6" w:rsidRPr="00C951F6" w:rsidRDefault="00D040C3" w:rsidP="00D040C3">
      <w:pPr>
        <w:spacing w:before="0" w:after="200" w:line="276" w:lineRule="auto"/>
      </w:pPr>
      <w:r>
        <w:rPr>
          <w:rFonts w:eastAsia="Times New Roman"/>
          <w:color w:val="000000"/>
        </w:rPr>
        <w:t>The Government could provide a wide range of support to CoEs but such support would have to be carefully tailored to need. The Government has to work with industry associations and limit its support to facilities and equipment.</w:t>
      </w:r>
    </w:p>
    <w:p w:rsidR="00BC3FE0" w:rsidRDefault="00C951F6" w:rsidP="00C951F6">
      <w:pPr>
        <w:spacing w:before="0" w:after="200" w:line="276" w:lineRule="auto"/>
        <w:ind w:left="720"/>
      </w:pPr>
      <w:r>
        <w:t xml:space="preserve">IT - </w:t>
      </w:r>
      <w:r w:rsidRPr="00A16716">
        <w:t>Core of IT Parks</w:t>
      </w:r>
    </w:p>
    <w:p w:rsidR="00BC3FE0" w:rsidRDefault="00BC3FE0" w:rsidP="00BC3FE0">
      <w:pPr>
        <w:spacing w:before="0" w:after="200" w:line="276" w:lineRule="auto"/>
      </w:pPr>
      <w:r w:rsidRPr="00BC3FE0">
        <w:t xml:space="preserve">The role of the ICT sector in expanding economic opportunity is not contested anymore. </w:t>
      </w:r>
      <w:r w:rsidR="00D93959" w:rsidRPr="007D3E1B">
        <w:rPr>
          <w:color w:val="333333"/>
          <w:spacing w:val="2"/>
          <w:shd w:val="clear" w:color="auto" w:fill="FCFCFC"/>
        </w:rPr>
        <w:t>An important impetus for economic growth in modern times, the IT industry has greatly promoted sustainable development and is profoundly changing mankind’s way of life and production.</w:t>
      </w:r>
      <w:r w:rsidR="00D93959">
        <w:rPr>
          <w:color w:val="333333"/>
          <w:spacing w:val="2"/>
          <w:shd w:val="clear" w:color="auto" w:fill="FCFCFC"/>
        </w:rPr>
        <w:t xml:space="preserve"> </w:t>
      </w:r>
      <w:r>
        <w:t xml:space="preserve">It works through business models, human capital and institutions. A number of events of the recent past has change the game playing field: technological progress, deregulation, private sector participation, declining costs, scope expansion of the ICT sector to hardware, software, internet and the like, productivity gain, and networking across time and space. ICT contributes to growth through productivity gain, reduced transaction cost, reduced travel, increased choices in the market place, </w:t>
      </w:r>
      <w:r w:rsidR="00575C69">
        <w:t xml:space="preserve">market expansion, connectivity, improved access to information and faster delivery of services. </w:t>
      </w:r>
      <w:r>
        <w:t xml:space="preserve"> </w:t>
      </w:r>
      <w:r w:rsidR="00575C69">
        <w:t>Individuals gain from enhanced opportunity, networking, job search, financial planning and decision-making. They also benefit from removal of obstacles like geographical isolation, lack of competition and high prices, legal exclusion and information flow</w:t>
      </w:r>
      <w:r w:rsidR="00C17CE2">
        <w:t xml:space="preserve"> (Kramer et.al. 2007)</w:t>
      </w:r>
      <w:r w:rsidR="00575C69">
        <w:t>.</w:t>
      </w:r>
      <w:r>
        <w:t xml:space="preserve"> </w:t>
      </w:r>
      <w:r w:rsidR="00575C69">
        <w:t xml:space="preserve">ICT development is part of core development policies of Bangladesh but it requires sound government policies, infrastructure investments and manpower. Bangladesh will benefit from ICT led innovation, invention, technology finds, global networking, financial access, </w:t>
      </w:r>
      <w:r w:rsidR="00575C69">
        <w:lastRenderedPageBreak/>
        <w:t>business facilitation, institutional development like e-</w:t>
      </w:r>
      <w:r w:rsidR="00C17CE2">
        <w:t>government</w:t>
      </w:r>
      <w:r w:rsidR="00575C69">
        <w:t xml:space="preserve"> and productivity gain.</w:t>
      </w:r>
      <w:r w:rsidR="007B6E7B">
        <w:t xml:space="preserve"> The IT development framework for Bangladesh has to start with IT Parks development vision.</w:t>
      </w:r>
    </w:p>
    <w:p w:rsidR="007B6E7B" w:rsidRPr="00412E02" w:rsidRDefault="007B6E7B" w:rsidP="00362C6D">
      <w:pPr>
        <w:spacing w:before="0" w:after="200" w:line="276" w:lineRule="auto"/>
        <w:ind w:left="1440"/>
      </w:pPr>
      <w:r w:rsidRPr="00412E02">
        <w:t xml:space="preserve">IT Parks </w:t>
      </w:r>
      <w:r>
        <w:t>d</w:t>
      </w:r>
      <w:r w:rsidRPr="00412E02">
        <w:t xml:space="preserve">evelopment </w:t>
      </w:r>
      <w:r>
        <w:t>v</w:t>
      </w:r>
      <w:r w:rsidRPr="00412E02">
        <w:t>ision</w:t>
      </w:r>
    </w:p>
    <w:p w:rsidR="007B6E7B" w:rsidRPr="007D3E1B" w:rsidRDefault="007B6E7B" w:rsidP="007B6E7B">
      <w:pPr>
        <w:spacing w:before="0" w:after="200" w:line="276" w:lineRule="auto"/>
      </w:pPr>
      <w:r>
        <w:t>U</w:t>
      </w:r>
      <w:r w:rsidRPr="007D3E1B">
        <w:t xml:space="preserve">niversity upgrading and the proposed training academy concept </w:t>
      </w:r>
      <w:r>
        <w:t xml:space="preserve">provides </w:t>
      </w:r>
      <w:r w:rsidRPr="007D3E1B">
        <w:t xml:space="preserve">a meaningful entry point for the future IT vision for Bangladesh linked to the longer term development perspective. </w:t>
      </w:r>
      <w:r>
        <w:t xml:space="preserve">There is </w:t>
      </w:r>
      <w:r w:rsidRPr="007D3E1B">
        <w:t xml:space="preserve">great potential for IT application in IT and related industries in Bangladesh but </w:t>
      </w:r>
      <w:r>
        <w:t xml:space="preserve">one must </w:t>
      </w:r>
      <w:r w:rsidRPr="007D3E1B">
        <w:t xml:space="preserve">recognize, as do many observers of the Bangladesh scene that the binding constraint is IT skills confirming what </w:t>
      </w:r>
      <w:r>
        <w:t xml:space="preserve">comes out clearly from </w:t>
      </w:r>
      <w:r w:rsidRPr="007D3E1B">
        <w:t xml:space="preserve">dialogue with industry representatives. A critical path analysis would suggest sequential and synchronized investments in primary, secondary, university and higher level technical education along with IT infrastructure and specialized training facility as an integral part of IT Parks at </w:t>
      </w:r>
      <w:proofErr w:type="spellStart"/>
      <w:r w:rsidRPr="007D3E1B">
        <w:t>Kaliakoir</w:t>
      </w:r>
      <w:proofErr w:type="spellEnd"/>
      <w:r w:rsidRPr="007D3E1B">
        <w:t xml:space="preserve">, Jessore and </w:t>
      </w:r>
      <w:proofErr w:type="spellStart"/>
      <w:r w:rsidRPr="007D3E1B">
        <w:t>Purbachal</w:t>
      </w:r>
      <w:proofErr w:type="spellEnd"/>
      <w:r w:rsidRPr="007D3E1B">
        <w:t xml:space="preserve"> for now and others in the future. The future of IT industry has to be anchored in two elements: upgraded IT education at selected universities to produce job-ready IT graduates and a state of the art IT Academy to produce highly skilled work-ready IT professionals who will directly enter into paid positions upon completion of courses.</w:t>
      </w:r>
    </w:p>
    <w:p w:rsidR="007B6E7B" w:rsidRPr="00412E02" w:rsidRDefault="007B6E7B" w:rsidP="00362C6D">
      <w:pPr>
        <w:spacing w:before="0" w:after="200" w:line="276" w:lineRule="auto"/>
        <w:ind w:left="1440"/>
      </w:pPr>
      <w:r w:rsidRPr="00412E02">
        <w:t>IT Parks Development Paradigm</w:t>
      </w:r>
    </w:p>
    <w:p w:rsidR="007B6E7B" w:rsidRPr="007D3E1B" w:rsidRDefault="007B6E7B" w:rsidP="007B6E7B">
      <w:pPr>
        <w:spacing w:before="0" w:after="200" w:line="276" w:lineRule="auto"/>
      </w:pPr>
      <w:r w:rsidRPr="007D3E1B">
        <w:t xml:space="preserve">The starting point is the new IT development paradigm for Bangladesh: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focus on longer term (20 – 25 years) development on a larger scale;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promotion of public-private partnership with strategic public sector investment in support of private sector participation;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horizontal and vertical investment mapping ensuring optimal land use planning;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linked development of IT sector for IT industries and other related industries using IT applications;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IT development for both domestic as well as export demand;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appropriate tax, subsidy and investment incentives to make IT Parks attractive destinations for investors, domestic and foreign (attract few big brand names as India, Malaysia and China have done);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university participation on the basis of their ability to handle capital investment and expand IT education for higher level skills far beyond computer technicians and/or MS office applications;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maximizing synergy with other linked interventions (education and skill);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customized training on cost sharing basis with private sector along with training in vendor based applications;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formulation and implementation of IT growth friendly regulatory framework;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 xml:space="preserve">promoting IT-linkage to industries; and </w:t>
      </w:r>
    </w:p>
    <w:p w:rsidR="007B6E7B" w:rsidRPr="007D3E1B" w:rsidRDefault="007B6E7B" w:rsidP="003A237D">
      <w:pPr>
        <w:pStyle w:val="ListParagraph"/>
        <w:numPr>
          <w:ilvl w:val="0"/>
          <w:numId w:val="40"/>
        </w:numPr>
        <w:spacing w:before="0" w:after="0" w:line="276" w:lineRule="auto"/>
        <w:contextualSpacing w:val="0"/>
        <w:rPr>
          <w:rFonts w:ascii="Times New Roman" w:hAnsi="Times New Roman" w:cs="Times New Roman"/>
        </w:rPr>
      </w:pPr>
      <w:r w:rsidRPr="007D3E1B">
        <w:rPr>
          <w:rFonts w:ascii="Times New Roman" w:hAnsi="Times New Roman" w:cs="Times New Roman"/>
        </w:rPr>
        <w:t>periodic skills survey to determine and correct IT skill supply-demand mismatch if any.</w:t>
      </w:r>
    </w:p>
    <w:p w:rsidR="007B6E7B" w:rsidRPr="00412E02" w:rsidRDefault="007B6E7B" w:rsidP="00362C6D">
      <w:pPr>
        <w:spacing w:before="0" w:after="200" w:line="276" w:lineRule="auto"/>
        <w:ind w:left="1440"/>
      </w:pPr>
      <w:r w:rsidRPr="00412E02">
        <w:lastRenderedPageBreak/>
        <w:t>Longer Term Perspective</w:t>
      </w:r>
    </w:p>
    <w:p w:rsidR="007B6E7B" w:rsidRPr="007D3E1B" w:rsidRDefault="007B6E7B" w:rsidP="007B6E7B">
      <w:pPr>
        <w:spacing w:before="0" w:after="200" w:line="276" w:lineRule="auto"/>
      </w:pPr>
      <w:r w:rsidRPr="007D3E1B">
        <w:t xml:space="preserve">Given rapidly changing technology IT sector development has to be conceptualized within a longer term framework allowing for obsolescence and rapid turnover. Innovation, regeneration and reinvention are the buzzwords to be used in this environment. Physical and intellectual facilities and institutions have </w:t>
      </w:r>
      <w:r w:rsidR="00B449EC">
        <w:t xml:space="preserve">to </w:t>
      </w:r>
      <w:r w:rsidRPr="007D3E1B">
        <w:t xml:space="preserve">be geared to longer term development of the IT industry itself and the other linked industries that rely on IT applications. In the context of </w:t>
      </w:r>
      <w:r w:rsidR="00B449EC" w:rsidRPr="007D3E1B">
        <w:t>Bangladesh,</w:t>
      </w:r>
      <w:r w:rsidRPr="007D3E1B">
        <w:t xml:space="preserve"> the government has formulated a digital Bangladesh plan for 2021, Vision 2021 for middle income Bangladesh which has already been attained, Vision 2030 for upper middle income Bangladesh which will probably be achieved well before and Vision 2041 of a developed country Bangladesh which is a challenge though achievable especially if the IT base is strengthened. </w:t>
      </w:r>
      <w:r w:rsidR="00B449EC">
        <w:t xml:space="preserve">The Government supported </w:t>
      </w:r>
      <w:r w:rsidRPr="007D3E1B">
        <w:t xml:space="preserve">IT Parks development </w:t>
      </w:r>
      <w:r w:rsidR="00B449EC">
        <w:t>initiative</w:t>
      </w:r>
      <w:r w:rsidRPr="007D3E1B">
        <w:t xml:space="preserve"> designed at an appropriate scale (large) will play a crucial role in the realization of the objectives of long term perspective plan of the Government of Bangladesh aiding along the way realization of goals of short term plans. One has to recall what famous Indian economist Ashok Rudra said nearly sixty years back about perspective plan: “The principal feature of a concrete short term plan is what may be termed its horizontal harmony. That is to say, the schemes and targets for the different sectors are such that they do not cause any bottlenecks for each other. On the other </w:t>
      </w:r>
      <w:r w:rsidR="00B449EC" w:rsidRPr="007D3E1B">
        <w:t>hand,</w:t>
      </w:r>
      <w:r w:rsidRPr="007D3E1B">
        <w:t xml:space="preserve"> the principal feature of an abstract theoretical projection is what may be called its vertical harmony; that is to say, harmony as between the projections for the different points of time. It is obvious that a perspective plan must exhibit both horizontal l as well as vertical harmony.” (Rudra, A. 1959</w:t>
      </w:r>
      <w:r w:rsidR="00B449EC">
        <w:t>)</w:t>
      </w:r>
      <w:r w:rsidRPr="007D3E1B">
        <w:t xml:space="preserve">. The short and longer term development of the IT sector has to lay the basis for realization of the longer term development vision of Bangladesh. The short term horizontal expansion and longer term vertical projection have to go hand in hand. The two would have to be woven together in combined harmony. The IT Parks development </w:t>
      </w:r>
      <w:r w:rsidR="00DC5ABB">
        <w:t xml:space="preserve">initiative </w:t>
      </w:r>
      <w:r w:rsidRPr="007D3E1B">
        <w:t xml:space="preserve">will foster harmony between long and short term development of Bangladesh by using IT industry as amplifier, transformer and propeller of industrialization. </w:t>
      </w:r>
    </w:p>
    <w:p w:rsidR="007B6E7B" w:rsidRPr="00412E02" w:rsidRDefault="007B6E7B" w:rsidP="00362C6D">
      <w:pPr>
        <w:spacing w:before="0" w:after="200" w:line="276" w:lineRule="auto"/>
        <w:ind w:left="1440"/>
      </w:pPr>
      <w:r w:rsidRPr="00412E02">
        <w:t>Public-private Partnership</w:t>
      </w:r>
    </w:p>
    <w:p w:rsidR="007B6E7B" w:rsidRPr="007D3E1B" w:rsidRDefault="007B6E7B" w:rsidP="007B6E7B">
      <w:pPr>
        <w:spacing w:before="0" w:after="200" w:line="276" w:lineRule="auto"/>
      </w:pPr>
      <w:r w:rsidRPr="007D3E1B">
        <w:t xml:space="preserve">Global best practices suggest IT sector development requires promotion of public-private partnership with strategic public sector investment in support of private sector participation. This is the story of Korea, China, Malaysia, Singapore, and India and to a certain extent even of the United States where the Department of Defense supports research for product and process development. Korea has provided support for IT parks, developed facilitating incentive framework and provided easy financing which have been more than matched by private sector investments. China has provided for agglomeration and integration of industries, skill development, technology parks and tax and financial incentives while other countries have tried the same though to a lesser extent. The most important common denominator is incentive for domestic and foreign private investment. In Korea IT industry development has witnessed intimate public private partnership. This partnership has been the harbinger of independent innovation, market driven approach, open and compatible technologies, integrated and </w:t>
      </w:r>
      <w:r w:rsidRPr="007D3E1B">
        <w:lastRenderedPageBreak/>
        <w:t xml:space="preserve">comprehensive applications serving all sectors public and private. In Bangladesh, skill development, more than anything else requires strong public-private partnership. </w:t>
      </w:r>
      <w:r w:rsidR="00201D11">
        <w:t xml:space="preserve">The Government </w:t>
      </w:r>
      <w:r w:rsidRPr="007D3E1B">
        <w:t xml:space="preserve">has started the tradition of PPP in skill development. Kaliakoir high-tech park is an example of PPP. </w:t>
      </w:r>
    </w:p>
    <w:p w:rsidR="007B6E7B" w:rsidRDefault="007B6E7B" w:rsidP="007B6E7B">
      <w:pPr>
        <w:spacing w:before="0" w:after="200" w:line="276" w:lineRule="auto"/>
        <w:rPr>
          <w:color w:val="333333"/>
          <w:spacing w:val="2"/>
          <w:shd w:val="clear" w:color="auto" w:fill="FCFCFC"/>
        </w:rPr>
      </w:pPr>
      <w:r w:rsidRPr="007D3E1B">
        <w:rPr>
          <w:color w:val="333333"/>
          <w:spacing w:val="2"/>
          <w:shd w:val="clear" w:color="auto" w:fill="FCFCFC"/>
        </w:rPr>
        <w:t>The article explains the role and future trend of IT industry, and states that information technology represented by the Internet and computers has brought about the third industrial revolution in history. In discussing the development trend of world IT industry, the article suggests that with potential new breakthroughs in information technology, the trend of agglomeration and integration of industries has become increasingly obvious, competition of intellectual properties and standards is intensifying and ubiquitous network is taking shape. It points out that China should bring into better play the role of IT industry as an “amplifier” in economic growth, a “transformer” in development mode and a “propeller” in industrial upgrading. It is important to follow a policy that emphasizes independent innovation, market-driven approach, open and compatible technologies, integrated and comprehensive applications, and serving both military and civil purposes, so that a quantum leap of IT industry will be achieved. China should advance industrialization with information technologies and promote the IT industry in the course of industrialization in an effort to build an IT industry with Chinese characteristics. Greater efforts should be made to develop such core sectors as microelectronics, computer, software, key components and materials, as well as sectors with international competitiveness, including broadband mobile communication, next-generation network and information services. Continued improvement should be made in policies guiding the development of IT industry with a view to making China a country with a strong IT industry by 2020.</w:t>
      </w:r>
    </w:p>
    <w:p w:rsidR="007B6E7B" w:rsidRDefault="007B6E7B" w:rsidP="00362C6D">
      <w:pPr>
        <w:spacing w:before="0" w:after="200" w:line="276" w:lineRule="auto"/>
        <w:ind w:left="720"/>
        <w:rPr>
          <w:color w:val="333333"/>
          <w:spacing w:val="2"/>
          <w:shd w:val="clear" w:color="auto" w:fill="FCFCFC"/>
        </w:rPr>
      </w:pPr>
      <w:r>
        <w:rPr>
          <w:color w:val="333333"/>
          <w:spacing w:val="2"/>
          <w:shd w:val="clear" w:color="auto" w:fill="FCFCFC"/>
        </w:rPr>
        <w:tab/>
        <w:t>IT education and skill development</w:t>
      </w:r>
    </w:p>
    <w:p w:rsidR="007B6E7B" w:rsidRDefault="008F3E95" w:rsidP="007B6E7B">
      <w:pPr>
        <w:spacing w:before="0" w:after="200" w:line="276" w:lineRule="auto"/>
        <w:rPr>
          <w:color w:val="333333"/>
          <w:spacing w:val="2"/>
          <w:shd w:val="clear" w:color="auto" w:fill="FCFCFC"/>
        </w:rPr>
      </w:pPr>
      <w:r>
        <w:t xml:space="preserve">The Government’s SEIP project is supporting IT education at basic working level. Higher level education and training will be promoted under IT Parks development initiative. Initially, </w:t>
      </w:r>
      <w:r w:rsidR="007B6E7B" w:rsidRPr="007D3E1B">
        <w:t>nine upgraded universities and the national training academy which is designed to turn job-ready university trained IT/other graduates into work-ready high level IT skilled worker re</w:t>
      </w:r>
      <w:r w:rsidR="00D07720">
        <w:t>a</w:t>
      </w:r>
      <w:r w:rsidR="007B6E7B" w:rsidRPr="007D3E1B">
        <w:t xml:space="preserve">dy to join IT industries and/or IT-supported/based other industries. In Bangladesh, much progress has been achieved over past four decades in terms of economic growth, employment and exports. However, industries remain narrow in range (textile dominance), limited in scale (few large scale manufacturing industries and IT industry stuck at boutique level) and shallow in depth (limited research and innovation). This background clearly limits how far one can go with IT Parks development and training academy set up in Bangladesh. It is not surprising that SEIP training program notwithstanding large investments is producing lower than mid-level industrial workers with limited impact on overall productivity growth (this hypothesis has to be tested with a well-designed research by a reputed research body like PRI). A separate specialized training program (Executive Development Program – EDP) had to be designed for mid to higher level workers/managers to fill the gap at the top. More so graduates from the IT training programs are </w:t>
      </w:r>
      <w:r w:rsidR="007B6E7B" w:rsidRPr="007D3E1B">
        <w:lastRenderedPageBreak/>
        <w:t>finding hard to find job. For many trainees, university IT graduate education plus SEIP training are proving of little help in job search. The proposed training academy under IT Parks project has to learn from SEIP experience. Clearly, SEIP has to revisit its training strategy while IT Parks project has to start on right strategic and policy framework.</w:t>
      </w:r>
    </w:p>
    <w:p w:rsidR="00D53FAE" w:rsidRPr="00D53FAE" w:rsidRDefault="00D53FAE" w:rsidP="00362C6D">
      <w:pPr>
        <w:spacing w:before="0" w:after="200" w:line="276" w:lineRule="auto"/>
        <w:ind w:left="720" w:firstLine="720"/>
      </w:pPr>
      <w:r w:rsidRPr="00D53FAE">
        <w:rPr>
          <w:bCs/>
        </w:rPr>
        <w:t xml:space="preserve">Policy Issues </w:t>
      </w:r>
      <w:r w:rsidRPr="00D53FAE">
        <w:t xml:space="preserve"> </w:t>
      </w:r>
    </w:p>
    <w:p w:rsidR="00D53FAE" w:rsidRPr="00D53FAE" w:rsidRDefault="00D53FAE" w:rsidP="00362C6D">
      <w:pPr>
        <w:spacing w:before="0" w:after="200" w:line="276" w:lineRule="auto"/>
        <w:ind w:left="720"/>
      </w:pPr>
      <w:r w:rsidRPr="00D53FAE">
        <w:tab/>
      </w:r>
      <w:r>
        <w:tab/>
      </w:r>
      <w:r w:rsidRPr="00D53FAE">
        <w:rPr>
          <w:bCs/>
        </w:rPr>
        <w:t>Planning horizon and linkages</w:t>
      </w:r>
    </w:p>
    <w:p w:rsidR="00D46886" w:rsidRPr="00D53FAE" w:rsidRDefault="003A237D" w:rsidP="003A237D">
      <w:pPr>
        <w:numPr>
          <w:ilvl w:val="0"/>
          <w:numId w:val="41"/>
        </w:numPr>
        <w:spacing w:before="0" w:after="0" w:line="276" w:lineRule="auto"/>
      </w:pPr>
      <w:r w:rsidRPr="00D53FAE">
        <w:t>Longer term (20 – 25 years) and mega project perspective</w:t>
      </w:r>
    </w:p>
    <w:p w:rsidR="00D46886" w:rsidRPr="00D53FAE" w:rsidRDefault="003A237D" w:rsidP="003A237D">
      <w:pPr>
        <w:numPr>
          <w:ilvl w:val="0"/>
          <w:numId w:val="41"/>
        </w:numPr>
        <w:spacing w:before="0" w:after="0" w:line="276" w:lineRule="auto"/>
      </w:pPr>
      <w:r w:rsidRPr="00D53FAE">
        <w:t xml:space="preserve">Highlighting link to development strategy: Integrated into </w:t>
      </w:r>
      <w:r w:rsidR="00D07720" w:rsidRPr="00D53FAE">
        <w:t>five-year</w:t>
      </w:r>
      <w:r w:rsidRPr="00D53FAE">
        <w:t xml:space="preserve"> development plan, medium-term expenditure framework and annual budget cycle as well as longer term perspective plan</w:t>
      </w:r>
    </w:p>
    <w:p w:rsidR="00D46886" w:rsidRPr="00D53FAE" w:rsidRDefault="003A237D" w:rsidP="003A237D">
      <w:pPr>
        <w:numPr>
          <w:ilvl w:val="0"/>
          <w:numId w:val="41"/>
        </w:numPr>
        <w:spacing w:before="0" w:after="0" w:line="276" w:lineRule="auto"/>
      </w:pPr>
      <w:r w:rsidRPr="00D53FAE">
        <w:t>Support for strengthening forward and backward linkages</w:t>
      </w:r>
    </w:p>
    <w:p w:rsidR="00D53FAE" w:rsidRDefault="00D53FAE" w:rsidP="00D53FAE">
      <w:pPr>
        <w:spacing w:before="0" w:after="0" w:line="276" w:lineRule="auto"/>
        <w:ind w:left="720"/>
      </w:pPr>
    </w:p>
    <w:p w:rsidR="00D53FAE" w:rsidRPr="00D53FAE" w:rsidRDefault="00D53FAE" w:rsidP="00362C6D">
      <w:pPr>
        <w:spacing w:before="0" w:after="200" w:line="276" w:lineRule="auto"/>
        <w:ind w:left="1440" w:firstLine="720"/>
      </w:pPr>
      <w:r w:rsidRPr="00D53FAE">
        <w:rPr>
          <w:bCs/>
        </w:rPr>
        <w:t>Drivers of change</w:t>
      </w:r>
      <w:r w:rsidRPr="00D53FAE">
        <w:tab/>
      </w:r>
    </w:p>
    <w:p w:rsidR="00D46886" w:rsidRPr="00D53FAE" w:rsidRDefault="003A237D" w:rsidP="003A237D">
      <w:pPr>
        <w:numPr>
          <w:ilvl w:val="0"/>
          <w:numId w:val="42"/>
        </w:numPr>
        <w:spacing w:before="0" w:after="0" w:line="276" w:lineRule="auto"/>
      </w:pPr>
      <w:r w:rsidRPr="00D53FAE">
        <w:t>IT development as driver of inclusive growth, poverty reduction and gender parity</w:t>
      </w:r>
    </w:p>
    <w:p w:rsidR="00D46886" w:rsidRPr="00D53FAE" w:rsidRDefault="003A237D" w:rsidP="003A237D">
      <w:pPr>
        <w:numPr>
          <w:ilvl w:val="0"/>
          <w:numId w:val="42"/>
        </w:numPr>
        <w:spacing w:before="0" w:after="0" w:line="276" w:lineRule="auto"/>
      </w:pPr>
      <w:r w:rsidRPr="00D53FAE">
        <w:t>IT development as growth driver of IT industry as well other sectors using IT applications</w:t>
      </w:r>
    </w:p>
    <w:p w:rsidR="00D46886" w:rsidRPr="00D53FAE" w:rsidRDefault="003A237D" w:rsidP="003A237D">
      <w:pPr>
        <w:numPr>
          <w:ilvl w:val="0"/>
          <w:numId w:val="42"/>
        </w:numPr>
        <w:spacing w:before="0" w:after="0" w:line="276" w:lineRule="auto"/>
      </w:pPr>
      <w:r w:rsidRPr="00D53FAE">
        <w:t>Strategic public sector intervention in support of private sector participation</w:t>
      </w:r>
    </w:p>
    <w:p w:rsidR="00D46886" w:rsidRPr="00D53FAE" w:rsidRDefault="003A237D" w:rsidP="003A237D">
      <w:pPr>
        <w:numPr>
          <w:ilvl w:val="0"/>
          <w:numId w:val="42"/>
        </w:numPr>
        <w:spacing w:before="0" w:after="0" w:line="276" w:lineRule="auto"/>
      </w:pPr>
      <w:r w:rsidRPr="00D53FAE">
        <w:t>Mapping out infrastructure interventions horizontally and vertically for optimal land use</w:t>
      </w:r>
    </w:p>
    <w:p w:rsidR="00D46886" w:rsidRPr="00D53FAE" w:rsidRDefault="003A237D" w:rsidP="003A237D">
      <w:pPr>
        <w:numPr>
          <w:ilvl w:val="0"/>
          <w:numId w:val="42"/>
        </w:numPr>
        <w:spacing w:before="0" w:after="0" w:line="276" w:lineRule="auto"/>
      </w:pPr>
      <w:r w:rsidRPr="00D53FAE">
        <w:t>IT development to meet growing demand in the domestic market for IT services and products as well as exploring potential for exports regionally and internationally</w:t>
      </w:r>
    </w:p>
    <w:p w:rsidR="00D46886" w:rsidRPr="00D53FAE" w:rsidRDefault="003A237D" w:rsidP="003A237D">
      <w:pPr>
        <w:numPr>
          <w:ilvl w:val="0"/>
          <w:numId w:val="42"/>
        </w:numPr>
        <w:spacing w:before="0" w:after="0" w:line="276" w:lineRule="auto"/>
      </w:pPr>
      <w:r w:rsidRPr="00D53FAE">
        <w:t>Maximizing synergy with other linked ADB interventions (education and skill)</w:t>
      </w:r>
    </w:p>
    <w:p w:rsidR="00D53FAE" w:rsidRPr="00D53FAE" w:rsidRDefault="00D53FAE" w:rsidP="00D53FAE">
      <w:pPr>
        <w:spacing w:before="0" w:after="0" w:line="276" w:lineRule="auto"/>
      </w:pPr>
      <w:r w:rsidRPr="00D53FAE">
        <w:rPr>
          <w:b/>
          <w:bCs/>
        </w:rPr>
        <w:tab/>
      </w:r>
      <w:r w:rsidRPr="00D53FAE">
        <w:rPr>
          <w:bCs/>
        </w:rPr>
        <w:t>Development vision</w:t>
      </w:r>
    </w:p>
    <w:p w:rsidR="00CE7487" w:rsidRDefault="00D53FAE" w:rsidP="003A237D">
      <w:pPr>
        <w:pStyle w:val="ListParagraph"/>
        <w:numPr>
          <w:ilvl w:val="0"/>
          <w:numId w:val="43"/>
        </w:numPr>
        <w:spacing w:before="0" w:after="200" w:line="276" w:lineRule="auto"/>
        <w:contextualSpacing w:val="0"/>
        <w:rPr>
          <w:rFonts w:ascii="Times New Roman" w:hAnsi="Times New Roman" w:cs="Times New Roman"/>
        </w:rPr>
      </w:pPr>
      <w:r w:rsidRPr="00D53FAE">
        <w:rPr>
          <w:rFonts w:ascii="Times New Roman" w:hAnsi="Times New Roman" w:cs="Times New Roman"/>
        </w:rPr>
        <w:t xml:space="preserve">A new IT Parks and Bangladesh development vision </w:t>
      </w:r>
      <w:r w:rsidR="000962E0">
        <w:rPr>
          <w:rFonts w:ascii="Times New Roman" w:hAnsi="Times New Roman" w:cs="Times New Roman"/>
        </w:rPr>
        <w:t xml:space="preserve">2041 </w:t>
      </w:r>
      <w:r w:rsidRPr="00D53FAE">
        <w:rPr>
          <w:rFonts w:ascii="Times New Roman" w:hAnsi="Times New Roman" w:cs="Times New Roman"/>
        </w:rPr>
        <w:t xml:space="preserve">till the country reaches developed country status (Figure </w:t>
      </w:r>
      <w:r w:rsidR="000962E0">
        <w:rPr>
          <w:rFonts w:ascii="Times New Roman" w:hAnsi="Times New Roman" w:cs="Times New Roman"/>
        </w:rPr>
        <w:t>46</w:t>
      </w:r>
      <w:r w:rsidRPr="00D53FAE">
        <w:rPr>
          <w:rFonts w:ascii="Times New Roman" w:hAnsi="Times New Roman" w:cs="Times New Roman"/>
        </w:rPr>
        <w:t>)</w:t>
      </w:r>
    </w:p>
    <w:p w:rsidR="000962E0" w:rsidRPr="008E2DC3" w:rsidRDefault="000962E0" w:rsidP="00362C6D">
      <w:pPr>
        <w:spacing w:before="0" w:after="200" w:line="276" w:lineRule="auto"/>
        <w:ind w:left="2160"/>
      </w:pPr>
      <w:r w:rsidRPr="008E2DC3">
        <w:rPr>
          <w:bCs/>
        </w:rPr>
        <w:t>Rewriting/revitalizing IT education and skill development process</w:t>
      </w:r>
    </w:p>
    <w:p w:rsidR="000962E0" w:rsidRPr="008E2DC3" w:rsidRDefault="000962E0" w:rsidP="003A237D">
      <w:pPr>
        <w:numPr>
          <w:ilvl w:val="0"/>
          <w:numId w:val="44"/>
        </w:numPr>
        <w:spacing w:before="0" w:after="0" w:line="276" w:lineRule="auto"/>
      </w:pPr>
      <w:r w:rsidRPr="008E2DC3">
        <w:t>Prioritizing university participation on the basis of their ability to handle capital investment and expand IT education for higher level skills far beyond computer technicians and/or MS office applications</w:t>
      </w:r>
    </w:p>
    <w:p w:rsidR="000962E0" w:rsidRPr="008E2DC3" w:rsidRDefault="000962E0" w:rsidP="003A237D">
      <w:pPr>
        <w:numPr>
          <w:ilvl w:val="0"/>
          <w:numId w:val="44"/>
        </w:numPr>
        <w:spacing w:before="0" w:after="0" w:line="276" w:lineRule="auto"/>
      </w:pPr>
      <w:r w:rsidRPr="008E2DC3">
        <w:t>Partner universities to be drawn from both public and private domains</w:t>
      </w:r>
    </w:p>
    <w:p w:rsidR="000962E0" w:rsidRPr="008E2DC3" w:rsidRDefault="000962E0" w:rsidP="003A237D">
      <w:pPr>
        <w:numPr>
          <w:ilvl w:val="0"/>
          <w:numId w:val="44"/>
        </w:numPr>
        <w:spacing w:before="0" w:after="0" w:line="276" w:lineRule="auto"/>
      </w:pPr>
      <w:r w:rsidRPr="008E2DC3">
        <w:t>Major restructuring of university based IT education in terms of content, quality and relevance of curriculum, university-industry linkage and job readiness at level 1 – 4 of graduates without industry orientation (apprenticeship) program and work readiness with apprenticeship program for industry absorption</w:t>
      </w:r>
    </w:p>
    <w:p w:rsidR="000962E0" w:rsidRPr="008E2DC3" w:rsidRDefault="000962E0" w:rsidP="003A237D">
      <w:pPr>
        <w:numPr>
          <w:ilvl w:val="0"/>
          <w:numId w:val="44"/>
        </w:numPr>
        <w:spacing w:before="0" w:after="0" w:line="276" w:lineRule="auto"/>
      </w:pPr>
      <w:r w:rsidRPr="008E2DC3">
        <w:t>Establishment of an academy which will transform job ready and work ready new generation of university graduates into mid and higher level IT skills, supervisors and managers and also entrepreneurs for direct entry into industry</w:t>
      </w:r>
    </w:p>
    <w:p w:rsidR="000962E0" w:rsidRDefault="000962E0" w:rsidP="003A237D">
      <w:pPr>
        <w:numPr>
          <w:ilvl w:val="0"/>
          <w:numId w:val="44"/>
        </w:numPr>
        <w:spacing w:before="0" w:after="0" w:line="276" w:lineRule="auto"/>
      </w:pPr>
      <w:r w:rsidRPr="008E2DC3">
        <w:lastRenderedPageBreak/>
        <w:t>Medium to longer term government and ADB commitment for university support under the program and beyond</w:t>
      </w:r>
    </w:p>
    <w:p w:rsidR="000962E0" w:rsidRDefault="000962E0" w:rsidP="003A237D">
      <w:pPr>
        <w:numPr>
          <w:ilvl w:val="0"/>
          <w:numId w:val="44"/>
        </w:numPr>
        <w:spacing w:before="0" w:after="0" w:line="276" w:lineRule="auto"/>
      </w:pPr>
      <w:r w:rsidRPr="000962E0">
        <w:t>Focus on longer term sustainability of the program</w:t>
      </w:r>
    </w:p>
    <w:p w:rsidR="000962E0" w:rsidRDefault="000962E0" w:rsidP="000962E0">
      <w:pPr>
        <w:spacing w:before="0" w:after="0" w:line="276" w:lineRule="auto"/>
      </w:pPr>
    </w:p>
    <w:p w:rsidR="00CE7487" w:rsidRDefault="00CE7487" w:rsidP="00CE7487">
      <w:pPr>
        <w:spacing w:before="0" w:after="0" w:line="276" w:lineRule="auto"/>
        <w:rPr>
          <w:b/>
        </w:rPr>
      </w:pPr>
      <w:r>
        <w:rPr>
          <w:b/>
        </w:rPr>
        <w:t>Figure 46: IT Parks Development and Vision 2041</w:t>
      </w:r>
    </w:p>
    <w:p w:rsidR="00CE7487" w:rsidRPr="00CE7487" w:rsidRDefault="00CE7487" w:rsidP="00CE7487">
      <w:pPr>
        <w:spacing w:before="0" w:after="0" w:line="276" w:lineRule="auto"/>
        <w:rPr>
          <w:b/>
        </w:rPr>
      </w:pPr>
      <w:r>
        <w:rPr>
          <w:noProof/>
        </w:rPr>
        <w:drawing>
          <wp:inline distT="0" distB="0" distL="0" distR="0" wp14:anchorId="2C6F474F" wp14:editId="0EB6FD6C">
            <wp:extent cx="6027420" cy="4587240"/>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027420" cy="4587240"/>
                    </a:xfrm>
                    <a:prstGeom prst="rect">
                      <a:avLst/>
                    </a:prstGeom>
                  </pic:spPr>
                </pic:pic>
              </a:graphicData>
            </a:graphic>
          </wp:inline>
        </w:drawing>
      </w:r>
    </w:p>
    <w:p w:rsidR="00D53FAE" w:rsidRPr="000962E0" w:rsidRDefault="00D53FAE" w:rsidP="000962E0">
      <w:pPr>
        <w:spacing w:before="0" w:after="0" w:line="276" w:lineRule="auto"/>
      </w:pPr>
    </w:p>
    <w:p w:rsidR="008E2DC3" w:rsidRDefault="003A237D" w:rsidP="003A237D">
      <w:pPr>
        <w:numPr>
          <w:ilvl w:val="0"/>
          <w:numId w:val="44"/>
        </w:numPr>
        <w:spacing w:before="0" w:after="0" w:line="276" w:lineRule="auto"/>
      </w:pPr>
      <w:r w:rsidRPr="008E2DC3">
        <w:t>A dynamic facilitation program for placement of university/academy trained IT skills in industry, R &amp; D, teaching and incubators at home as well as abroad</w:t>
      </w:r>
    </w:p>
    <w:p w:rsidR="00D53FAE" w:rsidRDefault="008E2DC3" w:rsidP="003A237D">
      <w:pPr>
        <w:numPr>
          <w:ilvl w:val="0"/>
          <w:numId w:val="44"/>
        </w:numPr>
        <w:spacing w:before="0" w:after="0" w:line="276" w:lineRule="auto"/>
      </w:pPr>
      <w:r w:rsidRPr="008E2DC3">
        <w:t xml:space="preserve">A new structure for IT education and skill development in Bangladesh (Figure </w:t>
      </w:r>
      <w:r>
        <w:t>47</w:t>
      </w:r>
      <w:r w:rsidRPr="008E2DC3">
        <w:t>)</w:t>
      </w:r>
    </w:p>
    <w:p w:rsidR="008E2DC3" w:rsidRDefault="008E2DC3" w:rsidP="008E2DC3">
      <w:pPr>
        <w:spacing w:before="0" w:after="0" w:line="276" w:lineRule="auto"/>
        <w:ind w:left="720"/>
      </w:pPr>
    </w:p>
    <w:p w:rsidR="000962E0" w:rsidRPr="000962E0" w:rsidRDefault="000962E0" w:rsidP="00362C6D">
      <w:pPr>
        <w:spacing w:before="0" w:after="200"/>
        <w:ind w:left="2160" w:firstLine="720"/>
      </w:pPr>
      <w:r w:rsidRPr="000962E0">
        <w:rPr>
          <w:bCs/>
        </w:rPr>
        <w:t>Market entry</w:t>
      </w:r>
    </w:p>
    <w:p w:rsidR="000962E0" w:rsidRPr="000962E0" w:rsidRDefault="000962E0" w:rsidP="003A237D">
      <w:pPr>
        <w:numPr>
          <w:ilvl w:val="0"/>
          <w:numId w:val="45"/>
        </w:numPr>
        <w:spacing w:before="0" w:after="0"/>
      </w:pPr>
      <w:r w:rsidRPr="000962E0">
        <w:t>Clear Guideline for market entry should be in place</w:t>
      </w:r>
    </w:p>
    <w:p w:rsidR="000962E0" w:rsidRPr="000962E0" w:rsidRDefault="000962E0" w:rsidP="003A237D">
      <w:pPr>
        <w:numPr>
          <w:ilvl w:val="0"/>
          <w:numId w:val="45"/>
        </w:numPr>
        <w:spacing w:before="0" w:after="0"/>
      </w:pPr>
      <w:r w:rsidRPr="000962E0">
        <w:t xml:space="preserve">Appropriate legal and regulatory measures and policy should be in place encourage market entry and secure business of the new entrants. </w:t>
      </w:r>
    </w:p>
    <w:p w:rsidR="000962E0" w:rsidRPr="000962E0" w:rsidRDefault="000962E0" w:rsidP="003A237D">
      <w:pPr>
        <w:numPr>
          <w:ilvl w:val="0"/>
          <w:numId w:val="45"/>
        </w:numPr>
        <w:spacing w:before="0" w:after="0"/>
      </w:pPr>
      <w:r w:rsidRPr="000962E0">
        <w:t>Lack of transparency in license renewal process</w:t>
      </w:r>
    </w:p>
    <w:p w:rsidR="000962E0" w:rsidRDefault="000962E0" w:rsidP="003A237D">
      <w:pPr>
        <w:numPr>
          <w:ilvl w:val="0"/>
          <w:numId w:val="45"/>
        </w:numPr>
        <w:spacing w:before="0" w:after="0"/>
      </w:pPr>
      <w:r w:rsidRPr="000962E0">
        <w:t>A transparent, rational, and market oriented license renewal process needs to be ensured</w:t>
      </w:r>
    </w:p>
    <w:p w:rsidR="000962E0" w:rsidRDefault="000962E0" w:rsidP="003A237D">
      <w:pPr>
        <w:numPr>
          <w:ilvl w:val="0"/>
          <w:numId w:val="45"/>
        </w:numPr>
        <w:spacing w:before="0" w:after="0"/>
      </w:pPr>
      <w:r w:rsidRPr="000962E0">
        <w:t>Monopolistic trend in mobile financial services market</w:t>
      </w:r>
    </w:p>
    <w:p w:rsidR="00D07720" w:rsidRDefault="00D07720" w:rsidP="00D07720">
      <w:pPr>
        <w:spacing w:before="0" w:after="0"/>
      </w:pPr>
    </w:p>
    <w:p w:rsidR="008E2DC3" w:rsidRDefault="008E2DC3" w:rsidP="008E2DC3">
      <w:pPr>
        <w:spacing w:before="0" w:after="0"/>
        <w:rPr>
          <w:b/>
        </w:rPr>
      </w:pPr>
      <w:r>
        <w:rPr>
          <w:b/>
        </w:rPr>
        <w:lastRenderedPageBreak/>
        <w:t>Figure 47: IT Education and skill development in Bangladesh</w:t>
      </w:r>
    </w:p>
    <w:p w:rsidR="000962E0" w:rsidRDefault="008E2DC3" w:rsidP="008E2DC3">
      <w:pPr>
        <w:spacing w:before="0" w:after="0"/>
      </w:pPr>
      <w:r>
        <w:rPr>
          <w:noProof/>
        </w:rPr>
        <w:drawing>
          <wp:inline distT="0" distB="0" distL="0" distR="0" wp14:anchorId="0E6D7551" wp14:editId="3A9F8C50">
            <wp:extent cx="5943600" cy="3957955"/>
            <wp:effectExtent l="19050" t="19050" r="19050" b="2349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3957955"/>
                    </a:xfrm>
                    <a:prstGeom prst="rect">
                      <a:avLst/>
                    </a:prstGeom>
                    <a:ln>
                      <a:solidFill>
                        <a:schemeClr val="tx1"/>
                      </a:solidFill>
                    </a:ln>
                  </pic:spPr>
                </pic:pic>
              </a:graphicData>
            </a:graphic>
          </wp:inline>
        </w:drawing>
      </w:r>
    </w:p>
    <w:p w:rsidR="000962E0" w:rsidRDefault="000962E0" w:rsidP="008E2DC3">
      <w:pPr>
        <w:spacing w:before="0" w:after="0"/>
      </w:pPr>
    </w:p>
    <w:p w:rsidR="000962E0" w:rsidRPr="000962E0" w:rsidRDefault="000962E0" w:rsidP="00362C6D">
      <w:pPr>
        <w:spacing w:before="0" w:after="200"/>
        <w:ind w:left="1440"/>
      </w:pPr>
      <w:r w:rsidRPr="000962E0">
        <w:rPr>
          <w:b/>
          <w:bCs/>
        </w:rPr>
        <w:tab/>
      </w:r>
      <w:r>
        <w:rPr>
          <w:b/>
          <w:bCs/>
        </w:rPr>
        <w:tab/>
      </w:r>
      <w:r w:rsidRPr="000962E0">
        <w:rPr>
          <w:bCs/>
        </w:rPr>
        <w:t>Competitive tariff</w:t>
      </w:r>
    </w:p>
    <w:p w:rsidR="00D46886" w:rsidRPr="000962E0" w:rsidRDefault="003A237D" w:rsidP="003A237D">
      <w:pPr>
        <w:numPr>
          <w:ilvl w:val="0"/>
          <w:numId w:val="46"/>
        </w:numPr>
        <w:spacing w:before="0" w:after="0"/>
      </w:pPr>
      <w:r w:rsidRPr="000962E0">
        <w:t>Internationally competitive tax system on IT sector (export, import, general service tax)</w:t>
      </w:r>
    </w:p>
    <w:p w:rsidR="00D46886" w:rsidRPr="000962E0" w:rsidRDefault="003A237D" w:rsidP="003A237D">
      <w:pPr>
        <w:numPr>
          <w:ilvl w:val="0"/>
          <w:numId w:val="46"/>
        </w:numPr>
        <w:spacing w:before="0" w:after="0"/>
      </w:pPr>
      <w:r w:rsidRPr="000962E0">
        <w:t>Broadband service quality is poor and tariff for access high (one of the highest in the region) as there is no tariff regulation. For the broadband sector, price ceilings/floors should be set, based on long-run-incremental-cost of an efficient operator or on any regional best practice</w:t>
      </w:r>
    </w:p>
    <w:p w:rsidR="000962E0" w:rsidRDefault="003A237D" w:rsidP="003A237D">
      <w:pPr>
        <w:numPr>
          <w:ilvl w:val="0"/>
          <w:numId w:val="46"/>
        </w:numPr>
        <w:spacing w:before="0" w:after="0"/>
      </w:pPr>
      <w:r w:rsidRPr="000962E0">
        <w:t>Tariff adjustment procedure and equipment imports time consuming</w:t>
      </w:r>
    </w:p>
    <w:p w:rsidR="000962E0" w:rsidRDefault="000962E0" w:rsidP="003A237D">
      <w:pPr>
        <w:numPr>
          <w:ilvl w:val="0"/>
          <w:numId w:val="46"/>
        </w:numPr>
        <w:spacing w:before="0" w:after="200"/>
      </w:pPr>
      <w:r w:rsidRPr="000962E0">
        <w:t>Interconnection prices are arbitrary and not based on cost base</w:t>
      </w:r>
    </w:p>
    <w:p w:rsidR="000962E0" w:rsidRPr="000962E0" w:rsidRDefault="000962E0" w:rsidP="00362C6D">
      <w:pPr>
        <w:spacing w:before="0" w:after="200"/>
        <w:ind w:left="2160" w:firstLine="720"/>
      </w:pPr>
      <w:r w:rsidRPr="000962E0">
        <w:rPr>
          <w:bCs/>
        </w:rPr>
        <w:t>Connectivity</w:t>
      </w:r>
    </w:p>
    <w:p w:rsidR="00D46886" w:rsidRPr="000962E0" w:rsidRDefault="003A237D" w:rsidP="003A237D">
      <w:pPr>
        <w:numPr>
          <w:ilvl w:val="0"/>
          <w:numId w:val="47"/>
        </w:numPr>
        <w:spacing w:before="0" w:after="0"/>
      </w:pPr>
      <w:r w:rsidRPr="000962E0">
        <w:t>Internet connection, speed, reliability and cost - bandwidth fee</w:t>
      </w:r>
    </w:p>
    <w:p w:rsidR="00D46886" w:rsidRPr="000962E0" w:rsidRDefault="003A237D" w:rsidP="003A237D">
      <w:pPr>
        <w:numPr>
          <w:ilvl w:val="0"/>
          <w:numId w:val="47"/>
        </w:numPr>
        <w:spacing w:before="0" w:after="0"/>
      </w:pPr>
      <w:r w:rsidRPr="000962E0">
        <w:t>Investment in last mile connectivity</w:t>
      </w:r>
    </w:p>
    <w:p w:rsidR="00D46886" w:rsidRPr="000962E0" w:rsidRDefault="003A237D" w:rsidP="003A237D">
      <w:pPr>
        <w:numPr>
          <w:ilvl w:val="0"/>
          <w:numId w:val="47"/>
        </w:numPr>
        <w:spacing w:before="0" w:after="200"/>
      </w:pPr>
      <w:r w:rsidRPr="000962E0">
        <w:t>Reliable infrastructure – consisting of power, high-speed, internet connection and appropriate equipment (reliable electricity supply)</w:t>
      </w:r>
    </w:p>
    <w:p w:rsidR="00D07720" w:rsidRDefault="000962E0" w:rsidP="000962E0">
      <w:pPr>
        <w:spacing w:before="0" w:after="200"/>
        <w:rPr>
          <w:b/>
          <w:bCs/>
        </w:rPr>
      </w:pPr>
      <w:r w:rsidRPr="000962E0">
        <w:rPr>
          <w:b/>
          <w:bCs/>
        </w:rPr>
        <w:tab/>
      </w:r>
      <w:r>
        <w:rPr>
          <w:b/>
          <w:bCs/>
        </w:rPr>
        <w:tab/>
      </w:r>
    </w:p>
    <w:p w:rsidR="000962E0" w:rsidRPr="000962E0" w:rsidRDefault="000962E0" w:rsidP="00362C6D">
      <w:pPr>
        <w:spacing w:before="0" w:after="200"/>
        <w:ind w:left="2160" w:firstLine="720"/>
      </w:pPr>
      <w:r w:rsidRPr="000962E0">
        <w:rPr>
          <w:bCs/>
        </w:rPr>
        <w:t>Legal and regulatory framework</w:t>
      </w:r>
    </w:p>
    <w:p w:rsidR="00D46886" w:rsidRPr="000962E0" w:rsidRDefault="003A237D" w:rsidP="003A237D">
      <w:pPr>
        <w:numPr>
          <w:ilvl w:val="0"/>
          <w:numId w:val="48"/>
        </w:numPr>
        <w:spacing w:before="0" w:after="0"/>
      </w:pPr>
      <w:r w:rsidRPr="000962E0">
        <w:t>Highly complex regulatory environment</w:t>
      </w:r>
    </w:p>
    <w:p w:rsidR="00D46886" w:rsidRPr="000962E0" w:rsidRDefault="003A237D" w:rsidP="003A237D">
      <w:pPr>
        <w:numPr>
          <w:ilvl w:val="0"/>
          <w:numId w:val="48"/>
        </w:numPr>
        <w:spacing w:before="0" w:after="0"/>
      </w:pPr>
      <w:r w:rsidRPr="000962E0">
        <w:t>A comprehensive set of legal and regulatory instruments should have been put in place</w:t>
      </w:r>
    </w:p>
    <w:p w:rsidR="00D46886" w:rsidRPr="000962E0" w:rsidRDefault="003A237D" w:rsidP="003A237D">
      <w:pPr>
        <w:numPr>
          <w:ilvl w:val="0"/>
          <w:numId w:val="48"/>
        </w:numPr>
        <w:spacing w:before="0" w:after="0"/>
      </w:pPr>
      <w:r w:rsidRPr="000962E0">
        <w:lastRenderedPageBreak/>
        <w:t>Appropriate law and rules for curbing anti-competitive practices and market failures</w:t>
      </w:r>
    </w:p>
    <w:p w:rsidR="00D46886" w:rsidRPr="000962E0" w:rsidRDefault="003A237D" w:rsidP="003A237D">
      <w:pPr>
        <w:numPr>
          <w:ilvl w:val="0"/>
          <w:numId w:val="48"/>
        </w:numPr>
        <w:spacing w:before="0" w:after="0"/>
      </w:pPr>
      <w:r w:rsidRPr="000962E0">
        <w:t>Active implementation of the infrastructure sharing guidelines to prevent non-tariff barriers for the market entrants in voice, internet, and value added service (VAS) sectors</w:t>
      </w:r>
    </w:p>
    <w:p w:rsidR="00D46886" w:rsidRPr="000962E0" w:rsidRDefault="003A237D" w:rsidP="003A237D">
      <w:pPr>
        <w:numPr>
          <w:ilvl w:val="0"/>
          <w:numId w:val="48"/>
        </w:numPr>
        <w:spacing w:before="0" w:after="0"/>
      </w:pPr>
      <w:r w:rsidRPr="000962E0">
        <w:t>BTRC Officials are now very slow in taking decisions</w:t>
      </w:r>
    </w:p>
    <w:p w:rsidR="00D46886" w:rsidRDefault="003A237D" w:rsidP="003A237D">
      <w:pPr>
        <w:numPr>
          <w:ilvl w:val="0"/>
          <w:numId w:val="48"/>
        </w:numPr>
        <w:spacing w:before="0" w:after="200"/>
      </w:pPr>
      <w:r w:rsidRPr="000962E0">
        <w:t>Transparency: Litmus test</w:t>
      </w:r>
    </w:p>
    <w:p w:rsidR="000962E0" w:rsidRPr="000962E0" w:rsidRDefault="000962E0" w:rsidP="00362C6D">
      <w:pPr>
        <w:spacing w:before="0" w:after="200"/>
        <w:ind w:left="2880"/>
      </w:pPr>
      <w:r w:rsidRPr="000962E0">
        <w:rPr>
          <w:bCs/>
        </w:rPr>
        <w:t>Enabling Environment</w:t>
      </w:r>
    </w:p>
    <w:p w:rsidR="00D46886" w:rsidRPr="000962E0" w:rsidRDefault="003A237D" w:rsidP="003A237D">
      <w:pPr>
        <w:numPr>
          <w:ilvl w:val="1"/>
          <w:numId w:val="49"/>
        </w:numPr>
        <w:tabs>
          <w:tab w:val="clear" w:pos="1440"/>
          <w:tab w:val="num" w:pos="720"/>
        </w:tabs>
        <w:spacing w:before="0" w:after="0"/>
        <w:ind w:left="720"/>
      </w:pPr>
      <w:r w:rsidRPr="000962E0">
        <w:t>Continued Political support at the top level</w:t>
      </w:r>
    </w:p>
    <w:p w:rsidR="00D46886" w:rsidRPr="000962E0" w:rsidRDefault="003A237D" w:rsidP="003A237D">
      <w:pPr>
        <w:numPr>
          <w:ilvl w:val="1"/>
          <w:numId w:val="49"/>
        </w:numPr>
        <w:tabs>
          <w:tab w:val="clear" w:pos="1440"/>
          <w:tab w:val="num" w:pos="720"/>
        </w:tabs>
        <w:spacing w:before="0" w:after="0"/>
        <w:ind w:left="720"/>
      </w:pPr>
      <w:r w:rsidRPr="000962E0">
        <w:t>Cash subsidy, tax burden and supporting infrastructure investments (road, rail, airport and social services) to make IT Parks attractive destination for investors</w:t>
      </w:r>
    </w:p>
    <w:p w:rsidR="00D46886" w:rsidRPr="000962E0" w:rsidRDefault="003A237D" w:rsidP="003A237D">
      <w:pPr>
        <w:numPr>
          <w:ilvl w:val="1"/>
          <w:numId w:val="49"/>
        </w:numPr>
        <w:tabs>
          <w:tab w:val="clear" w:pos="1440"/>
          <w:tab w:val="num" w:pos="720"/>
        </w:tabs>
        <w:spacing w:before="0" w:after="0"/>
        <w:ind w:left="720"/>
      </w:pPr>
      <w:r w:rsidRPr="000962E0">
        <w:t>Tax incentive for start up</w:t>
      </w:r>
    </w:p>
    <w:p w:rsidR="00D46886" w:rsidRPr="000962E0" w:rsidRDefault="003A237D" w:rsidP="003A237D">
      <w:pPr>
        <w:numPr>
          <w:ilvl w:val="1"/>
          <w:numId w:val="49"/>
        </w:numPr>
        <w:tabs>
          <w:tab w:val="clear" w:pos="1440"/>
          <w:tab w:val="num" w:pos="720"/>
        </w:tabs>
        <w:spacing w:before="0" w:after="0"/>
        <w:ind w:left="720"/>
      </w:pPr>
      <w:r w:rsidRPr="000962E0">
        <w:t>Intellectual property rights under academic – industry collaboration</w:t>
      </w:r>
    </w:p>
    <w:p w:rsidR="00D46886" w:rsidRPr="000962E0" w:rsidRDefault="003A237D" w:rsidP="003A237D">
      <w:pPr>
        <w:numPr>
          <w:ilvl w:val="1"/>
          <w:numId w:val="49"/>
        </w:numPr>
        <w:tabs>
          <w:tab w:val="clear" w:pos="1440"/>
          <w:tab w:val="num" w:pos="720"/>
        </w:tabs>
        <w:spacing w:before="0" w:after="0"/>
        <w:ind w:left="720"/>
      </w:pPr>
      <w:r w:rsidRPr="000962E0">
        <w:t>Smooth transition from incubation to IT parks</w:t>
      </w:r>
    </w:p>
    <w:p w:rsidR="00D46886" w:rsidRPr="000962E0" w:rsidRDefault="003A237D" w:rsidP="003A237D">
      <w:pPr>
        <w:numPr>
          <w:ilvl w:val="1"/>
          <w:numId w:val="49"/>
        </w:numPr>
        <w:tabs>
          <w:tab w:val="clear" w:pos="1440"/>
          <w:tab w:val="num" w:pos="720"/>
        </w:tabs>
        <w:spacing w:before="0" w:after="0"/>
        <w:ind w:left="720"/>
      </w:pPr>
      <w:r w:rsidRPr="000962E0">
        <w:t>Land concessions</w:t>
      </w:r>
    </w:p>
    <w:p w:rsidR="00D46886" w:rsidRPr="000962E0" w:rsidRDefault="003A237D" w:rsidP="003A237D">
      <w:pPr>
        <w:numPr>
          <w:ilvl w:val="1"/>
          <w:numId w:val="49"/>
        </w:numPr>
        <w:tabs>
          <w:tab w:val="clear" w:pos="1440"/>
          <w:tab w:val="num" w:pos="720"/>
        </w:tabs>
        <w:spacing w:before="0" w:after="0"/>
        <w:ind w:left="720"/>
      </w:pPr>
      <w:r w:rsidRPr="000962E0">
        <w:t>Rent subsidy</w:t>
      </w:r>
    </w:p>
    <w:p w:rsidR="00D46886" w:rsidRPr="000962E0" w:rsidRDefault="003A237D" w:rsidP="003A237D">
      <w:pPr>
        <w:numPr>
          <w:ilvl w:val="1"/>
          <w:numId w:val="49"/>
        </w:numPr>
        <w:tabs>
          <w:tab w:val="clear" w:pos="1440"/>
          <w:tab w:val="num" w:pos="720"/>
        </w:tabs>
        <w:spacing w:before="0" w:after="0"/>
        <w:ind w:left="720"/>
      </w:pPr>
      <w:r w:rsidRPr="000962E0">
        <w:t>Security</w:t>
      </w:r>
    </w:p>
    <w:p w:rsidR="00D46886" w:rsidRPr="000962E0" w:rsidRDefault="003A237D" w:rsidP="003A237D">
      <w:pPr>
        <w:numPr>
          <w:ilvl w:val="1"/>
          <w:numId w:val="49"/>
        </w:numPr>
        <w:tabs>
          <w:tab w:val="clear" w:pos="1440"/>
          <w:tab w:val="num" w:pos="720"/>
        </w:tabs>
        <w:spacing w:before="0" w:after="0"/>
        <w:ind w:left="720"/>
      </w:pPr>
      <w:r w:rsidRPr="000962E0">
        <w:t>Transport</w:t>
      </w:r>
    </w:p>
    <w:p w:rsidR="00D46886" w:rsidRPr="000962E0" w:rsidRDefault="003A237D" w:rsidP="003A237D">
      <w:pPr>
        <w:numPr>
          <w:ilvl w:val="1"/>
          <w:numId w:val="49"/>
        </w:numPr>
        <w:tabs>
          <w:tab w:val="clear" w:pos="1440"/>
          <w:tab w:val="num" w:pos="720"/>
        </w:tabs>
        <w:spacing w:before="0" w:after="0"/>
        <w:ind w:left="720"/>
      </w:pPr>
      <w:r w:rsidRPr="000962E0">
        <w:t>Networking (infra, hardware and software)</w:t>
      </w:r>
    </w:p>
    <w:p w:rsidR="000962E0" w:rsidRDefault="003A237D" w:rsidP="003A237D">
      <w:pPr>
        <w:numPr>
          <w:ilvl w:val="1"/>
          <w:numId w:val="49"/>
        </w:numPr>
        <w:tabs>
          <w:tab w:val="clear" w:pos="1440"/>
          <w:tab w:val="num" w:pos="720"/>
        </w:tabs>
        <w:spacing w:before="0" w:after="0"/>
        <w:ind w:left="720"/>
      </w:pPr>
      <w:r w:rsidRPr="000962E0">
        <w:t>Joint R &amp; D in priority areas</w:t>
      </w:r>
    </w:p>
    <w:p w:rsidR="00CB3502" w:rsidRDefault="000962E0" w:rsidP="003A237D">
      <w:pPr>
        <w:numPr>
          <w:ilvl w:val="1"/>
          <w:numId w:val="49"/>
        </w:numPr>
        <w:tabs>
          <w:tab w:val="clear" w:pos="1440"/>
          <w:tab w:val="num" w:pos="720"/>
        </w:tabs>
        <w:spacing w:before="0" w:after="0"/>
        <w:ind w:left="720"/>
      </w:pPr>
      <w:r w:rsidRPr="000962E0">
        <w:t>Shared lab</w:t>
      </w:r>
    </w:p>
    <w:p w:rsidR="00D46886" w:rsidRPr="00CB3502" w:rsidRDefault="003A237D" w:rsidP="003A237D">
      <w:pPr>
        <w:numPr>
          <w:ilvl w:val="1"/>
          <w:numId w:val="49"/>
        </w:numPr>
        <w:tabs>
          <w:tab w:val="clear" w:pos="1440"/>
          <w:tab w:val="num" w:pos="720"/>
        </w:tabs>
        <w:spacing w:before="0" w:after="0"/>
        <w:ind w:left="720"/>
      </w:pPr>
      <w:r w:rsidRPr="00CB3502">
        <w:t>Joint data center</w:t>
      </w:r>
    </w:p>
    <w:p w:rsidR="00D46886" w:rsidRPr="00CB3502" w:rsidRDefault="003A237D" w:rsidP="003A237D">
      <w:pPr>
        <w:numPr>
          <w:ilvl w:val="1"/>
          <w:numId w:val="49"/>
        </w:numPr>
        <w:tabs>
          <w:tab w:val="clear" w:pos="1440"/>
          <w:tab w:val="num" w:pos="720"/>
        </w:tabs>
        <w:spacing w:before="0" w:after="0"/>
        <w:ind w:left="720"/>
      </w:pPr>
      <w:r w:rsidRPr="00CB3502">
        <w:t xml:space="preserve">Patent rights </w:t>
      </w:r>
    </w:p>
    <w:p w:rsidR="00D46886" w:rsidRPr="00CB3502" w:rsidRDefault="003A237D" w:rsidP="003A237D">
      <w:pPr>
        <w:numPr>
          <w:ilvl w:val="1"/>
          <w:numId w:val="49"/>
        </w:numPr>
        <w:tabs>
          <w:tab w:val="clear" w:pos="1440"/>
          <w:tab w:val="num" w:pos="720"/>
        </w:tabs>
        <w:spacing w:before="0" w:after="0"/>
        <w:ind w:left="720"/>
      </w:pPr>
      <w:r w:rsidRPr="00CB3502">
        <w:t>Dispute resolution and legal protection</w:t>
      </w:r>
    </w:p>
    <w:p w:rsidR="00D46886" w:rsidRPr="00CB3502" w:rsidRDefault="003A237D" w:rsidP="003A237D">
      <w:pPr>
        <w:numPr>
          <w:ilvl w:val="1"/>
          <w:numId w:val="49"/>
        </w:numPr>
        <w:tabs>
          <w:tab w:val="clear" w:pos="1440"/>
          <w:tab w:val="num" w:pos="720"/>
        </w:tabs>
        <w:spacing w:before="0" w:after="0"/>
        <w:ind w:left="720"/>
      </w:pPr>
      <w:r w:rsidRPr="00CB3502">
        <w:t>Promotion, marketing and branding</w:t>
      </w:r>
    </w:p>
    <w:p w:rsidR="00D46886" w:rsidRPr="00CB3502" w:rsidRDefault="003A237D" w:rsidP="003A237D">
      <w:pPr>
        <w:numPr>
          <w:ilvl w:val="1"/>
          <w:numId w:val="49"/>
        </w:numPr>
        <w:tabs>
          <w:tab w:val="clear" w:pos="1440"/>
          <w:tab w:val="num" w:pos="720"/>
        </w:tabs>
        <w:spacing w:before="0" w:after="0"/>
        <w:ind w:left="720"/>
      </w:pPr>
      <w:r w:rsidRPr="00CB3502">
        <w:t>Tech conference</w:t>
      </w:r>
    </w:p>
    <w:p w:rsidR="00D46886" w:rsidRPr="00CB3502" w:rsidRDefault="003A237D" w:rsidP="003A237D">
      <w:pPr>
        <w:numPr>
          <w:ilvl w:val="1"/>
          <w:numId w:val="49"/>
        </w:numPr>
        <w:tabs>
          <w:tab w:val="clear" w:pos="1440"/>
          <w:tab w:val="num" w:pos="720"/>
        </w:tabs>
        <w:spacing w:before="0" w:after="0"/>
        <w:ind w:left="720"/>
      </w:pPr>
      <w:r w:rsidRPr="00CB3502">
        <w:t>Tech fair</w:t>
      </w:r>
    </w:p>
    <w:p w:rsidR="00D46886" w:rsidRPr="00CB3502" w:rsidRDefault="003A237D" w:rsidP="003A237D">
      <w:pPr>
        <w:numPr>
          <w:ilvl w:val="1"/>
          <w:numId w:val="49"/>
        </w:numPr>
        <w:tabs>
          <w:tab w:val="clear" w:pos="1440"/>
          <w:tab w:val="num" w:pos="720"/>
        </w:tabs>
        <w:spacing w:before="0" w:after="0"/>
        <w:ind w:left="720"/>
      </w:pPr>
      <w:r w:rsidRPr="00CB3502">
        <w:t>Road show</w:t>
      </w:r>
    </w:p>
    <w:p w:rsidR="00D46886" w:rsidRPr="00CB3502" w:rsidRDefault="003A237D" w:rsidP="003A237D">
      <w:pPr>
        <w:numPr>
          <w:ilvl w:val="1"/>
          <w:numId w:val="49"/>
        </w:numPr>
        <w:tabs>
          <w:tab w:val="clear" w:pos="1440"/>
          <w:tab w:val="num" w:pos="720"/>
        </w:tabs>
        <w:spacing w:before="0" w:after="0"/>
        <w:ind w:left="720"/>
      </w:pPr>
      <w:r w:rsidRPr="00CB3502">
        <w:t>Enabling framework for foreign private investment</w:t>
      </w:r>
    </w:p>
    <w:p w:rsidR="00D46886" w:rsidRPr="00CB3502" w:rsidRDefault="003A237D" w:rsidP="003A237D">
      <w:pPr>
        <w:numPr>
          <w:ilvl w:val="1"/>
          <w:numId w:val="49"/>
        </w:numPr>
        <w:tabs>
          <w:tab w:val="clear" w:pos="1440"/>
          <w:tab w:val="num" w:pos="720"/>
        </w:tabs>
        <w:spacing w:before="0" w:after="0"/>
        <w:ind w:left="720"/>
      </w:pPr>
      <w:r w:rsidRPr="00CB3502">
        <w:t>Government grant and procurement</w:t>
      </w:r>
    </w:p>
    <w:p w:rsidR="00D46886" w:rsidRPr="00CB3502" w:rsidRDefault="003A237D" w:rsidP="003A237D">
      <w:pPr>
        <w:numPr>
          <w:ilvl w:val="1"/>
          <w:numId w:val="49"/>
        </w:numPr>
        <w:tabs>
          <w:tab w:val="clear" w:pos="1440"/>
          <w:tab w:val="num" w:pos="720"/>
        </w:tabs>
        <w:spacing w:before="0" w:after="0"/>
        <w:ind w:left="720"/>
      </w:pPr>
      <w:r w:rsidRPr="00CB3502">
        <w:t>Good governance - A must at all levels of development and operation</w:t>
      </w:r>
    </w:p>
    <w:p w:rsidR="00CB3502" w:rsidRDefault="00CB3502" w:rsidP="003A237D">
      <w:pPr>
        <w:numPr>
          <w:ilvl w:val="1"/>
          <w:numId w:val="49"/>
        </w:numPr>
        <w:tabs>
          <w:tab w:val="clear" w:pos="1440"/>
          <w:tab w:val="num" w:pos="720"/>
        </w:tabs>
        <w:spacing w:before="0" w:after="200"/>
        <w:ind w:left="720"/>
      </w:pPr>
      <w:r w:rsidRPr="00CB3502">
        <w:t>Financing equipment like computers, printers, multimedia projectors, scanners, etc and reducing tariff burden on these</w:t>
      </w:r>
    </w:p>
    <w:p w:rsidR="00CB3502" w:rsidRPr="00CB3502" w:rsidRDefault="00CB3502" w:rsidP="00362C6D">
      <w:pPr>
        <w:spacing w:before="0" w:after="200"/>
        <w:ind w:left="2160" w:firstLine="720"/>
      </w:pPr>
      <w:r w:rsidRPr="00CB3502">
        <w:rPr>
          <w:bCs/>
        </w:rPr>
        <w:t>Strategic location and optimal space planning</w:t>
      </w:r>
    </w:p>
    <w:p w:rsidR="00D46886" w:rsidRPr="00CB3502" w:rsidRDefault="003A237D" w:rsidP="003A237D">
      <w:pPr>
        <w:numPr>
          <w:ilvl w:val="1"/>
          <w:numId w:val="50"/>
        </w:numPr>
        <w:tabs>
          <w:tab w:val="clear" w:pos="1440"/>
          <w:tab w:val="num" w:pos="720"/>
        </w:tabs>
        <w:spacing w:before="0" w:after="200"/>
        <w:ind w:left="720"/>
      </w:pPr>
      <w:r w:rsidRPr="00CB3502">
        <w:t>IT clusters on EC (economic corridors) and in industrial cluster (e.g., Dhaka, Karnaphuli and Chittagong) and also linked to EZs</w:t>
      </w:r>
    </w:p>
    <w:p w:rsidR="00CB3502" w:rsidRPr="00CB3502" w:rsidRDefault="00CB3502" w:rsidP="00362C6D">
      <w:pPr>
        <w:spacing w:before="0" w:after="200"/>
        <w:ind w:left="2880"/>
      </w:pPr>
      <w:r w:rsidRPr="00CB3502">
        <w:rPr>
          <w:bCs/>
        </w:rPr>
        <w:t>Commitment to policy reform</w:t>
      </w:r>
      <w:r w:rsidRPr="00CB3502">
        <w:t xml:space="preserve"> </w:t>
      </w:r>
    </w:p>
    <w:p w:rsidR="00D46886" w:rsidRPr="00CB3502" w:rsidRDefault="003A237D" w:rsidP="003A237D">
      <w:pPr>
        <w:numPr>
          <w:ilvl w:val="1"/>
          <w:numId w:val="51"/>
        </w:numPr>
        <w:tabs>
          <w:tab w:val="clear" w:pos="1440"/>
          <w:tab w:val="num" w:pos="720"/>
        </w:tabs>
        <w:spacing w:before="0" w:after="200"/>
        <w:ind w:left="720"/>
      </w:pPr>
      <w:r w:rsidRPr="00CB3502">
        <w:t>EC, EZ and IT Parks development has to be an integral part of the economy wide policy agenda driven by economic liberalization, trade policy reforms, industrialization policy</w:t>
      </w:r>
    </w:p>
    <w:p w:rsidR="00CB3502" w:rsidRPr="00CB3502" w:rsidRDefault="00CB3502" w:rsidP="00362C6D">
      <w:pPr>
        <w:spacing w:before="0" w:after="200"/>
        <w:ind w:left="1440"/>
      </w:pPr>
      <w:r w:rsidRPr="00CB3502">
        <w:tab/>
      </w:r>
      <w:r>
        <w:tab/>
      </w:r>
      <w:r w:rsidRPr="00CB3502">
        <w:rPr>
          <w:bCs/>
        </w:rPr>
        <w:t>Commitment to strong economic rationale</w:t>
      </w:r>
    </w:p>
    <w:p w:rsidR="00D46886" w:rsidRPr="00CB3502" w:rsidRDefault="003A237D" w:rsidP="003A237D">
      <w:pPr>
        <w:numPr>
          <w:ilvl w:val="0"/>
          <w:numId w:val="52"/>
        </w:numPr>
        <w:spacing w:before="0" w:after="200"/>
      </w:pPr>
      <w:r w:rsidRPr="00CB3502">
        <w:t>IT development around comparative advantage with focus on strategic sectors</w:t>
      </w:r>
    </w:p>
    <w:p w:rsidR="00CB3502" w:rsidRPr="00CB3502" w:rsidRDefault="00CB3502" w:rsidP="00362C6D">
      <w:pPr>
        <w:spacing w:before="0" w:after="200"/>
        <w:ind w:left="1440"/>
      </w:pPr>
      <w:r w:rsidRPr="00CB3502">
        <w:tab/>
      </w:r>
      <w:r w:rsidRPr="00CB3502">
        <w:rPr>
          <w:b/>
          <w:bCs/>
        </w:rPr>
        <w:t xml:space="preserve"> </w:t>
      </w:r>
      <w:r>
        <w:rPr>
          <w:b/>
          <w:bCs/>
        </w:rPr>
        <w:tab/>
      </w:r>
      <w:r w:rsidRPr="00CB3502">
        <w:rPr>
          <w:bCs/>
        </w:rPr>
        <w:t>Commitment to innovation</w:t>
      </w:r>
    </w:p>
    <w:p w:rsidR="00D46886" w:rsidRPr="00CB3502" w:rsidRDefault="003A237D" w:rsidP="003A237D">
      <w:pPr>
        <w:numPr>
          <w:ilvl w:val="0"/>
          <w:numId w:val="53"/>
        </w:numPr>
        <w:spacing w:before="0" w:after="0"/>
      </w:pPr>
      <w:r w:rsidRPr="00CB3502">
        <w:lastRenderedPageBreak/>
        <w:t>Facilitation of tech transfer and product and process innovation</w:t>
      </w:r>
    </w:p>
    <w:p w:rsidR="00D46886" w:rsidRPr="00CB3502" w:rsidRDefault="003A237D" w:rsidP="003A237D">
      <w:pPr>
        <w:numPr>
          <w:ilvl w:val="0"/>
          <w:numId w:val="53"/>
        </w:numPr>
        <w:spacing w:before="0" w:after="200"/>
      </w:pPr>
      <w:r w:rsidRPr="00CB3502">
        <w:t>Focus on IT innovation for the preservation of the environment and climate change adaptation and mitigation as well as exploitation of untapped resources (blue economy)</w:t>
      </w:r>
    </w:p>
    <w:p w:rsidR="00CB3502" w:rsidRPr="00CB3502" w:rsidRDefault="00CB3502" w:rsidP="00362C6D">
      <w:pPr>
        <w:spacing w:before="0" w:after="200"/>
        <w:ind w:left="2160"/>
      </w:pPr>
      <w:r w:rsidRPr="00CB3502">
        <w:tab/>
      </w:r>
      <w:r w:rsidRPr="00CB3502">
        <w:rPr>
          <w:bCs/>
        </w:rPr>
        <w:t>Commitment to market</w:t>
      </w:r>
    </w:p>
    <w:p w:rsidR="00CB3502" w:rsidRDefault="003A237D" w:rsidP="003A237D">
      <w:pPr>
        <w:numPr>
          <w:ilvl w:val="0"/>
          <w:numId w:val="54"/>
        </w:numPr>
        <w:spacing w:before="0" w:after="0"/>
      </w:pPr>
      <w:r w:rsidRPr="00CB3502">
        <w:t>Market expansion and deepening</w:t>
      </w:r>
    </w:p>
    <w:p w:rsidR="00CB3502" w:rsidRPr="00CB3502" w:rsidRDefault="00CB3502" w:rsidP="00362C6D">
      <w:pPr>
        <w:numPr>
          <w:ilvl w:val="0"/>
          <w:numId w:val="54"/>
        </w:numPr>
        <w:spacing w:before="0" w:after="200"/>
      </w:pPr>
      <w:r w:rsidRPr="00CB3502">
        <w:t>Road show to selected international destinations (</w:t>
      </w:r>
      <w:r w:rsidR="005D7430" w:rsidRPr="00CB3502">
        <w:t>Silicon Valley</w:t>
      </w:r>
      <w:r w:rsidRPr="00CB3502">
        <w:t>) to attract participation by some well-known brand names</w:t>
      </w:r>
    </w:p>
    <w:p w:rsidR="000D0027" w:rsidRPr="00D45B4B" w:rsidRDefault="00D45B4B" w:rsidP="00397FED">
      <w:pPr>
        <w:pStyle w:val="ListParagraph"/>
        <w:numPr>
          <w:ilvl w:val="0"/>
          <w:numId w:val="1"/>
        </w:numPr>
        <w:spacing w:before="0" w:after="200" w:line="276" w:lineRule="auto"/>
        <w:contextualSpacing w:val="0"/>
        <w:rPr>
          <w:rFonts w:ascii="Times New Roman" w:hAnsi="Times New Roman" w:cs="Times New Roman"/>
          <w:caps/>
        </w:rPr>
      </w:pPr>
      <w:r w:rsidRPr="00D45B4B">
        <w:rPr>
          <w:rFonts w:ascii="Times New Roman" w:hAnsi="Times New Roman" w:cs="Times New Roman"/>
          <w:b/>
          <w:color w:val="365F91" w:themeColor="accent1" w:themeShade="BF"/>
        </w:rPr>
        <w:t>INSTITUTIONS AND ECONOMIC DEVELOPMENT AND PROSPERITY</w:t>
      </w:r>
      <w:r w:rsidR="00D2121C" w:rsidRPr="00D45B4B">
        <w:rPr>
          <w:rFonts w:ascii="Times New Roman" w:hAnsi="Times New Roman" w:cs="Times New Roman"/>
          <w:caps/>
        </w:rPr>
        <w:t xml:space="preserve">   </w:t>
      </w:r>
    </w:p>
    <w:p w:rsidR="00167619" w:rsidRPr="00167619" w:rsidRDefault="00167619" w:rsidP="00903CAF">
      <w:pPr>
        <w:spacing w:before="0" w:after="200" w:line="276" w:lineRule="auto"/>
        <w:rPr>
          <w:b/>
        </w:rPr>
      </w:pPr>
      <w:r>
        <w:rPr>
          <w:b/>
        </w:rPr>
        <w:t>Primacy of institutions</w:t>
      </w:r>
    </w:p>
    <w:p w:rsidR="006F49B1" w:rsidRDefault="005173C1" w:rsidP="00903CAF">
      <w:pPr>
        <w:spacing w:before="0" w:after="200" w:line="276" w:lineRule="auto"/>
      </w:pPr>
      <w:r w:rsidRPr="002B17C3">
        <w:t>This section will provide a</w:t>
      </w:r>
      <w:r w:rsidR="00BE302C" w:rsidRPr="002B17C3">
        <w:t xml:space="preserve"> brief review (history and cross-country evidence) of how institutions of governance and economic management relate to and have fostered economic development around the globe</w:t>
      </w:r>
      <w:proofErr w:type="gramStart"/>
      <w:r w:rsidR="00BE302C" w:rsidRPr="002B17C3">
        <w:t>….how</w:t>
      </w:r>
      <w:proofErr w:type="gramEnd"/>
      <w:r w:rsidR="00BE302C" w:rsidRPr="002B17C3">
        <w:t xml:space="preserve"> differences in prosperity may be explained by differences in economic institutions</w:t>
      </w:r>
      <w:r w:rsidRPr="002B17C3">
        <w:t xml:space="preserve">. Selected countries have been grouped into four categories on the basis of </w:t>
      </w:r>
      <w:r w:rsidR="006F49B1">
        <w:t xml:space="preserve">World Bank indicator for </w:t>
      </w:r>
      <w:r w:rsidRPr="002B17C3">
        <w:t>governance effectiveness:</w:t>
      </w:r>
      <w:r w:rsidR="003861C9">
        <w:t xml:space="preserve"> </w:t>
      </w:r>
      <w:r w:rsidR="003861C9" w:rsidRPr="003861C9">
        <w:t>very weak (effectiveness indicator &lt;-1), weak (effectiveness indicator 0.00 to -1), moderate (effectiveness indicator 0.00 to 1.50), good (effectiveness indicator 1.50 to 2) and very good (effectiveness indicator &gt;2)</w:t>
      </w:r>
      <w:r w:rsidR="00E73DC9" w:rsidRPr="002B17C3">
        <w:t xml:space="preserve">. </w:t>
      </w:r>
    </w:p>
    <w:p w:rsidR="00E92897" w:rsidRDefault="00DC1E1A" w:rsidP="00903CAF">
      <w:pPr>
        <w:spacing w:before="0" w:after="200" w:line="276" w:lineRule="auto"/>
      </w:pPr>
      <w:r w:rsidRPr="002B17C3">
        <w:t>An initial examination of data suggests</w:t>
      </w:r>
      <w:r w:rsidR="004C03C4" w:rsidRPr="002B17C3">
        <w:t xml:space="preserve"> that prosperity </w:t>
      </w:r>
      <w:r w:rsidRPr="002B17C3">
        <w:t>is correlated with governance effectiveness</w:t>
      </w:r>
      <w:r w:rsidR="00081C7B" w:rsidRPr="002B17C3">
        <w:t xml:space="preserve"> (Table </w:t>
      </w:r>
      <w:r w:rsidR="006F49B1">
        <w:t>8</w:t>
      </w:r>
      <w:r w:rsidR="00081C7B" w:rsidRPr="002B17C3">
        <w:t>)</w:t>
      </w:r>
      <w:r w:rsidRPr="002B17C3">
        <w:t xml:space="preserve">. </w:t>
      </w:r>
      <w:r w:rsidR="002E459C" w:rsidRPr="002B17C3">
        <w:t xml:space="preserve">Causality is more complex and difficult to establish. Cross country regression may say something about causality but there are inherent analytical and statistical problems associated with cross country regression work. Besides, this section will touch upon both the institutions of governance as well as those of economic management. Institutions of governance and economic management are many including government, market, corporation, judiciary, executive, legislature, public administration, planning, budget, finance, banking, and regulatory regime for the private sector, management of the land market, financial stability, financial inclusion, capital market, micro financial institutions, financial governance, urban governance, law and order, political governance. It will be quite a task to fit these variables in a multivariate single equation model especially when </w:t>
      </w:r>
      <w:r w:rsidR="00F057B9" w:rsidRPr="002B17C3">
        <w:t>many are correlated giving rise to multicollinearity problem. Besides</w:t>
      </w:r>
      <w:r w:rsidR="006F49B1">
        <w:t>,</w:t>
      </w:r>
      <w:r w:rsidR="00F057B9" w:rsidRPr="002B17C3">
        <w:t xml:space="preserve"> the choice of dependent variable is also clouded by alternatives that may appear equally meaningful but may convey different messages. We need a prosperity variable that is credible and meaningful and completely independent explanatory institutional variables pertaining to governance and economic management for a statistical regression to work </w:t>
      </w:r>
      <w:r w:rsidR="004E377E" w:rsidRPr="002B17C3">
        <w:t xml:space="preserve">even though it is mired in measurement problem with many being nothing more than perception indicators. </w:t>
      </w:r>
    </w:p>
    <w:p w:rsidR="00E92897" w:rsidRDefault="00E92897" w:rsidP="00903CAF">
      <w:pPr>
        <w:spacing w:before="0" w:after="200" w:line="276" w:lineRule="auto"/>
      </w:pPr>
    </w:p>
    <w:p w:rsidR="00E92897" w:rsidRDefault="00E92897" w:rsidP="00903CAF">
      <w:pPr>
        <w:spacing w:before="0" w:after="200" w:line="276" w:lineRule="auto"/>
      </w:pPr>
    </w:p>
    <w:p w:rsidR="000865F9" w:rsidRDefault="000865F9">
      <w:pPr>
        <w:rPr>
          <w:b/>
        </w:rPr>
      </w:pPr>
      <w:r>
        <w:rPr>
          <w:b/>
        </w:rPr>
        <w:br w:type="page"/>
      </w:r>
    </w:p>
    <w:p w:rsidR="00E92897" w:rsidRDefault="00E92897" w:rsidP="00E92897">
      <w:pPr>
        <w:spacing w:before="0" w:after="0" w:line="276" w:lineRule="auto"/>
        <w:rPr>
          <w:b/>
        </w:rPr>
      </w:pPr>
      <w:r w:rsidRPr="000448CF">
        <w:rPr>
          <w:b/>
        </w:rPr>
        <w:lastRenderedPageBreak/>
        <w:t xml:space="preserve">Table </w:t>
      </w:r>
      <w:r>
        <w:rPr>
          <w:b/>
        </w:rPr>
        <w:t>8</w:t>
      </w:r>
      <w:r w:rsidRPr="000448CF">
        <w:rPr>
          <w:b/>
        </w:rPr>
        <w:t>: Governance Effectiveness, Economic Managem</w:t>
      </w:r>
      <w:r>
        <w:rPr>
          <w:b/>
        </w:rPr>
        <w:t>ent and Economic Prosperity 2015</w:t>
      </w:r>
    </w:p>
    <w:p w:rsidR="00E92897" w:rsidRDefault="00E92897" w:rsidP="00E92897">
      <w:pPr>
        <w:spacing w:before="0" w:after="0"/>
        <w:rPr>
          <w:sz w:val="18"/>
          <w:szCs w:val="18"/>
        </w:rPr>
      </w:pPr>
      <w:r w:rsidRPr="007F11E6">
        <w:rPr>
          <w:noProof/>
          <w:sz w:val="18"/>
          <w:szCs w:val="18"/>
        </w:rPr>
        <w:drawing>
          <wp:inline distT="0" distB="0" distL="0" distR="0" wp14:anchorId="2EC56681" wp14:editId="65FA2001">
            <wp:extent cx="5844540" cy="7840980"/>
            <wp:effectExtent l="19050" t="19050" r="22860" b="26670"/>
            <wp:docPr id="17419" name="Picture 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44540" cy="7840980"/>
                    </a:xfrm>
                    <a:prstGeom prst="rect">
                      <a:avLst/>
                    </a:prstGeom>
                    <a:noFill/>
                    <a:ln>
                      <a:solidFill>
                        <a:schemeClr val="tx1"/>
                      </a:solidFill>
                    </a:ln>
                  </pic:spPr>
                </pic:pic>
              </a:graphicData>
            </a:graphic>
          </wp:inline>
        </w:drawing>
      </w:r>
    </w:p>
    <w:p w:rsidR="00E92897" w:rsidRDefault="00E92897" w:rsidP="00E92897">
      <w:pPr>
        <w:spacing w:before="0" w:after="0" w:line="276" w:lineRule="auto"/>
        <w:rPr>
          <w:b/>
        </w:rPr>
      </w:pPr>
      <w:r>
        <w:rPr>
          <w:sz w:val="18"/>
          <w:szCs w:val="18"/>
        </w:rPr>
        <w:t>Source: Annex 2</w:t>
      </w:r>
    </w:p>
    <w:p w:rsidR="00A1161B" w:rsidRPr="002B17C3" w:rsidRDefault="004E377E" w:rsidP="00903CAF">
      <w:pPr>
        <w:spacing w:before="0" w:after="200" w:line="276" w:lineRule="auto"/>
        <w:rPr>
          <w:b/>
        </w:rPr>
      </w:pPr>
      <w:r w:rsidRPr="002B17C3">
        <w:lastRenderedPageBreak/>
        <w:t>Given th</w:t>
      </w:r>
      <w:r w:rsidR="00E92897">
        <w:t>e above</w:t>
      </w:r>
      <w:r w:rsidRPr="002B17C3">
        <w:t xml:space="preserve"> backdrop, the approach taken here </w:t>
      </w:r>
      <w:r w:rsidR="00E92897">
        <w:t>is to carry out correlation analysis and</w:t>
      </w:r>
      <w:r w:rsidRPr="002B17C3">
        <w:t xml:space="preserve"> select important institutions of governance and economic management for selected countries and carry out in-depth country case studies to establish how these may or may not have influenced levels of prosperity of the sample countries </w:t>
      </w:r>
      <w:r w:rsidR="006F5551" w:rsidRPr="002B17C3">
        <w:t>drawing upon the conceptual framework analyses presented in Section II</w:t>
      </w:r>
      <w:r w:rsidRPr="002B17C3">
        <w:t>.</w:t>
      </w:r>
      <w:r w:rsidR="006F5551" w:rsidRPr="002B17C3">
        <w:t xml:space="preserve"> Prosperity will be variously defined recognizing that it is not a single element, it is a vector.</w:t>
      </w:r>
      <w:r w:rsidR="00E92897">
        <w:t xml:space="preserve"> Three variables are chosen to represent country prosperity, namely, GDP per capita, gross fixed capital formation and total trade.</w:t>
      </w:r>
    </w:p>
    <w:p w:rsidR="00494151" w:rsidRDefault="00C93DCF" w:rsidP="00903CAF">
      <w:pPr>
        <w:spacing w:before="0" w:after="200" w:line="276" w:lineRule="auto"/>
      </w:pPr>
      <w:r w:rsidRPr="002B17C3">
        <w:t>Institutions are important from both short and longer-term perspective. Institutional integrity, institutional reforms and institutional transformation over development epochs of any country including Bangladesh are processes to be harnessed in logical sequence as a continuum and not as discrete interventions. Longer term institution-building have to be synchronized with short term actions and interventions. Short-term actions must be anchored in longer-term development perspective. What is good for short-term</w:t>
      </w:r>
      <w:r w:rsidR="0085121C" w:rsidRPr="002B17C3">
        <w:t>,</w:t>
      </w:r>
      <w:r w:rsidRPr="002B17C3">
        <w:t xml:space="preserve"> has to be good for the longer-term too. </w:t>
      </w:r>
      <w:r w:rsidR="0085121C" w:rsidRPr="002B17C3">
        <w:t>In the same vein longer-term institution building has to work for short-term</w:t>
      </w:r>
      <w:r w:rsidRPr="002B17C3">
        <w:t>.</w:t>
      </w:r>
      <w:r w:rsidR="0085121C" w:rsidRPr="002B17C3">
        <w:t xml:space="preserve"> </w:t>
      </w:r>
    </w:p>
    <w:p w:rsidR="00DA166D" w:rsidRDefault="0085121C" w:rsidP="00903CAF">
      <w:pPr>
        <w:spacing w:before="0" w:after="200" w:line="276" w:lineRule="auto"/>
      </w:pPr>
      <w:r w:rsidRPr="002B17C3">
        <w:t xml:space="preserve">In a recent policy dialogue with the Government of Bangladesh, the International Monetary Fund has identified seven challenges that might slow down the economy and recommended some solutions which are in some sense truncated in the sense that for Bangladesh to sustain the current growth momentum, accelerate it and transform the economy into a developed country mode, solutions to all challenges must have longer-term underpinning (Table </w:t>
      </w:r>
      <w:r w:rsidR="00AC75E9">
        <w:t>9</w:t>
      </w:r>
      <w:r w:rsidRPr="002B17C3">
        <w:t xml:space="preserve">). </w:t>
      </w:r>
      <w:r w:rsidR="00BF7F4C" w:rsidRPr="002B17C3">
        <w:t xml:space="preserve">Recommendations would have to be pursued on a sustained basis. </w:t>
      </w:r>
      <w:r w:rsidRPr="002B17C3">
        <w:t>Short-term patchwork will not do</w:t>
      </w:r>
      <w:r w:rsidR="00BF7F4C" w:rsidRPr="002B17C3">
        <w:t>, be it pluralistic democracy or banking and trade sector reform</w:t>
      </w:r>
      <w:r w:rsidRPr="002B17C3">
        <w:t xml:space="preserve">. </w:t>
      </w:r>
      <w:r w:rsidR="00BF7F4C" w:rsidRPr="002B17C3">
        <w:t>For example, PRI under Sadiq Ahmed and Zaidi Sattar have long been researching on longer –term policy and institutional implication</w:t>
      </w:r>
      <w:r w:rsidR="00116606" w:rsidRPr="002B17C3">
        <w:t>s</w:t>
      </w:r>
      <w:r w:rsidR="00BF7F4C" w:rsidRPr="002B17C3">
        <w:t xml:space="preserve"> of export </w:t>
      </w:r>
      <w:r w:rsidR="00116606" w:rsidRPr="002B17C3">
        <w:t xml:space="preserve">competitiveness and </w:t>
      </w:r>
      <w:r w:rsidR="00BF7F4C" w:rsidRPr="002B17C3">
        <w:t>diversification while the government seem to be hung up</w:t>
      </w:r>
      <w:r w:rsidR="00116606" w:rsidRPr="002B17C3">
        <w:t xml:space="preserve"> </w:t>
      </w:r>
      <w:r w:rsidR="00BF7F4C" w:rsidRPr="002B17C3">
        <w:t>on short-term popular measure</w:t>
      </w:r>
      <w:r w:rsidR="00116606" w:rsidRPr="002B17C3">
        <w:t>s like enhanced protectionism</w:t>
      </w:r>
      <w:r w:rsidR="00BF7F4C" w:rsidRPr="002B17C3">
        <w:t xml:space="preserve"> </w:t>
      </w:r>
      <w:r w:rsidR="00116606" w:rsidRPr="002B17C3">
        <w:t xml:space="preserve">(anti-export biased tariff policy) </w:t>
      </w:r>
      <w:r w:rsidR="00BF7F4C" w:rsidRPr="002B17C3">
        <w:t xml:space="preserve">that will hinder </w:t>
      </w:r>
      <w:r w:rsidR="00116606" w:rsidRPr="002B17C3">
        <w:t xml:space="preserve">rather than facilitate </w:t>
      </w:r>
      <w:r w:rsidR="00BF7F4C" w:rsidRPr="002B17C3">
        <w:t>diversification over the longer term</w:t>
      </w:r>
      <w:r w:rsidR="008C25FE" w:rsidRPr="002B17C3">
        <w:t>. Slow pace of longer-term tax and banking reforms has also held ba</w:t>
      </w:r>
      <w:r w:rsidR="00494151">
        <w:t>ck</w:t>
      </w:r>
      <w:r w:rsidR="008C25FE" w:rsidRPr="002B17C3">
        <w:t xml:space="preserve"> Indian progress. </w:t>
      </w:r>
      <w:r w:rsidR="00116606" w:rsidRPr="002B17C3">
        <w:t xml:space="preserve"> </w:t>
      </w:r>
      <w:r w:rsidRPr="002B17C3">
        <w:t xml:space="preserve">The differences in longer-term prosperity of countries have to be explained not by static </w:t>
      </w:r>
      <w:r w:rsidR="0085751A" w:rsidRPr="002B17C3">
        <w:t>analysis of differences in economic institutions but also look at dynamic transformation of institutions over the longer-term. So, the current functioning of institutions is as important as institutional transformation. This section will reflect further on this note.</w:t>
      </w:r>
    </w:p>
    <w:p w:rsidR="00494151" w:rsidRDefault="008E4781" w:rsidP="005D4900">
      <w:pPr>
        <w:spacing w:before="0" w:after="200" w:line="276" w:lineRule="auto"/>
        <w:rPr>
          <w:b/>
        </w:rPr>
      </w:pPr>
      <w:r>
        <w:t>One point is important to note. The society itself is an example of dynamic institution, supporting progress, defending freedom, protecting against natural and man-made aggression, establishing norms and rules of behavior and monitoring their implementation and adherence. This image of society is natural evolution from the origin of human existence. In the measure of time capsule some societies ar</w:t>
      </w:r>
      <w:r w:rsidR="000C0449">
        <w:t>e</w:t>
      </w:r>
      <w:r>
        <w:t xml:space="preserve"> inherently strong </w:t>
      </w:r>
      <w:r w:rsidR="000C0449">
        <w:t xml:space="preserve">and structured, easily amenable to discipline which is easier if the society is relatively homogenous and accommodating as is the case of Bangladesh. </w:t>
      </w:r>
      <w:r w:rsidR="005D4900">
        <w:t>In such setting institutions are automatic transmitters of transformation with significant developmental impact.</w:t>
      </w:r>
      <w:r w:rsidR="00494151">
        <w:rPr>
          <w:b/>
        </w:rPr>
        <w:br w:type="page"/>
      </w:r>
    </w:p>
    <w:p w:rsidR="00494151" w:rsidRPr="00D45B4B" w:rsidRDefault="00494151" w:rsidP="008F1257">
      <w:pPr>
        <w:spacing w:after="0" w:line="276" w:lineRule="auto"/>
        <w:rPr>
          <w:rFonts w:eastAsia="Times New Roman"/>
          <w:b/>
          <w:color w:val="000000"/>
        </w:rPr>
      </w:pPr>
      <w:r w:rsidRPr="002B17C3">
        <w:lastRenderedPageBreak/>
        <w:t xml:space="preserve">   </w:t>
      </w:r>
      <w:r w:rsidRPr="00D45B4B">
        <w:rPr>
          <w:rFonts w:eastAsia="Times New Roman"/>
          <w:b/>
          <w:color w:val="000000"/>
        </w:rPr>
        <w:t xml:space="preserve">Table </w:t>
      </w:r>
      <w:r>
        <w:rPr>
          <w:rFonts w:eastAsia="Times New Roman"/>
          <w:b/>
          <w:color w:val="000000"/>
        </w:rPr>
        <w:t>9</w:t>
      </w:r>
      <w:r w:rsidRPr="00D45B4B">
        <w:rPr>
          <w:rFonts w:eastAsia="Times New Roman"/>
          <w:b/>
          <w:color w:val="000000"/>
        </w:rPr>
        <w:t>: IMF Defined Risks and Longer-term Institutional Implication</w:t>
      </w:r>
      <w:r>
        <w:rPr>
          <w:rFonts w:eastAsia="Times New Roman"/>
          <w:b/>
          <w:color w:val="000000"/>
        </w:rPr>
        <w:t xml:space="preserve"> for Bangladesh</w:t>
      </w:r>
    </w:p>
    <w:tbl>
      <w:tblPr>
        <w:tblStyle w:val="TableGrid"/>
        <w:tblW w:w="9576" w:type="dxa"/>
        <w:tblInd w:w="108" w:type="dxa"/>
        <w:tblLook w:val="04A0" w:firstRow="1" w:lastRow="0" w:firstColumn="1" w:lastColumn="0" w:noHBand="0" w:noVBand="1"/>
      </w:tblPr>
      <w:tblGrid>
        <w:gridCol w:w="4788"/>
        <w:gridCol w:w="4788"/>
      </w:tblGrid>
      <w:tr w:rsidR="00494151" w:rsidRPr="002B17C3" w:rsidTr="00D142B1">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Risks</w:t>
            </w:r>
          </w:p>
        </w:tc>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Longer-term institutional implication</w:t>
            </w:r>
          </w:p>
        </w:tc>
      </w:tr>
      <w:tr w:rsidR="00494151" w:rsidRPr="002B17C3" w:rsidTr="00D142B1">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Return of political turmoil</w:t>
            </w:r>
          </w:p>
        </w:tc>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Pluralistic democracy</w:t>
            </w:r>
          </w:p>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Decentralization</w:t>
            </w:r>
          </w:p>
        </w:tc>
      </w:tr>
      <w:tr w:rsidR="00494151" w:rsidRPr="002B17C3" w:rsidTr="00D142B1">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Slowdown in key export markets</w:t>
            </w:r>
          </w:p>
        </w:tc>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Policy reform for improved competitiveness and diversification (commodities and destination)</w:t>
            </w:r>
          </w:p>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Skill development</w:t>
            </w:r>
          </w:p>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Technology and ICT push (IT Parks development)</w:t>
            </w:r>
          </w:p>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EPZ and EZ development</w:t>
            </w:r>
          </w:p>
        </w:tc>
      </w:tr>
      <w:tr w:rsidR="00494151" w:rsidRPr="002B17C3" w:rsidTr="00D142B1">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Weakening of remittances</w:t>
            </w:r>
          </w:p>
        </w:tc>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Skill development for exports of qualified manpower</w:t>
            </w:r>
          </w:p>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Reducing transaction cost (No/low cost migration)</w:t>
            </w:r>
          </w:p>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Exchange rate management for stability including maintaining safe foreign exchange reserve</w:t>
            </w:r>
          </w:p>
        </w:tc>
      </w:tr>
      <w:tr w:rsidR="00494151" w:rsidRPr="002B17C3" w:rsidTr="00D142B1">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Security and extremism</w:t>
            </w:r>
          </w:p>
        </w:tc>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Law and order</w:t>
            </w:r>
          </w:p>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Political participation and accommodation</w:t>
            </w:r>
          </w:p>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For a for discussion, dialogue and debate</w:t>
            </w:r>
          </w:p>
        </w:tc>
      </w:tr>
      <w:tr w:rsidR="00494151" w:rsidRPr="002B17C3" w:rsidTr="00D142B1">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The projected rise in global commodity prices</w:t>
            </w:r>
          </w:p>
        </w:tc>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Banking reform, conservative monetary policy and curb on credit expansion</w:t>
            </w:r>
          </w:p>
        </w:tc>
      </w:tr>
      <w:tr w:rsidR="00494151" w:rsidRPr="002B17C3" w:rsidTr="00D142B1">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Impact of Brexit on exports</w:t>
            </w:r>
          </w:p>
        </w:tc>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Export competitiveness with skill development, technological progress and innovation and quality improvement</w:t>
            </w:r>
          </w:p>
        </w:tc>
      </w:tr>
      <w:tr w:rsidR="00494151" w:rsidRPr="002B17C3" w:rsidTr="00D142B1">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Development in the banking especially in state owned banks</w:t>
            </w:r>
          </w:p>
        </w:tc>
        <w:tc>
          <w:tcPr>
            <w:tcW w:w="4788" w:type="dxa"/>
          </w:tcPr>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Banking reform (recapitalization tied to reforms)</w:t>
            </w:r>
          </w:p>
          <w:p w:rsidR="00494151" w:rsidRPr="00D45B4B" w:rsidRDefault="00494151" w:rsidP="00D142B1">
            <w:pPr>
              <w:spacing w:before="120" w:after="120" w:line="276" w:lineRule="auto"/>
              <w:rPr>
                <w:rFonts w:ascii="Times New Roman" w:eastAsia="Times New Roman" w:hAnsi="Times New Roman" w:cs="Times New Roman"/>
                <w:b w:val="0"/>
                <w:color w:val="000000"/>
                <w:sz w:val="20"/>
                <w:szCs w:val="20"/>
              </w:rPr>
            </w:pPr>
            <w:r w:rsidRPr="00D45B4B">
              <w:rPr>
                <w:rFonts w:ascii="Times New Roman" w:eastAsia="Times New Roman" w:hAnsi="Times New Roman" w:cs="Times New Roman"/>
                <w:b w:val="0"/>
                <w:color w:val="000000"/>
                <w:sz w:val="20"/>
                <w:szCs w:val="20"/>
              </w:rPr>
              <w:t>Privatization of state-owned banks</w:t>
            </w:r>
          </w:p>
        </w:tc>
      </w:tr>
    </w:tbl>
    <w:p w:rsidR="00494151" w:rsidRDefault="00494151" w:rsidP="00494151">
      <w:pPr>
        <w:spacing w:before="0" w:after="200" w:line="276" w:lineRule="auto"/>
        <w:rPr>
          <w:b/>
        </w:rPr>
      </w:pPr>
      <w:r w:rsidRPr="00D45B4B">
        <w:rPr>
          <w:rFonts w:eastAsia="Times New Roman"/>
          <w:color w:val="000000"/>
          <w:sz w:val="18"/>
          <w:szCs w:val="18"/>
        </w:rPr>
        <w:t xml:space="preserve">Source: The Daily Star. 12:00 AM, June 12, 2017 / LAST MODIFIED: 02:01 AM, June 12, 2017. </w:t>
      </w:r>
      <w:r w:rsidRPr="00D45B4B">
        <w:rPr>
          <w:rFonts w:eastAsia="Times New Roman"/>
          <w:bCs/>
          <w:color w:val="000000"/>
          <w:kern w:val="36"/>
          <w:sz w:val="18"/>
          <w:szCs w:val="18"/>
        </w:rPr>
        <w:t xml:space="preserve">IMF identifies future risks for Bangladesh, </w:t>
      </w:r>
      <w:r w:rsidRPr="00D45B4B">
        <w:rPr>
          <w:rFonts w:eastAsia="Times New Roman"/>
          <w:bCs/>
          <w:iCs/>
          <w:color w:val="000000"/>
          <w:sz w:val="18"/>
          <w:szCs w:val="18"/>
        </w:rPr>
        <w:t>suggests actions from policymakers to keep economy stable. Longer term implications are those of author’s</w:t>
      </w:r>
    </w:p>
    <w:p w:rsidR="007F5E7A" w:rsidRDefault="007F5E7A" w:rsidP="00587769">
      <w:pPr>
        <w:spacing w:before="0" w:after="200" w:line="276" w:lineRule="auto"/>
        <w:rPr>
          <w:b/>
        </w:rPr>
      </w:pPr>
      <w:r w:rsidRPr="003E7258">
        <w:rPr>
          <w:rFonts w:eastAsia="Times New Roman"/>
          <w:b/>
          <w:bCs/>
          <w:color w:val="000000"/>
        </w:rPr>
        <w:t>Economic prosperity and governance</w:t>
      </w:r>
      <w:r w:rsidRPr="003E7258">
        <w:rPr>
          <w:b/>
        </w:rPr>
        <w:t xml:space="preserve"> – broad overview</w:t>
      </w:r>
    </w:p>
    <w:p w:rsidR="00EE7808" w:rsidRDefault="007F5E7A" w:rsidP="007F5E7A">
      <w:pPr>
        <w:spacing w:before="0" w:after="200" w:line="276" w:lineRule="auto"/>
        <w:rPr>
          <w:rFonts w:eastAsia="Times New Roman"/>
          <w:bCs/>
          <w:color w:val="000000"/>
        </w:rPr>
      </w:pPr>
      <w:r w:rsidRPr="007F5E7A">
        <w:t>Natural homogeneity of the Bangladesh society</w:t>
      </w:r>
      <w:r w:rsidRPr="007F5E7A">
        <w:rPr>
          <w:rFonts w:eastAsia="Times New Roman"/>
          <w:bCs/>
          <w:color w:val="000000"/>
        </w:rPr>
        <w:t xml:space="preserve"> suggests</w:t>
      </w:r>
      <w:r>
        <w:rPr>
          <w:rFonts w:ascii="Calibri" w:eastAsia="Times New Roman" w:hAnsi="Calibri" w:cs="Calibri"/>
          <w:b/>
          <w:bCs/>
          <w:color w:val="000000"/>
          <w:sz w:val="28"/>
          <w:szCs w:val="28"/>
        </w:rPr>
        <w:t xml:space="preserve"> </w:t>
      </w:r>
      <w:r>
        <w:rPr>
          <w:rFonts w:eastAsia="Times New Roman"/>
          <w:bCs/>
          <w:color w:val="000000"/>
        </w:rPr>
        <w:t xml:space="preserve">that there is much dividend to be gained from institutional transformation. One has to figure out the right kind of transformation. </w:t>
      </w:r>
      <w:r w:rsidR="007968F1">
        <w:rPr>
          <w:rFonts w:eastAsia="Times New Roman"/>
          <w:bCs/>
          <w:color w:val="000000"/>
        </w:rPr>
        <w:t xml:space="preserve">Cross-country data can be analyzed to find pointers where it might pay to introduce and/or support the process of transformation. Two approaches have been combined into one. First, correlation analysis is used for a broad overview of the relationship between prosperity and institutions. Second, each institutional variable is followed up to examine country or country-group specific behavior. Prosperity variables are as said before, GDP per capita 2015, gross fixed capital </w:t>
      </w:r>
      <w:r w:rsidR="007968F1">
        <w:rPr>
          <w:rFonts w:eastAsia="Times New Roman"/>
          <w:bCs/>
          <w:color w:val="000000"/>
        </w:rPr>
        <w:lastRenderedPageBreak/>
        <w:t xml:space="preserve">formation 2015 and total trade (exports plus imports) 2015. </w:t>
      </w:r>
      <w:r w:rsidR="005B0A92">
        <w:rPr>
          <w:rFonts w:eastAsia="Times New Roman"/>
          <w:bCs/>
          <w:color w:val="000000"/>
        </w:rPr>
        <w:t>All data were extracted from the World bank database</w:t>
      </w:r>
      <w:r w:rsidR="00912B76">
        <w:rPr>
          <w:rFonts w:eastAsia="Times New Roman"/>
          <w:bCs/>
          <w:color w:val="000000"/>
        </w:rPr>
        <w:t xml:space="preserve"> and other sources cited in note to </w:t>
      </w:r>
      <w:r w:rsidR="00554C5A">
        <w:rPr>
          <w:rFonts w:eastAsia="Times New Roman"/>
          <w:bCs/>
          <w:color w:val="000000"/>
        </w:rPr>
        <w:t>Table 10</w:t>
      </w:r>
      <w:r w:rsidR="00912B76">
        <w:rPr>
          <w:rFonts w:eastAsia="Times New Roman"/>
          <w:bCs/>
          <w:color w:val="000000"/>
        </w:rPr>
        <w:t>.</w:t>
      </w:r>
    </w:p>
    <w:p w:rsidR="00EE7808" w:rsidRDefault="00EE7808" w:rsidP="007F5E7A">
      <w:pPr>
        <w:spacing w:before="0" w:after="200" w:line="276" w:lineRule="auto"/>
        <w:rPr>
          <w:rFonts w:eastAsia="Times New Roman"/>
          <w:bCs/>
          <w:color w:val="000000"/>
        </w:rPr>
      </w:pPr>
      <w:r>
        <w:rPr>
          <w:rFonts w:eastAsia="Times New Roman"/>
          <w:bCs/>
          <w:color w:val="000000"/>
        </w:rPr>
        <w:t>Eleven institutional variables are considered.</w:t>
      </w:r>
    </w:p>
    <w:p w:rsidR="00246284" w:rsidRPr="004C0FFA" w:rsidRDefault="00246284" w:rsidP="00246284">
      <w:pPr>
        <w:spacing w:after="200" w:line="276" w:lineRule="auto"/>
        <w:rPr>
          <w:color w:val="000000" w:themeColor="text1"/>
        </w:rPr>
      </w:pPr>
      <w:r w:rsidRPr="004C0FFA">
        <w:t xml:space="preserve">Governance effectiveness 2015- Estimate of governance (ranges from approximately -2.5 (weak) to 2.5 (strong) governance performance). </w:t>
      </w:r>
      <w:r w:rsidRPr="004C0FFA">
        <w:rPr>
          <w:color w:val="000000" w:themeColor="text1"/>
        </w:rPr>
        <w:t>Reflects perceptions of the quality of public services, the quality of the civil service and the degree of its independence from political pressures, the quality of policy formulation and implementation, and the credibility of the government's commitment to such policies.</w:t>
      </w:r>
    </w:p>
    <w:p w:rsidR="00246284" w:rsidRPr="004C0FFA" w:rsidRDefault="00246284" w:rsidP="00246284">
      <w:pPr>
        <w:spacing w:after="200" w:line="276" w:lineRule="auto"/>
        <w:rPr>
          <w:color w:val="000000" w:themeColor="text1"/>
        </w:rPr>
      </w:pPr>
      <w:r w:rsidRPr="004C0FFA">
        <w:rPr>
          <w:rFonts w:eastAsia="Times New Roman"/>
          <w:color w:val="000000"/>
        </w:rPr>
        <w:t xml:space="preserve">CPIA economic management cluster average 2015 - </w:t>
      </w:r>
      <w:r w:rsidRPr="004C0FFA">
        <w:rPr>
          <w:color w:val="000000" w:themeColor="text1"/>
        </w:rPr>
        <w:t xml:space="preserve">The economic management cluster includes macroeconomic management, fiscal policy, and debt policy. Measured as </w:t>
      </w:r>
      <w:r w:rsidRPr="004C0FFA">
        <w:rPr>
          <w:rFonts w:eastAsia="Times New Roman"/>
          <w:color w:val="000000"/>
        </w:rPr>
        <w:t>(1=low to 6=high).</w:t>
      </w:r>
    </w:p>
    <w:p w:rsidR="00246284" w:rsidRPr="004C0FFA" w:rsidRDefault="00246284" w:rsidP="00246284">
      <w:pPr>
        <w:pStyle w:val="NormalWeb"/>
        <w:spacing w:before="0" w:beforeAutospacing="0" w:after="0" w:afterAutospacing="0"/>
        <w:jc w:val="both"/>
        <w:rPr>
          <w:b w:val="0"/>
          <w:color w:val="000000" w:themeColor="text1"/>
        </w:rPr>
      </w:pPr>
      <w:r w:rsidRPr="004C0FFA">
        <w:rPr>
          <w:b w:val="0"/>
          <w:color w:val="000000"/>
        </w:rPr>
        <w:t xml:space="preserve">Index of economic freedom 2017 – Measured on a scale of 0 to 100. </w:t>
      </w:r>
      <w:r w:rsidRPr="004C0FFA">
        <w:rPr>
          <w:b w:val="0"/>
          <w:color w:val="000000" w:themeColor="text1"/>
        </w:rPr>
        <w:t xml:space="preserve">Index of economic freedom is measured on the basis of 12 quantitative and qualitative factors, grouped into four broad categories, or pillars, of economic freedom:    </w:t>
      </w:r>
    </w:p>
    <w:p w:rsidR="00246284" w:rsidRPr="004C0FFA" w:rsidRDefault="00246284" w:rsidP="00246284">
      <w:pPr>
        <w:pStyle w:val="NormalWeb"/>
        <w:spacing w:before="0" w:beforeAutospacing="0" w:after="200" w:afterAutospacing="0"/>
        <w:ind w:left="720"/>
        <w:jc w:val="both"/>
        <w:rPr>
          <w:b w:val="0"/>
          <w:color w:val="000000" w:themeColor="text1"/>
        </w:rPr>
      </w:pPr>
      <w:r w:rsidRPr="004C0FFA">
        <w:rPr>
          <w:b w:val="0"/>
          <w:color w:val="000000" w:themeColor="text1"/>
        </w:rPr>
        <w:t xml:space="preserve">1. Rule of Law (property rights, government integrity, judicial effectiveness)         </w:t>
      </w:r>
    </w:p>
    <w:p w:rsidR="00246284" w:rsidRPr="004C0FFA" w:rsidRDefault="00246284" w:rsidP="00246284">
      <w:pPr>
        <w:pStyle w:val="NormalWeb"/>
        <w:spacing w:before="0" w:beforeAutospacing="0" w:after="200" w:afterAutospacing="0"/>
        <w:ind w:left="720"/>
        <w:jc w:val="both"/>
        <w:rPr>
          <w:b w:val="0"/>
          <w:color w:val="000000" w:themeColor="text1"/>
        </w:rPr>
      </w:pPr>
      <w:r w:rsidRPr="004C0FFA">
        <w:rPr>
          <w:b w:val="0"/>
          <w:color w:val="000000" w:themeColor="text1"/>
        </w:rPr>
        <w:t xml:space="preserve">2. Government Size (government spending, tax burden, fiscal health)         </w:t>
      </w:r>
    </w:p>
    <w:p w:rsidR="00246284" w:rsidRPr="004C0FFA" w:rsidRDefault="00246284" w:rsidP="00246284">
      <w:pPr>
        <w:pStyle w:val="NormalWeb"/>
        <w:spacing w:before="0" w:beforeAutospacing="0" w:after="200" w:afterAutospacing="0"/>
        <w:ind w:left="720"/>
        <w:jc w:val="both"/>
        <w:rPr>
          <w:b w:val="0"/>
          <w:color w:val="000000" w:themeColor="text1"/>
        </w:rPr>
      </w:pPr>
      <w:r w:rsidRPr="004C0FFA">
        <w:rPr>
          <w:b w:val="0"/>
          <w:color w:val="000000" w:themeColor="text1"/>
        </w:rPr>
        <w:t xml:space="preserve">3. Regulatory Efficiency (business freedom, labor freedom, monetary freedom)        </w:t>
      </w:r>
    </w:p>
    <w:p w:rsidR="00246284" w:rsidRPr="004C0FFA" w:rsidRDefault="00246284" w:rsidP="00246284">
      <w:pPr>
        <w:pStyle w:val="NormalWeb"/>
        <w:spacing w:before="0" w:beforeAutospacing="0" w:after="200" w:afterAutospacing="0"/>
        <w:ind w:left="720"/>
        <w:jc w:val="both"/>
        <w:rPr>
          <w:b w:val="0"/>
          <w:color w:val="000000" w:themeColor="text1"/>
        </w:rPr>
      </w:pPr>
      <w:r w:rsidRPr="004C0FFA">
        <w:rPr>
          <w:b w:val="0"/>
          <w:color w:val="000000" w:themeColor="text1"/>
        </w:rPr>
        <w:t xml:space="preserve">4. Open Markets (trade freedom, investment freedom, financial freedom)         </w:t>
      </w:r>
    </w:p>
    <w:p w:rsidR="00246284" w:rsidRPr="004C0FFA" w:rsidRDefault="00246284" w:rsidP="00246284">
      <w:pPr>
        <w:pStyle w:val="NormalWeb"/>
        <w:spacing w:before="0" w:beforeAutospacing="0" w:after="200" w:afterAutospacing="0"/>
        <w:ind w:left="720"/>
        <w:jc w:val="both"/>
        <w:rPr>
          <w:b w:val="0"/>
          <w:color w:val="000000" w:themeColor="text1"/>
        </w:rPr>
      </w:pPr>
      <w:r w:rsidRPr="004C0FFA">
        <w:rPr>
          <w:b w:val="0"/>
          <w:color w:val="000000" w:themeColor="text1"/>
        </w:rPr>
        <w:t xml:space="preserve">Each of the twelve economic freedoms within these categories is graded on a scale of 0 to 100. </w:t>
      </w:r>
    </w:p>
    <w:p w:rsidR="00246284" w:rsidRPr="004C0FFA" w:rsidRDefault="00246284" w:rsidP="00246284">
      <w:pPr>
        <w:pStyle w:val="NormalWeb"/>
        <w:spacing w:before="0" w:beforeAutospacing="0" w:after="200" w:afterAutospacing="0"/>
        <w:ind w:left="720"/>
        <w:jc w:val="both"/>
        <w:rPr>
          <w:b w:val="0"/>
          <w:color w:val="000000" w:themeColor="text1"/>
        </w:rPr>
      </w:pPr>
      <w:r w:rsidRPr="004C0FFA">
        <w:rPr>
          <w:b w:val="0"/>
          <w:color w:val="000000" w:themeColor="text1"/>
        </w:rPr>
        <w:t>A country’s overall score is derived by averaging these twelve economic freedoms, with equal weight being given to each.</w:t>
      </w:r>
    </w:p>
    <w:p w:rsidR="00246284" w:rsidRDefault="00246284" w:rsidP="00246284">
      <w:pPr>
        <w:spacing w:before="0" w:after="200" w:line="276" w:lineRule="auto"/>
        <w:ind w:left="720"/>
        <w:rPr>
          <w:color w:val="000000" w:themeColor="text1"/>
        </w:rPr>
      </w:pPr>
      <w:r w:rsidRPr="004C0FFA">
        <w:rPr>
          <w:color w:val="000000" w:themeColor="text1"/>
        </w:rPr>
        <w:t>Cut off points are free 100-80, mostly free 79.9-70, moderately free 69.9-60, mostly unfree 59.9-50 and repressed 49.9-0.</w:t>
      </w:r>
    </w:p>
    <w:p w:rsidR="00246284" w:rsidRPr="00370288" w:rsidRDefault="00246284" w:rsidP="00246284">
      <w:pPr>
        <w:spacing w:after="200" w:line="276" w:lineRule="auto"/>
        <w:rPr>
          <w:color w:val="000000" w:themeColor="text1"/>
        </w:rPr>
      </w:pPr>
      <w:r w:rsidRPr="00370288">
        <w:rPr>
          <w:rFonts w:eastAsia="Times New Roman"/>
          <w:color w:val="000000"/>
        </w:rPr>
        <w:t xml:space="preserve">Corruption Perceptions Index 2016 – Measured as 100 is very clean and 0 is highly corrupt. </w:t>
      </w:r>
      <w:r w:rsidRPr="00370288">
        <w:rPr>
          <w:color w:val="000000" w:themeColor="text1"/>
        </w:rPr>
        <w:t>Transparency International (TI) has published the Corruption Perceptions Index (CPI) since 1996, annually ranking countries "by their perceived levels of corruption, as determined by expert assessments and opinion surveys."[1] The CPI generally defines corruption as "the misuse of public power for private benefit." The CPI currently ranks 168 countries "on a scale from 100 (very clean) to 0 (highly corrupt)."</w:t>
      </w:r>
    </w:p>
    <w:p w:rsidR="00246284" w:rsidRDefault="00246284" w:rsidP="00246284">
      <w:pPr>
        <w:spacing w:after="200" w:line="276" w:lineRule="auto"/>
        <w:rPr>
          <w:color w:val="000000" w:themeColor="text1"/>
        </w:rPr>
      </w:pPr>
      <w:r w:rsidRPr="00370288">
        <w:rPr>
          <w:rFonts w:eastAsia="Times New Roman"/>
          <w:color w:val="000000"/>
        </w:rPr>
        <w:t xml:space="preserve">Global rights index 2017 – </w:t>
      </w:r>
      <w:r w:rsidRPr="00370288">
        <w:rPr>
          <w:color w:val="000000" w:themeColor="text1"/>
        </w:rPr>
        <w:t xml:space="preserve">The ITUC Global Rights Index depicts the world’s worst countries for workers by rating 139 countries on a scale from 1-5 based on the degree of respect for workers’ rights. </w:t>
      </w:r>
    </w:p>
    <w:p w:rsidR="00246284" w:rsidRPr="00370288" w:rsidRDefault="00246284" w:rsidP="00246284">
      <w:pPr>
        <w:spacing w:after="200" w:line="276" w:lineRule="auto"/>
        <w:ind w:left="720"/>
        <w:rPr>
          <w:rFonts w:eastAsia="Times New Roman"/>
          <w:color w:val="000000"/>
        </w:rPr>
      </w:pPr>
      <w:r w:rsidRPr="00370288">
        <w:rPr>
          <w:rFonts w:eastAsia="Times New Roman"/>
          <w:color w:val="000000"/>
        </w:rPr>
        <w:lastRenderedPageBreak/>
        <w:t>Ratings are 5+ = No guarantee of rights; Rating 5 = No guarantee of rights; Rating 4 = Systematic violation of rights; Rating 3 = Regular violation of rights; Rating 2 = Repeated violations of rights; and Rating 1= No regular violations of rights.</w:t>
      </w:r>
    </w:p>
    <w:p w:rsidR="00246284" w:rsidRPr="0019799C" w:rsidRDefault="00246284" w:rsidP="00246284">
      <w:pPr>
        <w:spacing w:after="200" w:line="276" w:lineRule="auto"/>
        <w:rPr>
          <w:color w:val="000000" w:themeColor="text1"/>
        </w:rPr>
      </w:pPr>
      <w:r w:rsidRPr="00370288">
        <w:rPr>
          <w:rFonts w:eastAsia="Times New Roman"/>
          <w:color w:val="000000"/>
        </w:rPr>
        <w:t xml:space="preserve">Global competitiveness score 2016 – Score range is (1-7). </w:t>
      </w:r>
      <w:r w:rsidRPr="00370288">
        <w:rPr>
          <w:color w:val="000000" w:themeColor="text1"/>
        </w:rPr>
        <w:t xml:space="preserve">The GCI combines 114 indicators that capture concepts that matter for productivity and long-term prosperity. These indicators are grouped into twelve pillars producing three sub-indexes which are combined with various weights to generate the overall index. The 12 pillars are: institutions, infrastructure, macroeconomic environment, health and primary education, higher education and training, goods market efficiency, labor market efficiency, financial market development, technological readiness, market size, business sophistication, and innovation. The three sub-indexes are: basic requirements, </w:t>
      </w:r>
      <w:r w:rsidRPr="0019799C">
        <w:rPr>
          <w:color w:val="000000" w:themeColor="text1"/>
        </w:rPr>
        <w:t>efficiency enhancers, and innovation and sophistication factors.</w:t>
      </w:r>
    </w:p>
    <w:p w:rsidR="00246284" w:rsidRPr="0019799C" w:rsidRDefault="00246284" w:rsidP="00246284">
      <w:pPr>
        <w:spacing w:after="200" w:line="276" w:lineRule="auto"/>
        <w:rPr>
          <w:rFonts w:eastAsia="Times New Roman"/>
          <w:color w:val="000000"/>
        </w:rPr>
      </w:pPr>
      <w:r w:rsidRPr="0019799C">
        <w:rPr>
          <w:rFonts w:eastAsia="Times New Roman"/>
          <w:color w:val="000000"/>
        </w:rPr>
        <w:t xml:space="preserve">Democracy index 2016 – Democracy level is given by scores 0 to 10; 8 ≤ s ≤ 10 is full democracy; 6 ≤ s &lt; 8 is flawed democracy; 4 ≤ s &lt; 6 is hybrid regimes; and 0 ≤ s &lt; 4 is authoritarian regimes. </w:t>
      </w:r>
    </w:p>
    <w:p w:rsidR="00246284" w:rsidRPr="0019799C" w:rsidRDefault="00246284" w:rsidP="00246284">
      <w:pPr>
        <w:spacing w:after="200" w:line="276" w:lineRule="auto"/>
        <w:ind w:left="720"/>
        <w:rPr>
          <w:color w:val="000000" w:themeColor="text1"/>
        </w:rPr>
      </w:pPr>
      <w:r w:rsidRPr="0019799C">
        <w:rPr>
          <w:color w:val="000000" w:themeColor="text1"/>
        </w:rPr>
        <w:t>The Democracy Index is an index compiled by the UK-based Economist Intelligence Unit that measures the state of democracy in 167 countries. The index is based on 60 indicators grouped in five different categories measuring pluralism, civil liberties, and political culture. In addition to a numeric score and a ranking, the index categorizes countries as one of four regime types: full democracies, flawed democracies, hybrid regimes and authoritarian regimes.</w:t>
      </w:r>
    </w:p>
    <w:p w:rsidR="00246284" w:rsidRPr="0019799C" w:rsidRDefault="00246284" w:rsidP="00246284">
      <w:pPr>
        <w:spacing w:after="200" w:line="276" w:lineRule="auto"/>
        <w:ind w:left="720"/>
        <w:rPr>
          <w:color w:val="000000" w:themeColor="text1"/>
        </w:rPr>
      </w:pPr>
      <w:r w:rsidRPr="0019799C">
        <w:rPr>
          <w:color w:val="000000" w:themeColor="text1"/>
        </w:rPr>
        <w:t>Full democracies are nations where civil liberties and basic political freedoms are not only respected, but also reinforced by a political culture conducive to the thriving of democratic principles. These nations have a valid system of governmental checks and balances, independent judiciary whose decisions are enforced, governments which function adequately, and media which is diverse and independent. These nations have only limited problems in democratic functioning.</w:t>
      </w:r>
    </w:p>
    <w:p w:rsidR="00246284" w:rsidRPr="0019799C" w:rsidRDefault="00246284" w:rsidP="00246284">
      <w:pPr>
        <w:spacing w:after="200" w:line="276" w:lineRule="auto"/>
        <w:ind w:left="720"/>
        <w:rPr>
          <w:color w:val="000000" w:themeColor="text1"/>
        </w:rPr>
      </w:pPr>
      <w:r w:rsidRPr="0019799C">
        <w:rPr>
          <w:color w:val="000000" w:themeColor="text1"/>
        </w:rPr>
        <w:t>Flawed democracies are nations where elections are fair and free and basic civil liberties are honored but may have issues (e.g. media freedom infringement). Nonetheless, these nations have significant faults in other democratic aspects, including underdeveloped political culture, low levels of participation in politics, and issues in the functioning of governance.</w:t>
      </w:r>
    </w:p>
    <w:p w:rsidR="00246284" w:rsidRPr="0019799C" w:rsidRDefault="00246284" w:rsidP="00246284">
      <w:pPr>
        <w:spacing w:after="200" w:line="276" w:lineRule="auto"/>
        <w:ind w:left="720"/>
        <w:rPr>
          <w:color w:val="000000" w:themeColor="text1"/>
        </w:rPr>
      </w:pPr>
      <w:r w:rsidRPr="0019799C">
        <w:rPr>
          <w:color w:val="000000" w:themeColor="text1"/>
        </w:rPr>
        <w:t xml:space="preserve">Hybrid regimes are nations where consequential irregularities exist in elections regularly preventing them from being fair and free. These nations commonly have governments which apply pressure on political opponents, non-independent judiciaries, widespread corruption, harassment and pressure placed on the media, anemic rule of law, and more pronounced faults than flawed democracies in the realms of underdeveloped political </w:t>
      </w:r>
      <w:r w:rsidRPr="0019799C">
        <w:rPr>
          <w:color w:val="000000" w:themeColor="text1"/>
        </w:rPr>
        <w:lastRenderedPageBreak/>
        <w:t>culture, low levels of participation in politics, and issues in the functioning of governance. Bangladesh belongs to this group.</w:t>
      </w:r>
    </w:p>
    <w:p w:rsidR="00246284" w:rsidRDefault="00246284" w:rsidP="00246284">
      <w:pPr>
        <w:spacing w:after="200" w:line="276" w:lineRule="auto"/>
        <w:ind w:left="720"/>
        <w:rPr>
          <w:color w:val="000000" w:themeColor="text1"/>
        </w:rPr>
      </w:pPr>
      <w:r w:rsidRPr="0019799C">
        <w:rPr>
          <w:color w:val="000000" w:themeColor="text1"/>
        </w:rPr>
        <w:t>Authoritarian regimes are nations where political pluralism has vanished or is extremely limited. These nations are often absolute dictatorships, may have some conventional institutions of democracy- but with meager significance, infringements and abuses of civil liberties are commonplace, elections- if they take place- are not fair and free, the media is often state-owned or controlled by groups associated with the ruling regime, the judiciary is not independent, and the presence of omnipresent censorship and suppression of governmental criticism.</w:t>
      </w:r>
    </w:p>
    <w:p w:rsidR="00246284" w:rsidRPr="0019799C" w:rsidRDefault="00246284" w:rsidP="00246284">
      <w:pPr>
        <w:spacing w:after="200" w:line="276" w:lineRule="auto"/>
        <w:rPr>
          <w:color w:val="000000" w:themeColor="text1"/>
        </w:rPr>
      </w:pPr>
      <w:r w:rsidRPr="0019799C">
        <w:rPr>
          <w:rFonts w:eastAsia="Times New Roman"/>
          <w:color w:val="000000"/>
        </w:rPr>
        <w:t xml:space="preserve">Global peace index 2017 - Score on a scale of 1-5 (out of 163 countries). </w:t>
      </w:r>
      <w:r w:rsidRPr="0019799C">
        <w:rPr>
          <w:color w:val="000000" w:themeColor="text1"/>
        </w:rPr>
        <w:t>The Global Peace Index (GPI) of the Institute of Economics and Peace is an attempt to measure the relative position of nations' and regions' peacefulness. The index gauges global peace using three broad themes: the level of safety and security in society, the extent of domestic and international conflict and the degree of militarization. Factors are both internal such as levels of violence and crime within the country and external such as military expenditure. The 2017 GPI indicates Iceland, New Zealand, Portugal, Austria, and Denmark to be the most peaceful countries and Syria, Afghanistan, Iraq, South Sudan, and Yemen to be the least peaceful.</w:t>
      </w:r>
    </w:p>
    <w:p w:rsidR="00246284" w:rsidRDefault="00246284" w:rsidP="00246284">
      <w:pPr>
        <w:spacing w:after="200" w:line="276" w:lineRule="auto"/>
        <w:rPr>
          <w:color w:val="000000" w:themeColor="text1"/>
        </w:rPr>
      </w:pPr>
      <w:r w:rsidRPr="0019799C">
        <w:rPr>
          <w:rFonts w:eastAsia="Times New Roman"/>
          <w:color w:val="000000"/>
        </w:rPr>
        <w:t xml:space="preserve">World Bank ease of doing business ranks (out of 190 countries) 2017 - </w:t>
      </w:r>
      <w:r w:rsidRPr="0019799C">
        <w:rPr>
          <w:color w:val="000000" w:themeColor="text1"/>
        </w:rPr>
        <w:t>Economies are ranked on their ease of doing business, from 1–190. A high ease of doing business ranking means the regulatory environment is more conducive to the starting and operation of a local firm. The rankings are determined by sorting the aggregate distance to frontier scores on 10 topics, each consisting of several indicators, giving equal weight to each topic. The rankings for all economies are benchmarked to June 2016.</w:t>
      </w:r>
    </w:p>
    <w:p w:rsidR="00246284" w:rsidRPr="00025AEC" w:rsidRDefault="00246284" w:rsidP="00246284">
      <w:pPr>
        <w:pStyle w:val="NormalWeb"/>
        <w:spacing w:before="0" w:beforeAutospacing="0" w:after="200" w:afterAutospacing="0"/>
        <w:jc w:val="both"/>
        <w:rPr>
          <w:b w:val="0"/>
          <w:color w:val="000000" w:themeColor="text1"/>
        </w:rPr>
      </w:pPr>
      <w:r w:rsidRPr="00025AEC">
        <w:rPr>
          <w:b w:val="0"/>
          <w:color w:val="000000"/>
        </w:rPr>
        <w:t>Social institutions and gender index (</w:t>
      </w:r>
      <w:proofErr w:type="spellStart"/>
      <w:r w:rsidRPr="00025AEC">
        <w:rPr>
          <w:b w:val="0"/>
          <w:color w:val="000000"/>
        </w:rPr>
        <w:t>SiGi</w:t>
      </w:r>
      <w:proofErr w:type="spellEnd"/>
      <w:r w:rsidRPr="00025AEC">
        <w:rPr>
          <w:b w:val="0"/>
          <w:color w:val="000000"/>
        </w:rPr>
        <w:t xml:space="preserve">) score 2014 - </w:t>
      </w:r>
      <w:r w:rsidRPr="00025AEC">
        <w:rPr>
          <w:b w:val="0"/>
          <w:color w:val="000000" w:themeColor="text1"/>
        </w:rPr>
        <w:t>OECD SIGI (Social Institutions and Gender Index) classification: The SIGI scores 108 countries according to their level of discrimination in social institutions. It classifies them into five groups, from very low levels of discrimination in social institutions (15% of the countries, with a SIGI average of 0.02) to very high levels (16% of the countries).</w:t>
      </w:r>
    </w:p>
    <w:p w:rsidR="00246284" w:rsidRPr="00025AEC" w:rsidRDefault="00246284" w:rsidP="00246284">
      <w:pPr>
        <w:pStyle w:val="NormalWeb"/>
        <w:spacing w:before="0" w:beforeAutospacing="0" w:after="200" w:afterAutospacing="0"/>
        <w:ind w:firstLine="360"/>
        <w:jc w:val="both"/>
        <w:rPr>
          <w:b w:val="0"/>
          <w:color w:val="000000" w:themeColor="text1"/>
        </w:rPr>
      </w:pPr>
      <w:r w:rsidRPr="00025AEC">
        <w:rPr>
          <w:b w:val="0"/>
          <w:color w:val="000000" w:themeColor="text1"/>
        </w:rPr>
        <w:t>Composition of the SIGI</w:t>
      </w:r>
    </w:p>
    <w:p w:rsidR="00246284" w:rsidRPr="00025AEC" w:rsidRDefault="00246284" w:rsidP="00246284">
      <w:pPr>
        <w:pStyle w:val="NormalWeb"/>
        <w:spacing w:before="0" w:beforeAutospacing="0" w:after="200" w:afterAutospacing="0"/>
        <w:ind w:left="720"/>
        <w:jc w:val="both"/>
        <w:rPr>
          <w:b w:val="0"/>
          <w:color w:val="000000" w:themeColor="text1"/>
        </w:rPr>
      </w:pPr>
      <w:r w:rsidRPr="00025AEC">
        <w:rPr>
          <w:b w:val="0"/>
          <w:color w:val="000000" w:themeColor="text1"/>
        </w:rPr>
        <w:t>Discriminatory family code: Legal age of marriage, Early marriage, Parental authority and Inheritance</w:t>
      </w:r>
    </w:p>
    <w:p w:rsidR="00246284" w:rsidRPr="00025AEC" w:rsidRDefault="00246284" w:rsidP="00246284">
      <w:pPr>
        <w:pStyle w:val="NormalWeb"/>
        <w:spacing w:before="0" w:beforeAutospacing="0" w:after="200" w:afterAutospacing="0"/>
        <w:ind w:left="720"/>
        <w:jc w:val="both"/>
        <w:rPr>
          <w:b w:val="0"/>
          <w:color w:val="000000" w:themeColor="text1"/>
        </w:rPr>
      </w:pPr>
      <w:r w:rsidRPr="00025AEC">
        <w:rPr>
          <w:b w:val="0"/>
          <w:color w:val="000000" w:themeColor="text1"/>
        </w:rPr>
        <w:t>Restricted physical integrity: Violence against women, Female genital mutilation, Reproductive autonomy</w:t>
      </w:r>
    </w:p>
    <w:p w:rsidR="00246284" w:rsidRPr="00025AEC" w:rsidRDefault="00246284" w:rsidP="00246284">
      <w:pPr>
        <w:pStyle w:val="NormalWeb"/>
        <w:spacing w:before="0" w:beforeAutospacing="0" w:after="200" w:afterAutospacing="0"/>
        <w:ind w:left="720"/>
        <w:jc w:val="both"/>
        <w:rPr>
          <w:b w:val="0"/>
          <w:color w:val="000000" w:themeColor="text1"/>
        </w:rPr>
      </w:pPr>
      <w:r w:rsidRPr="00025AEC">
        <w:rPr>
          <w:b w:val="0"/>
          <w:color w:val="000000" w:themeColor="text1"/>
        </w:rPr>
        <w:t>Son bias: Missing women, Fertility preferences</w:t>
      </w:r>
    </w:p>
    <w:p w:rsidR="00246284" w:rsidRPr="00025AEC" w:rsidRDefault="00246284" w:rsidP="00246284">
      <w:pPr>
        <w:pStyle w:val="NormalWeb"/>
        <w:spacing w:before="0" w:beforeAutospacing="0" w:after="200" w:afterAutospacing="0"/>
        <w:ind w:left="720"/>
        <w:jc w:val="both"/>
        <w:rPr>
          <w:b w:val="0"/>
          <w:color w:val="000000" w:themeColor="text1"/>
        </w:rPr>
      </w:pPr>
      <w:r w:rsidRPr="00025AEC">
        <w:rPr>
          <w:b w:val="0"/>
          <w:color w:val="000000" w:themeColor="text1"/>
        </w:rPr>
        <w:lastRenderedPageBreak/>
        <w:t>Restricted resources and assets: Secure access to land, Secure access to non-land assets, Access to financial services</w:t>
      </w:r>
    </w:p>
    <w:p w:rsidR="00246284" w:rsidRPr="00025AEC" w:rsidRDefault="00246284" w:rsidP="00246284">
      <w:pPr>
        <w:spacing w:after="200" w:line="276" w:lineRule="auto"/>
        <w:ind w:left="720"/>
        <w:rPr>
          <w:color w:val="000000" w:themeColor="text1"/>
        </w:rPr>
      </w:pPr>
      <w:r w:rsidRPr="00025AEC">
        <w:rPr>
          <w:color w:val="000000" w:themeColor="text1"/>
        </w:rPr>
        <w:t>Restricted civil liberties: Access to public space, political voice</w:t>
      </w:r>
    </w:p>
    <w:p w:rsidR="00D142B1" w:rsidRDefault="00246284" w:rsidP="00246284">
      <w:pPr>
        <w:spacing w:before="0" w:after="200" w:line="276" w:lineRule="auto"/>
      </w:pPr>
      <w:r w:rsidRPr="00025AEC">
        <w:rPr>
          <w:rFonts w:eastAsia="Times New Roman"/>
          <w:color w:val="000000"/>
        </w:rPr>
        <w:t xml:space="preserve">Global Freedom score 2017 - </w:t>
      </w:r>
      <w:r w:rsidRPr="00025AEC">
        <w:rPr>
          <w:i/>
        </w:rPr>
        <w:t>Freedom in the World 2017</w:t>
      </w:r>
      <w:r w:rsidRPr="00025AEC">
        <w:t xml:space="preserve"> evaluates the state of freedom in 195 countries and 14 territories during calendar year 2016. Each country and territory is assigned between 0 and 4 points on a series of 25 indicators, for an aggregate score of up to 100. These scores are used to determine two numerical ratings, political rights and civil liberties, with a rating of 1 representing the most free conditions and 7 least free. A country or territory’s political rights and civil liberties ratings then determine whether it has an overall status of Free, Partly Free or not Free. A larger aggregate score indicates a greater level of freedom</w:t>
      </w:r>
      <w:r>
        <w:t>.</w:t>
      </w:r>
    </w:p>
    <w:p w:rsidR="009438FB" w:rsidRDefault="00D142B1" w:rsidP="00246284">
      <w:pPr>
        <w:spacing w:before="0" w:after="200" w:line="276" w:lineRule="auto"/>
      </w:pPr>
      <w:r>
        <w:t>Institutions matter in a countries growth. All prosperity variables are correlated with institutional variables, GDP per capita more closely than others</w:t>
      </w:r>
      <w:r w:rsidR="00990970">
        <w:t xml:space="preserve"> Appendix 1 and </w:t>
      </w:r>
      <w:r w:rsidR="00554C5A">
        <w:t>Table 11</w:t>
      </w:r>
      <w:r w:rsidR="00990970">
        <w:t>)</w:t>
      </w:r>
      <w:r>
        <w:t xml:space="preserve">. Insignificant correlation of economic management variable with prosperity is unexpected. Clearly there is a need to study the development path of each country separately and in-depth to see if good economic management produces good </w:t>
      </w:r>
      <w:r w:rsidR="004F44DA">
        <w:t>prosperity outcome. As for other correlates of GDP per capita, all produce correlation coefficients that are highly significant (at 1% level). If one were to be bold and draw attention to the size of coefficient as indicator of relative closeness of relation, the order in the first cluster is governance effectiveness, global competitiveness, corruption perception index, and ease of doing business which is not surprising. It is confirmation of popular belief. I</w:t>
      </w:r>
      <w:r w:rsidR="00F03BEA">
        <w:t>n</w:t>
      </w:r>
      <w:r w:rsidR="004F44DA">
        <w:t xml:space="preserve"> the second cluster important institutional variables in order are </w:t>
      </w:r>
      <w:r w:rsidR="00F03BEA">
        <w:t>index of economic freedom, democracy and global rights and global freedom. Again no surprise. What the results so far say is that efficient economic environment backed up by freedom</w:t>
      </w:r>
      <w:r w:rsidR="004F44DA">
        <w:t xml:space="preserve"> </w:t>
      </w:r>
      <w:r w:rsidR="00F03BEA">
        <w:t xml:space="preserve">and mobility will be associated with high economic achievement as given by GDP per capita. </w:t>
      </w:r>
      <w:r w:rsidR="00E55AF9">
        <w:t xml:space="preserve">Relatively low standing in terms of the size of correlation coefficient of peace index and gender discrimination index is understandable. </w:t>
      </w:r>
      <w:r w:rsidR="008A5BC3">
        <w:t>It may not be desirable otherwise, but Angola had low peace until recently but enjoyed high GDP per capita and also high rate of growth. On the other hand, Bangladesh with very high gender discrimination performed well in GDP growth and on per capita income basis moved into the lower middle income category. From this though one need not conclude that gender discrimination and peace do not matter for growth. On the contrary, these countries would have done better with greater peace and reduced gender discrimination.</w:t>
      </w:r>
    </w:p>
    <w:p w:rsidR="003E7258" w:rsidRPr="001922AF" w:rsidRDefault="009438FB" w:rsidP="00246284">
      <w:pPr>
        <w:spacing w:before="0" w:after="200" w:line="276" w:lineRule="auto"/>
        <w:rPr>
          <w:rFonts w:eastAsia="Times New Roman"/>
          <w:b/>
          <w:bCs/>
          <w:color w:val="000000"/>
        </w:rPr>
      </w:pPr>
      <w:r>
        <w:t>Going across to other prosperity indicators, gross fixed capital formation and total trade it is clear institutional variables have significant correlation in many cases but the magnitude is lower. For gross fixed capital formation governance effectiveness and global competitiveness are important, while for total trade governance effectiveness, global competitiveness, economic freedom, corruption perception, democracy and ease of doing business are important.</w:t>
      </w:r>
      <w:r w:rsidR="00525D9C">
        <w:t xml:space="preserve"> On the whole the close relationship between institutional variables and prosperity indicators suggest countries with better institutions will fare better than others. It follows from association and not necessarily causality.</w:t>
      </w:r>
      <w:r w:rsidR="007F5E7A" w:rsidRPr="001922AF">
        <w:rPr>
          <w:rFonts w:eastAsia="Times New Roman"/>
          <w:b/>
          <w:bCs/>
          <w:color w:val="000000"/>
        </w:rPr>
        <w:br w:type="page"/>
      </w:r>
    </w:p>
    <w:tbl>
      <w:tblPr>
        <w:tblW w:w="9630" w:type="dxa"/>
        <w:tblLayout w:type="fixed"/>
        <w:tblLook w:val="04A0" w:firstRow="1" w:lastRow="0" w:firstColumn="1" w:lastColumn="0" w:noHBand="0" w:noVBand="1"/>
      </w:tblPr>
      <w:tblGrid>
        <w:gridCol w:w="6706"/>
        <w:gridCol w:w="908"/>
        <w:gridCol w:w="1114"/>
        <w:gridCol w:w="902"/>
      </w:tblGrid>
      <w:tr w:rsidR="008E4781" w:rsidRPr="002306E0" w:rsidTr="00D142B1">
        <w:trPr>
          <w:trHeight w:val="468"/>
        </w:trPr>
        <w:tc>
          <w:tcPr>
            <w:tcW w:w="8728" w:type="dxa"/>
            <w:gridSpan w:val="3"/>
            <w:tcBorders>
              <w:top w:val="nil"/>
              <w:left w:val="nil"/>
              <w:bottom w:val="nil"/>
              <w:right w:val="nil"/>
            </w:tcBorders>
            <w:shd w:val="clear" w:color="auto" w:fill="auto"/>
            <w:noWrap/>
            <w:vAlign w:val="bottom"/>
            <w:hideMark/>
          </w:tcPr>
          <w:p w:rsidR="008E4781" w:rsidRPr="005B0A92" w:rsidRDefault="00554C5A" w:rsidP="00545EBD">
            <w:pPr>
              <w:spacing w:before="0" w:after="0" w:line="276" w:lineRule="auto"/>
              <w:rPr>
                <w:rFonts w:eastAsia="Times New Roman"/>
                <w:b/>
                <w:bCs/>
                <w:color w:val="000000"/>
              </w:rPr>
            </w:pPr>
            <w:r>
              <w:rPr>
                <w:rFonts w:eastAsia="Times New Roman"/>
                <w:b/>
                <w:bCs/>
                <w:color w:val="000000"/>
              </w:rPr>
              <w:lastRenderedPageBreak/>
              <w:t>Table 1</w:t>
            </w:r>
            <w:r w:rsidR="00545EBD">
              <w:rPr>
                <w:rFonts w:eastAsia="Times New Roman"/>
                <w:b/>
                <w:bCs/>
                <w:color w:val="000000"/>
              </w:rPr>
              <w:t>0</w:t>
            </w:r>
            <w:r w:rsidR="005B0A92" w:rsidRPr="005B0A92">
              <w:rPr>
                <w:rFonts w:eastAsia="Times New Roman"/>
                <w:b/>
                <w:bCs/>
                <w:color w:val="000000"/>
              </w:rPr>
              <w:t xml:space="preserve">: </w:t>
            </w:r>
            <w:r w:rsidR="008E4781" w:rsidRPr="005B0A92">
              <w:rPr>
                <w:rFonts w:eastAsia="Times New Roman"/>
                <w:b/>
                <w:bCs/>
                <w:color w:val="000000"/>
              </w:rPr>
              <w:t>Economic prosperity and governance - correlation matrix</w:t>
            </w:r>
          </w:p>
        </w:tc>
        <w:tc>
          <w:tcPr>
            <w:tcW w:w="902" w:type="dxa"/>
            <w:tcBorders>
              <w:top w:val="nil"/>
              <w:left w:val="nil"/>
              <w:bottom w:val="nil"/>
              <w:right w:val="nil"/>
            </w:tcBorders>
            <w:shd w:val="clear" w:color="auto" w:fill="auto"/>
            <w:noWrap/>
            <w:vAlign w:val="bottom"/>
            <w:hideMark/>
          </w:tcPr>
          <w:p w:rsidR="008E4781" w:rsidRPr="002306E0" w:rsidRDefault="008E4781" w:rsidP="00D142B1">
            <w:pPr>
              <w:spacing w:after="0"/>
              <w:rPr>
                <w:rFonts w:ascii="Calibri" w:eastAsia="Times New Roman" w:hAnsi="Calibri" w:cs="Calibri"/>
                <w:b/>
                <w:bCs/>
                <w:color w:val="000000"/>
                <w:sz w:val="36"/>
                <w:szCs w:val="36"/>
              </w:rPr>
            </w:pPr>
          </w:p>
        </w:tc>
      </w:tr>
      <w:tr w:rsidR="008E4781" w:rsidRPr="002306E0" w:rsidTr="00D142B1">
        <w:trPr>
          <w:trHeight w:val="864"/>
        </w:trPr>
        <w:tc>
          <w:tcPr>
            <w:tcW w:w="6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rPr>
                <w:rFonts w:eastAsia="Times New Roman"/>
                <w:color w:val="000000"/>
                <w:sz w:val="20"/>
                <w:szCs w:val="20"/>
              </w:rPr>
            </w:pPr>
            <w:r w:rsidRPr="001922AF">
              <w:rPr>
                <w:rFonts w:eastAsia="Times New Roman"/>
                <w:color w:val="000000"/>
                <w:sz w:val="20"/>
                <w:szCs w:val="20"/>
              </w:rPr>
              <w:t>Indicators</w:t>
            </w:r>
          </w:p>
        </w:tc>
        <w:tc>
          <w:tcPr>
            <w:tcW w:w="908" w:type="dxa"/>
            <w:tcBorders>
              <w:top w:val="single" w:sz="4" w:space="0" w:color="auto"/>
              <w:left w:val="nil"/>
              <w:bottom w:val="single" w:sz="4" w:space="0" w:color="auto"/>
              <w:right w:val="single" w:sz="4" w:space="0" w:color="auto"/>
            </w:tcBorders>
            <w:shd w:val="clear" w:color="auto" w:fill="auto"/>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GDP per capita 2015</w:t>
            </w:r>
          </w:p>
        </w:tc>
        <w:tc>
          <w:tcPr>
            <w:tcW w:w="1114" w:type="dxa"/>
            <w:tcBorders>
              <w:top w:val="single" w:sz="4" w:space="0" w:color="auto"/>
              <w:left w:val="nil"/>
              <w:bottom w:val="single" w:sz="4" w:space="0" w:color="auto"/>
              <w:right w:val="single" w:sz="4" w:space="0" w:color="auto"/>
            </w:tcBorders>
            <w:shd w:val="clear" w:color="auto" w:fill="auto"/>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 xml:space="preserve">Gross fixed capital formation 2015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 xml:space="preserve">Total trade 2015                                                           </w:t>
            </w:r>
          </w:p>
        </w:tc>
      </w:tr>
      <w:tr w:rsidR="008E4781" w:rsidRPr="002306E0" w:rsidTr="00D142B1">
        <w:trPr>
          <w:trHeight w:val="276"/>
        </w:trPr>
        <w:tc>
          <w:tcPr>
            <w:tcW w:w="6706" w:type="dxa"/>
            <w:tcBorders>
              <w:top w:val="nil"/>
              <w:left w:val="single" w:sz="4" w:space="0" w:color="auto"/>
              <w:bottom w:val="single" w:sz="4" w:space="0" w:color="auto"/>
              <w:right w:val="single" w:sz="4" w:space="0" w:color="auto"/>
            </w:tcBorders>
            <w:shd w:val="clear" w:color="auto" w:fill="auto"/>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1. </w:t>
            </w:r>
            <w:r w:rsidR="008E4781" w:rsidRPr="001922AF">
              <w:rPr>
                <w:rFonts w:eastAsia="Times New Roman"/>
                <w:color w:val="000000"/>
                <w:sz w:val="20"/>
                <w:szCs w:val="20"/>
              </w:rPr>
              <w:t>Governance effectiveness 2015</w:t>
            </w:r>
          </w:p>
        </w:tc>
        <w:tc>
          <w:tcPr>
            <w:tcW w:w="908" w:type="dxa"/>
            <w:tcBorders>
              <w:top w:val="nil"/>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0.87**</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0.34**</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0.52**</w:t>
            </w:r>
          </w:p>
        </w:tc>
      </w:tr>
      <w:tr w:rsidR="008E4781" w:rsidRPr="002306E0" w:rsidTr="00D142B1">
        <w:trPr>
          <w:trHeight w:val="276"/>
        </w:trPr>
        <w:tc>
          <w:tcPr>
            <w:tcW w:w="6706" w:type="dxa"/>
            <w:tcBorders>
              <w:top w:val="nil"/>
              <w:left w:val="single" w:sz="4" w:space="0" w:color="auto"/>
              <w:bottom w:val="single" w:sz="4" w:space="0" w:color="auto"/>
              <w:right w:val="single" w:sz="4" w:space="0" w:color="auto"/>
            </w:tcBorders>
            <w:shd w:val="clear" w:color="auto" w:fill="auto"/>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2. </w:t>
            </w:r>
            <w:r w:rsidR="008E4781" w:rsidRPr="001922AF">
              <w:rPr>
                <w:rFonts w:eastAsia="Times New Roman"/>
                <w:color w:val="000000"/>
                <w:sz w:val="20"/>
                <w:szCs w:val="20"/>
              </w:rPr>
              <w:t>CPIA economic management cluster average (1=low to 6=high) 2015</w:t>
            </w:r>
          </w:p>
        </w:tc>
        <w:tc>
          <w:tcPr>
            <w:tcW w:w="908" w:type="dxa"/>
            <w:tcBorders>
              <w:top w:val="nil"/>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0.12</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0.15</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0.18</w:t>
            </w:r>
          </w:p>
        </w:tc>
      </w:tr>
      <w:tr w:rsidR="008E4781" w:rsidRPr="002306E0" w:rsidTr="00D142B1">
        <w:trPr>
          <w:trHeight w:val="575"/>
        </w:trPr>
        <w:tc>
          <w:tcPr>
            <w:tcW w:w="6706" w:type="dxa"/>
            <w:tcBorders>
              <w:top w:val="nil"/>
              <w:left w:val="single" w:sz="4" w:space="0" w:color="auto"/>
              <w:bottom w:val="single" w:sz="4" w:space="0" w:color="auto"/>
              <w:right w:val="single" w:sz="4" w:space="0" w:color="auto"/>
            </w:tcBorders>
            <w:shd w:val="clear" w:color="auto" w:fill="auto"/>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3. </w:t>
            </w:r>
            <w:r w:rsidR="008E4781" w:rsidRPr="001922AF">
              <w:rPr>
                <w:rFonts w:eastAsia="Times New Roman"/>
                <w:color w:val="000000"/>
                <w:sz w:val="20"/>
                <w:szCs w:val="20"/>
              </w:rPr>
              <w:t>Index of economic freedom (on a scale of 0 to 100 free 100-80, mostly free 79.9-70, moderately free 69.9-60, mostly unfree 59.9-50, repressed 49.9-0) 2017</w:t>
            </w:r>
          </w:p>
        </w:tc>
        <w:tc>
          <w:tcPr>
            <w:tcW w:w="908" w:type="dxa"/>
            <w:tcBorders>
              <w:top w:val="nil"/>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0.78**</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0.28**</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0.44**</w:t>
            </w:r>
          </w:p>
        </w:tc>
      </w:tr>
      <w:tr w:rsidR="008E4781" w:rsidRPr="002306E0" w:rsidTr="00D142B1">
        <w:trPr>
          <w:trHeight w:val="341"/>
        </w:trPr>
        <w:tc>
          <w:tcPr>
            <w:tcW w:w="6706" w:type="dxa"/>
            <w:tcBorders>
              <w:top w:val="nil"/>
              <w:left w:val="single" w:sz="4" w:space="0" w:color="auto"/>
              <w:bottom w:val="single" w:sz="4" w:space="0" w:color="auto"/>
              <w:right w:val="single" w:sz="4" w:space="0" w:color="auto"/>
            </w:tcBorders>
            <w:shd w:val="clear" w:color="auto" w:fill="auto"/>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4. </w:t>
            </w:r>
            <w:r w:rsidR="008E4781" w:rsidRPr="001922AF">
              <w:rPr>
                <w:rFonts w:eastAsia="Times New Roman"/>
                <w:color w:val="000000"/>
                <w:sz w:val="20"/>
                <w:szCs w:val="20"/>
              </w:rPr>
              <w:t>Corruption Perceptions Index (100 is very clean and 0 is highly corrupt) 2016</w:t>
            </w:r>
          </w:p>
        </w:tc>
        <w:tc>
          <w:tcPr>
            <w:tcW w:w="908" w:type="dxa"/>
            <w:tcBorders>
              <w:top w:val="nil"/>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0.86**</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0.32**</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0.49**</w:t>
            </w:r>
          </w:p>
        </w:tc>
      </w:tr>
      <w:tr w:rsidR="008E4781" w:rsidRPr="002306E0" w:rsidTr="00D142B1">
        <w:trPr>
          <w:trHeight w:val="1104"/>
        </w:trPr>
        <w:tc>
          <w:tcPr>
            <w:tcW w:w="6706" w:type="dxa"/>
            <w:tcBorders>
              <w:top w:val="nil"/>
              <w:left w:val="single" w:sz="4" w:space="0" w:color="auto"/>
              <w:bottom w:val="single" w:sz="4" w:space="0" w:color="auto"/>
              <w:right w:val="single" w:sz="4" w:space="0" w:color="auto"/>
            </w:tcBorders>
            <w:shd w:val="clear" w:color="auto" w:fill="auto"/>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5. </w:t>
            </w:r>
            <w:r w:rsidR="008E4781" w:rsidRPr="001922AF">
              <w:rPr>
                <w:rFonts w:eastAsia="Times New Roman"/>
                <w:color w:val="000000"/>
                <w:sz w:val="20"/>
                <w:szCs w:val="20"/>
              </w:rPr>
              <w:t>Global rights index (Rating 5+ = No guarantee of rights; Rating 5 = No guarantee of rights; Rating 4 = Systematic violation of rights; Rating 3 = Regular violation of rights; Rating 2 = Repeated violations of rights; and Rating 1= No regular violations of rights. 2017</w:t>
            </w:r>
          </w:p>
        </w:tc>
        <w:tc>
          <w:tcPr>
            <w:tcW w:w="908" w:type="dxa"/>
            <w:tcBorders>
              <w:top w:val="nil"/>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-0.70**</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-0.08</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-0.28*</w:t>
            </w:r>
          </w:p>
        </w:tc>
      </w:tr>
      <w:tr w:rsidR="008E4781" w:rsidRPr="002306E0" w:rsidTr="00D142B1">
        <w:trPr>
          <w:trHeight w:val="276"/>
        </w:trPr>
        <w:tc>
          <w:tcPr>
            <w:tcW w:w="6706" w:type="dxa"/>
            <w:tcBorders>
              <w:top w:val="nil"/>
              <w:left w:val="single" w:sz="4" w:space="0" w:color="auto"/>
              <w:bottom w:val="single" w:sz="4" w:space="0" w:color="auto"/>
              <w:right w:val="single" w:sz="4" w:space="0" w:color="auto"/>
            </w:tcBorders>
            <w:shd w:val="clear" w:color="auto" w:fill="auto"/>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6. </w:t>
            </w:r>
            <w:r w:rsidR="008E4781" w:rsidRPr="001922AF">
              <w:rPr>
                <w:rFonts w:eastAsia="Times New Roman"/>
                <w:color w:val="000000"/>
                <w:sz w:val="20"/>
                <w:szCs w:val="20"/>
              </w:rPr>
              <w:t>Global competitiveness score (1-7) 2016</w:t>
            </w:r>
          </w:p>
        </w:tc>
        <w:tc>
          <w:tcPr>
            <w:tcW w:w="908" w:type="dxa"/>
            <w:tcBorders>
              <w:top w:val="nil"/>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0.86**</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0.40**</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0.58**</w:t>
            </w:r>
          </w:p>
        </w:tc>
      </w:tr>
      <w:tr w:rsidR="008E4781" w:rsidRPr="002306E0" w:rsidTr="00D142B1">
        <w:trPr>
          <w:trHeight w:val="828"/>
        </w:trPr>
        <w:tc>
          <w:tcPr>
            <w:tcW w:w="6706" w:type="dxa"/>
            <w:tcBorders>
              <w:top w:val="nil"/>
              <w:left w:val="single" w:sz="4" w:space="0" w:color="auto"/>
              <w:bottom w:val="single" w:sz="4" w:space="0" w:color="auto"/>
              <w:right w:val="single" w:sz="4" w:space="0" w:color="auto"/>
            </w:tcBorders>
            <w:shd w:val="clear" w:color="auto" w:fill="auto"/>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7. </w:t>
            </w:r>
            <w:r w:rsidR="008E4781" w:rsidRPr="001922AF">
              <w:rPr>
                <w:rFonts w:eastAsia="Times New Roman"/>
                <w:color w:val="000000"/>
                <w:sz w:val="20"/>
                <w:szCs w:val="20"/>
              </w:rPr>
              <w:t xml:space="preserve">Democracy index (Scores 0 to 10; 8 ≤ s ≤ 10 is full democracy; 6 ≤ s &lt; 8 is flawed democracy; 4 ≤ s &lt; 6 is hybrid regimes; and 0 ≤ s &lt; 4 is authoritarian regimes) 2016 </w:t>
            </w:r>
          </w:p>
        </w:tc>
        <w:tc>
          <w:tcPr>
            <w:tcW w:w="908" w:type="dxa"/>
            <w:tcBorders>
              <w:top w:val="nil"/>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0.75**</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0.29**</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0.41**</w:t>
            </w:r>
          </w:p>
        </w:tc>
      </w:tr>
      <w:tr w:rsidR="008E4781" w:rsidRPr="002306E0" w:rsidTr="00D142B1">
        <w:trPr>
          <w:trHeight w:val="276"/>
        </w:trPr>
        <w:tc>
          <w:tcPr>
            <w:tcW w:w="6706" w:type="dxa"/>
            <w:tcBorders>
              <w:top w:val="nil"/>
              <w:left w:val="single" w:sz="4" w:space="0" w:color="auto"/>
              <w:bottom w:val="single" w:sz="4" w:space="0" w:color="auto"/>
              <w:right w:val="single" w:sz="4" w:space="0" w:color="auto"/>
            </w:tcBorders>
            <w:shd w:val="clear" w:color="auto" w:fill="auto"/>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8. </w:t>
            </w:r>
            <w:r w:rsidR="008E4781" w:rsidRPr="001922AF">
              <w:rPr>
                <w:rFonts w:eastAsia="Times New Roman"/>
                <w:color w:val="000000"/>
                <w:sz w:val="20"/>
                <w:szCs w:val="20"/>
              </w:rPr>
              <w:t>Global peace index score on a scale of 1-5 (out of 163 countries) 2017</w:t>
            </w:r>
          </w:p>
        </w:tc>
        <w:tc>
          <w:tcPr>
            <w:tcW w:w="908" w:type="dxa"/>
            <w:tcBorders>
              <w:top w:val="nil"/>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-0.59**</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-0.07</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-0.22*</w:t>
            </w:r>
          </w:p>
        </w:tc>
      </w:tr>
      <w:tr w:rsidR="008E4781" w:rsidRPr="002306E0" w:rsidTr="00D142B1">
        <w:trPr>
          <w:trHeight w:val="276"/>
        </w:trPr>
        <w:tc>
          <w:tcPr>
            <w:tcW w:w="6706"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9. </w:t>
            </w:r>
            <w:r w:rsidR="008E4781" w:rsidRPr="001922AF">
              <w:rPr>
                <w:rFonts w:eastAsia="Times New Roman"/>
                <w:color w:val="000000"/>
                <w:sz w:val="20"/>
                <w:szCs w:val="20"/>
              </w:rPr>
              <w:t>World Bank ease of doing business ranks (out of 190 countries) 2017</w:t>
            </w:r>
          </w:p>
        </w:tc>
        <w:tc>
          <w:tcPr>
            <w:tcW w:w="908" w:type="dxa"/>
            <w:tcBorders>
              <w:top w:val="nil"/>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-0.81**</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-0.34**</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-0.47**</w:t>
            </w:r>
          </w:p>
        </w:tc>
      </w:tr>
      <w:tr w:rsidR="008E4781" w:rsidRPr="002306E0" w:rsidTr="00D142B1">
        <w:trPr>
          <w:trHeight w:val="276"/>
        </w:trPr>
        <w:tc>
          <w:tcPr>
            <w:tcW w:w="67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10. </w:t>
            </w:r>
            <w:r w:rsidR="008E4781" w:rsidRPr="001922AF">
              <w:rPr>
                <w:rFonts w:eastAsia="Times New Roman"/>
                <w:color w:val="000000"/>
                <w:sz w:val="20"/>
                <w:szCs w:val="20"/>
              </w:rPr>
              <w:t>Social institutions and gender index (</w:t>
            </w:r>
            <w:proofErr w:type="spellStart"/>
            <w:r w:rsidR="008E4781" w:rsidRPr="001922AF">
              <w:rPr>
                <w:rFonts w:eastAsia="Times New Roman"/>
                <w:color w:val="000000"/>
                <w:sz w:val="20"/>
                <w:szCs w:val="20"/>
              </w:rPr>
              <w:t>SiGi</w:t>
            </w:r>
            <w:proofErr w:type="spellEnd"/>
            <w:r w:rsidR="008E4781" w:rsidRPr="001922AF">
              <w:rPr>
                <w:rFonts w:eastAsia="Times New Roman"/>
                <w:color w:val="000000"/>
                <w:sz w:val="20"/>
                <w:szCs w:val="20"/>
              </w:rPr>
              <w:t>) score 2014</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-0.37**</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-0.15</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-0.26*</w:t>
            </w:r>
          </w:p>
        </w:tc>
      </w:tr>
      <w:tr w:rsidR="008E4781" w:rsidRPr="002306E0" w:rsidTr="00D142B1">
        <w:trPr>
          <w:trHeight w:val="276"/>
        </w:trPr>
        <w:tc>
          <w:tcPr>
            <w:tcW w:w="6706" w:type="dxa"/>
            <w:tcBorders>
              <w:top w:val="single" w:sz="4" w:space="0" w:color="auto"/>
              <w:left w:val="single" w:sz="4" w:space="0" w:color="auto"/>
              <w:bottom w:val="single" w:sz="4" w:space="0" w:color="auto"/>
              <w:right w:val="single" w:sz="4" w:space="0" w:color="auto"/>
            </w:tcBorders>
            <w:shd w:val="clear" w:color="auto" w:fill="auto"/>
            <w:vAlign w:val="bottom"/>
          </w:tcPr>
          <w:p w:rsidR="008E4781" w:rsidRPr="001922AF" w:rsidRDefault="005B0A92" w:rsidP="00D142B1">
            <w:pPr>
              <w:spacing w:after="0"/>
              <w:rPr>
                <w:rFonts w:eastAsia="Times New Roman"/>
                <w:color w:val="000000"/>
                <w:sz w:val="20"/>
                <w:szCs w:val="20"/>
              </w:rPr>
            </w:pPr>
            <w:r w:rsidRPr="001922AF">
              <w:rPr>
                <w:rFonts w:eastAsia="Times New Roman"/>
                <w:color w:val="000000"/>
                <w:sz w:val="20"/>
                <w:szCs w:val="20"/>
              </w:rPr>
              <w:t xml:space="preserve">11. </w:t>
            </w:r>
            <w:r w:rsidR="008E4781" w:rsidRPr="001922AF">
              <w:rPr>
                <w:rFonts w:eastAsia="Times New Roman"/>
                <w:color w:val="000000"/>
                <w:sz w:val="20"/>
                <w:szCs w:val="20"/>
              </w:rPr>
              <w:t>Global Freedom score 2017</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0.67**</w:t>
            </w:r>
          </w:p>
        </w:tc>
        <w:tc>
          <w:tcPr>
            <w:tcW w:w="1114" w:type="dxa"/>
            <w:tcBorders>
              <w:top w:val="single" w:sz="4" w:space="0" w:color="auto"/>
              <w:left w:val="nil"/>
              <w:bottom w:val="single" w:sz="4" w:space="0" w:color="auto"/>
              <w:right w:val="single" w:sz="4" w:space="0" w:color="auto"/>
            </w:tcBorders>
            <w:shd w:val="clear" w:color="auto" w:fill="auto"/>
            <w:noWrap/>
            <w:vAlign w:val="bottom"/>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0.27*</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4781" w:rsidRPr="001922AF" w:rsidRDefault="008E4781" w:rsidP="00D142B1">
            <w:pPr>
              <w:spacing w:after="0"/>
              <w:jc w:val="center"/>
              <w:rPr>
                <w:rFonts w:eastAsia="Times New Roman"/>
                <w:color w:val="000000"/>
                <w:sz w:val="20"/>
                <w:szCs w:val="20"/>
              </w:rPr>
            </w:pPr>
            <w:r w:rsidRPr="001922AF">
              <w:rPr>
                <w:rFonts w:eastAsia="Times New Roman"/>
                <w:color w:val="000000"/>
                <w:sz w:val="20"/>
                <w:szCs w:val="20"/>
              </w:rPr>
              <w:t>0.38**</w:t>
            </w:r>
          </w:p>
        </w:tc>
      </w:tr>
    </w:tbl>
    <w:p w:rsidR="008E4781" w:rsidRPr="001922AF" w:rsidRDefault="008E4781" w:rsidP="008E4781">
      <w:pPr>
        <w:spacing w:after="0"/>
        <w:rPr>
          <w:rFonts w:eastAsia="Times New Roman"/>
          <w:color w:val="000000"/>
          <w:sz w:val="18"/>
          <w:szCs w:val="18"/>
        </w:rPr>
      </w:pPr>
      <w:r w:rsidRPr="001922AF">
        <w:rPr>
          <w:sz w:val="18"/>
          <w:szCs w:val="18"/>
        </w:rPr>
        <w:t>*significant at 5% level         **significant at 1% level</w:t>
      </w:r>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Source: World Bank database.</w:t>
      </w:r>
    </w:p>
    <w:p w:rsidR="008E4781" w:rsidRPr="001922AF" w:rsidRDefault="00342B66" w:rsidP="008E4781">
      <w:pPr>
        <w:spacing w:before="0" w:after="0" w:line="276" w:lineRule="auto"/>
        <w:rPr>
          <w:rStyle w:val="Hyperlink"/>
          <w:rFonts w:eastAsia="Times New Roman"/>
          <w:sz w:val="18"/>
          <w:szCs w:val="18"/>
        </w:rPr>
      </w:pPr>
      <w:hyperlink r:id="rId98" w:anchor="home" w:history="1">
        <w:r w:rsidR="008E4781" w:rsidRPr="001922AF">
          <w:rPr>
            <w:rStyle w:val="Hyperlink"/>
            <w:rFonts w:eastAsia="Times New Roman"/>
            <w:sz w:val="18"/>
            <w:szCs w:val="18"/>
          </w:rPr>
          <w:t>http://info.worldbank.org/governance/wgi/#home</w:t>
        </w:r>
      </w:hyperlink>
    </w:p>
    <w:p w:rsidR="008E4781" w:rsidRPr="001922AF" w:rsidRDefault="00342B66" w:rsidP="008E4781">
      <w:pPr>
        <w:spacing w:before="0" w:after="0" w:line="276" w:lineRule="auto"/>
        <w:rPr>
          <w:rFonts w:eastAsia="Times New Roman"/>
          <w:color w:val="000000"/>
          <w:sz w:val="18"/>
          <w:szCs w:val="18"/>
        </w:rPr>
      </w:pPr>
      <w:hyperlink r:id="rId99" w:history="1">
        <w:r w:rsidR="008E4781" w:rsidRPr="001922AF">
          <w:rPr>
            <w:rStyle w:val="Hyperlink"/>
            <w:rFonts w:eastAsia="Times New Roman"/>
            <w:sz w:val="18"/>
            <w:szCs w:val="18"/>
          </w:rPr>
          <w:t>http://data.worldbank.org/data-catalog/CPIA</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Heritage Foundation. 2017 Index of Economic Freedom. </w:t>
      </w:r>
      <w:hyperlink r:id="rId100" w:history="1">
        <w:r w:rsidRPr="001922AF">
          <w:rPr>
            <w:rStyle w:val="Hyperlink"/>
            <w:rFonts w:eastAsia="Times New Roman"/>
            <w:sz w:val="18"/>
            <w:szCs w:val="18"/>
          </w:rPr>
          <w:t>http://www.heritage.org/index/download</w:t>
        </w:r>
      </w:hyperlink>
      <w:r w:rsidRPr="001922AF">
        <w:rPr>
          <w:rFonts w:eastAsia="Times New Roman"/>
          <w:color w:val="000000"/>
          <w:sz w:val="18"/>
          <w:szCs w:val="18"/>
        </w:rPr>
        <w:t>.</w:t>
      </w:r>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Heritage Foundation. 2017 Index of Economic Freedom. Various countries. </w:t>
      </w:r>
      <w:hyperlink r:id="rId101" w:history="1">
        <w:r w:rsidRPr="001922AF">
          <w:rPr>
            <w:rStyle w:val="Hyperlink"/>
            <w:rFonts w:eastAsia="Times New Roman"/>
            <w:sz w:val="18"/>
            <w:szCs w:val="18"/>
          </w:rPr>
          <w:t>http://www.heritage.org/index/country/</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OECD Development Center. 2014. Social Institutions and Gender Index. 2014 Synthesis Report. </w:t>
      </w:r>
    </w:p>
    <w:p w:rsidR="008E4781" w:rsidRPr="001922AF" w:rsidRDefault="00342B66" w:rsidP="008E4781">
      <w:pPr>
        <w:spacing w:before="0" w:after="0" w:line="276" w:lineRule="auto"/>
        <w:rPr>
          <w:rFonts w:eastAsia="Times New Roman"/>
          <w:color w:val="000000"/>
          <w:sz w:val="18"/>
          <w:szCs w:val="18"/>
        </w:rPr>
      </w:pPr>
      <w:hyperlink r:id="rId102" w:history="1">
        <w:r w:rsidR="008E4781" w:rsidRPr="001922AF">
          <w:rPr>
            <w:rStyle w:val="Hyperlink"/>
            <w:rFonts w:eastAsia="Times New Roman"/>
            <w:sz w:val="18"/>
            <w:szCs w:val="18"/>
          </w:rPr>
          <w:t>http://www.genderindex.org/sites/default/files/docs/BrochureSIGI2015.pdf</w:t>
        </w:r>
      </w:hyperlink>
    </w:p>
    <w:p w:rsidR="008E4781" w:rsidRPr="001922AF" w:rsidRDefault="008E4781" w:rsidP="008E4781">
      <w:pPr>
        <w:spacing w:before="0" w:after="0" w:line="276" w:lineRule="auto"/>
        <w:rPr>
          <w:rFonts w:eastAsia="Times New Roman"/>
          <w:color w:val="000000"/>
          <w:sz w:val="18"/>
          <w:szCs w:val="18"/>
        </w:rPr>
      </w:pPr>
      <w:proofErr w:type="spellStart"/>
      <w:r w:rsidRPr="001922AF">
        <w:rPr>
          <w:rFonts w:eastAsia="Times New Roman"/>
          <w:color w:val="000000"/>
          <w:sz w:val="18"/>
          <w:szCs w:val="18"/>
        </w:rPr>
        <w:t>Coface</w:t>
      </w:r>
      <w:proofErr w:type="spellEnd"/>
      <w:r w:rsidRPr="001922AF">
        <w:rPr>
          <w:rFonts w:eastAsia="Times New Roman"/>
          <w:color w:val="000000"/>
          <w:sz w:val="18"/>
          <w:szCs w:val="18"/>
        </w:rPr>
        <w:t xml:space="preserve"> for safer trade. </w:t>
      </w:r>
      <w:hyperlink r:id="rId103" w:history="1">
        <w:r w:rsidRPr="001922AF">
          <w:rPr>
            <w:rStyle w:val="Hyperlink"/>
            <w:rFonts w:eastAsia="Times New Roman"/>
            <w:sz w:val="18"/>
            <w:szCs w:val="18"/>
          </w:rPr>
          <w:t>http://www.coface.com/Economic-Studies-and-Country-Risks</w:t>
        </w:r>
      </w:hyperlink>
      <w:r w:rsidRPr="001922AF">
        <w:rPr>
          <w:rFonts w:eastAsia="Times New Roman"/>
          <w:color w:val="000000"/>
          <w:sz w:val="18"/>
          <w:szCs w:val="18"/>
        </w:rPr>
        <w:t>.</w:t>
      </w:r>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Global Edge. </w:t>
      </w:r>
      <w:hyperlink r:id="rId104" w:history="1">
        <w:r w:rsidRPr="001922AF">
          <w:rPr>
            <w:rStyle w:val="Hyperlink"/>
            <w:rFonts w:eastAsia="Times New Roman"/>
            <w:sz w:val="18"/>
            <w:szCs w:val="18"/>
          </w:rPr>
          <w:t>https://globaledge.msu.edu/countries/chad/government/</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World Bank. Country Overview. </w:t>
      </w:r>
      <w:hyperlink r:id="rId105" w:history="1">
        <w:r w:rsidRPr="001922AF">
          <w:rPr>
            <w:rStyle w:val="Hyperlink"/>
            <w:rFonts w:eastAsia="Times New Roman"/>
            <w:sz w:val="18"/>
            <w:szCs w:val="18"/>
          </w:rPr>
          <w:t>http://www.worldbank.org/en/country/guineabissau/overview</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Wikipedia. For various countries and for democracy index 2016.</w:t>
      </w:r>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International Trade Union Confederation. ITUC Global Rights Index 2017. 2017. </w:t>
      </w:r>
    </w:p>
    <w:p w:rsidR="008E4781" w:rsidRPr="001922AF" w:rsidRDefault="00342B66" w:rsidP="008E4781">
      <w:pPr>
        <w:spacing w:before="0" w:after="0" w:line="276" w:lineRule="auto"/>
        <w:rPr>
          <w:rFonts w:eastAsia="Times New Roman"/>
          <w:color w:val="000000"/>
          <w:sz w:val="18"/>
          <w:szCs w:val="18"/>
        </w:rPr>
      </w:pPr>
      <w:hyperlink r:id="rId106" w:history="1">
        <w:r w:rsidR="008E4781" w:rsidRPr="001922AF">
          <w:rPr>
            <w:rStyle w:val="Hyperlink"/>
            <w:rFonts w:eastAsia="Times New Roman"/>
            <w:sz w:val="18"/>
            <w:szCs w:val="18"/>
          </w:rPr>
          <w:t>http://www.ituc-csi.org/ituc-global-rights-index-2017</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World Economic Forum. 2017. Global Competitiveness Report 2016-2017. </w:t>
      </w:r>
    </w:p>
    <w:p w:rsidR="008E4781" w:rsidRPr="001922AF" w:rsidRDefault="00342B66" w:rsidP="008E4781">
      <w:pPr>
        <w:spacing w:before="0" w:after="0" w:line="276" w:lineRule="auto"/>
        <w:rPr>
          <w:rFonts w:eastAsia="Times New Roman"/>
          <w:color w:val="000000"/>
          <w:sz w:val="18"/>
          <w:szCs w:val="18"/>
        </w:rPr>
      </w:pPr>
      <w:hyperlink r:id="rId107" w:history="1">
        <w:r w:rsidR="008E4781" w:rsidRPr="001922AF">
          <w:rPr>
            <w:rStyle w:val="Hyperlink"/>
            <w:rFonts w:eastAsia="Times New Roman"/>
            <w:sz w:val="18"/>
            <w:szCs w:val="18"/>
          </w:rPr>
          <w:t>http://www3.weforum.org/docs/GCR2016-2017/05FullReport/TheGlobalCompetitivenessReport2016-2017_FINAL.pdf</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Transparency International. 2017. Corruption Perception Index 2016. </w:t>
      </w:r>
    </w:p>
    <w:p w:rsidR="008E4781" w:rsidRPr="001922AF" w:rsidRDefault="00342B66" w:rsidP="008E4781">
      <w:pPr>
        <w:spacing w:before="0" w:after="0" w:line="276" w:lineRule="auto"/>
        <w:rPr>
          <w:rFonts w:eastAsia="Times New Roman"/>
          <w:color w:val="000000"/>
          <w:sz w:val="18"/>
          <w:szCs w:val="18"/>
        </w:rPr>
      </w:pPr>
      <w:hyperlink r:id="rId108" w:history="1">
        <w:r w:rsidR="008E4781" w:rsidRPr="001922AF">
          <w:rPr>
            <w:rStyle w:val="Hyperlink"/>
            <w:rFonts w:eastAsia="Times New Roman"/>
            <w:sz w:val="18"/>
            <w:szCs w:val="18"/>
          </w:rPr>
          <w:t>https://www.transparency.org/news/feature/corruption_perceptions_index_2016</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The Economist. Democracy Index. </w:t>
      </w:r>
      <w:hyperlink r:id="rId109" w:history="1">
        <w:r w:rsidRPr="001922AF">
          <w:rPr>
            <w:rStyle w:val="Hyperlink"/>
            <w:rFonts w:eastAsia="Times New Roman"/>
            <w:sz w:val="18"/>
            <w:szCs w:val="18"/>
          </w:rPr>
          <w:t>https://infographics.economist.com/2017/DemocracyIndex/</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Wikipedia. </w:t>
      </w:r>
      <w:hyperlink r:id="rId110" w:history="1">
        <w:r w:rsidRPr="001922AF">
          <w:rPr>
            <w:rStyle w:val="Hyperlink"/>
            <w:rFonts w:eastAsia="Times New Roman"/>
            <w:sz w:val="18"/>
            <w:szCs w:val="18"/>
          </w:rPr>
          <w:t>https://en.wikipedia.org/wiki/Democracy_Index</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The Economist. Democracy Index. </w:t>
      </w:r>
      <w:hyperlink r:id="rId111" w:history="1">
        <w:r w:rsidRPr="001922AF">
          <w:rPr>
            <w:rStyle w:val="Hyperlink"/>
            <w:rFonts w:eastAsia="Times New Roman"/>
            <w:sz w:val="18"/>
            <w:szCs w:val="18"/>
          </w:rPr>
          <w:t>https://www.eiu.com/public/topical_report.aspx?campaignid=DemocracyIndex2016</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Freedom House. Freedom in the World 2017. 2017. </w:t>
      </w:r>
      <w:hyperlink r:id="rId112" w:history="1">
        <w:r w:rsidRPr="001922AF">
          <w:rPr>
            <w:rStyle w:val="Hyperlink"/>
            <w:rFonts w:eastAsia="Times New Roman"/>
            <w:sz w:val="18"/>
            <w:szCs w:val="18"/>
          </w:rPr>
          <w:t>https://freedomhouse.org/report/freedom-world/freedom-world-2017</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Wikipedia. </w:t>
      </w:r>
      <w:hyperlink r:id="rId113" w:history="1">
        <w:r w:rsidRPr="001922AF">
          <w:rPr>
            <w:rStyle w:val="Hyperlink"/>
            <w:rFonts w:eastAsia="Times New Roman"/>
            <w:sz w:val="18"/>
            <w:szCs w:val="18"/>
          </w:rPr>
          <w:t>https://en.wikipedia.org/wiki/Global_Peace_Index</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t xml:space="preserve">Vision of Humanity. </w:t>
      </w:r>
      <w:hyperlink r:id="rId114" w:history="1">
        <w:r w:rsidRPr="001922AF">
          <w:rPr>
            <w:rStyle w:val="Hyperlink"/>
            <w:rFonts w:eastAsia="Times New Roman"/>
            <w:sz w:val="18"/>
            <w:szCs w:val="18"/>
          </w:rPr>
          <w:t>http://visionofhumanity.org/app/uploads/2017/06/GPI-2017-Report-1.pdf</w:t>
        </w:r>
      </w:hyperlink>
    </w:p>
    <w:p w:rsidR="008E4781" w:rsidRPr="001922AF" w:rsidRDefault="008E4781" w:rsidP="008E4781">
      <w:pPr>
        <w:spacing w:before="0" w:after="0" w:line="276" w:lineRule="auto"/>
        <w:rPr>
          <w:rFonts w:eastAsia="Times New Roman"/>
          <w:color w:val="000000"/>
          <w:sz w:val="18"/>
          <w:szCs w:val="18"/>
        </w:rPr>
      </w:pPr>
      <w:r w:rsidRPr="001922AF">
        <w:rPr>
          <w:rFonts w:eastAsia="Times New Roman"/>
          <w:color w:val="000000"/>
          <w:sz w:val="18"/>
          <w:szCs w:val="18"/>
        </w:rPr>
        <w:lastRenderedPageBreak/>
        <w:t xml:space="preserve">World Bank. 2017. Doing Business 2017: Equal Opportunity for All.  Washington, DC: </w:t>
      </w:r>
    </w:p>
    <w:p w:rsidR="003E7258" w:rsidRPr="001922AF" w:rsidRDefault="008E4781" w:rsidP="008E4781">
      <w:pPr>
        <w:rPr>
          <w:b/>
        </w:rPr>
      </w:pPr>
      <w:r w:rsidRPr="001922AF">
        <w:rPr>
          <w:rFonts w:eastAsia="Times New Roman"/>
          <w:color w:val="000000"/>
          <w:sz w:val="18"/>
          <w:szCs w:val="18"/>
        </w:rPr>
        <w:t>World Bank. DOI: 10.1596/978-1-4648-0948-4. License: Creative Commons Attribution CC BY 3.0 IGO</w:t>
      </w:r>
    </w:p>
    <w:p w:rsidR="00AD098B" w:rsidRDefault="00F61001" w:rsidP="00114D37">
      <w:pPr>
        <w:spacing w:before="0" w:after="200"/>
        <w:rPr>
          <w:b/>
        </w:rPr>
      </w:pPr>
      <w:r w:rsidRPr="00F61001">
        <w:rPr>
          <w:b/>
        </w:rPr>
        <w:t>Governance effectiveness</w:t>
      </w:r>
    </w:p>
    <w:p w:rsidR="00F61001" w:rsidRDefault="00F61001" w:rsidP="000865F9">
      <w:pPr>
        <w:spacing w:before="0" w:after="200" w:line="276" w:lineRule="auto"/>
        <w:rPr>
          <w:color w:val="000000" w:themeColor="text1"/>
        </w:rPr>
      </w:pPr>
      <w:r w:rsidRPr="00F61001">
        <w:t xml:space="preserve">The concept </w:t>
      </w:r>
      <w:r w:rsidRPr="00F61001">
        <w:rPr>
          <w:color w:val="000000" w:themeColor="text1"/>
        </w:rPr>
        <w:t>Reflects perceptions of the quality of public services, the quality of the civil service and the degree of its independence from political pressures, the quality of policy formulation and implementation, and the credibility of the government's commitment to such policies</w:t>
      </w:r>
      <w:r>
        <w:rPr>
          <w:color w:val="000000" w:themeColor="text1"/>
        </w:rPr>
        <w:t xml:space="preserve"> (Annex 1)</w:t>
      </w:r>
      <w:r w:rsidRPr="00F61001">
        <w:rPr>
          <w:color w:val="000000" w:themeColor="text1"/>
        </w:rPr>
        <w:t>.</w:t>
      </w:r>
    </w:p>
    <w:p w:rsidR="0070037C" w:rsidRDefault="0070037C" w:rsidP="00903CAF">
      <w:pPr>
        <w:spacing w:before="0" w:after="200" w:line="276" w:lineRule="auto"/>
      </w:pPr>
      <w:r w:rsidRPr="00010C07">
        <w:t>Cross-country evidence</w:t>
      </w:r>
      <w:r w:rsidRPr="00FF2844">
        <w:t xml:space="preserve"> suggests that institutions of governance and economic management relate to and have fostered economic development around the globe. Differences in prosperity may be explained by differences in economic institutions. Cross-country analysis of 100 countries suggest a strong statistically significant positive correlation between governance effectiveness and GDP per capita, gross fixed capital formation and total trade all for 2015</w:t>
      </w:r>
      <w:r w:rsidR="00472EF6">
        <w:t>.</w:t>
      </w:r>
      <w:r w:rsidRPr="00FF2844">
        <w:t xml:space="preserve"> The same is true for economic freedom, corruption, global competitiveness, ease of doing business and global peace, democracy and freedom and gender (gender with GDP per capita and total trade but not with capital formation). </w:t>
      </w:r>
      <w:r w:rsidR="000A51A3">
        <w:t>F</w:t>
      </w:r>
      <w:r w:rsidR="000A51A3" w:rsidRPr="000A51A3">
        <w:rPr>
          <w:color w:val="000000" w:themeColor="text1"/>
        </w:rPr>
        <w:t>ive-year</w:t>
      </w:r>
      <w:r w:rsidR="00472EF6" w:rsidRPr="000A51A3">
        <w:rPr>
          <w:color w:val="000000" w:themeColor="text1"/>
        </w:rPr>
        <w:t xml:space="preserve"> compound GDP growth rate </w:t>
      </w:r>
      <w:r w:rsidR="000A51A3">
        <w:rPr>
          <w:color w:val="000000" w:themeColor="text1"/>
        </w:rPr>
        <w:t xml:space="preserve">is significantly correlated with governance effectiveness. </w:t>
      </w:r>
      <w:r w:rsidRPr="00FF2844">
        <w:t>The robustness of these relationships clearly indicate that the Bangladesh Vision 2041</w:t>
      </w:r>
      <w:r w:rsidR="000865F9">
        <w:t xml:space="preserve"> </w:t>
      </w:r>
      <w:r w:rsidRPr="00FF2844">
        <w:t xml:space="preserve">has to be anchored in good governance. </w:t>
      </w:r>
      <w:r w:rsidR="000A51A3">
        <w:t xml:space="preserve">Bangladesh is now placed behind Singapore, Denmark, United Kingdom, Bhutan, India and Vietnam and Pakistan and is ahead only of countries like Egypt, Tajikistan, Angola and Afghanistan (Figure 48). </w:t>
      </w:r>
      <w:r w:rsidRPr="00FF2844">
        <w:t>Target for 2041 is Bangladesh striving and progressing on the measuring scales for governance effectiveness, economic freedom, corruption, competitiveness, ease of doing business, peace, democracy, freedom and gender commensurate with a developed country.</w:t>
      </w:r>
    </w:p>
    <w:p w:rsidR="000865F9" w:rsidRDefault="000865F9" w:rsidP="000865F9">
      <w:r>
        <w:rPr>
          <w:noProof/>
        </w:rPr>
        <w:drawing>
          <wp:inline distT="0" distB="0" distL="0" distR="0" wp14:anchorId="6589512E" wp14:editId="50072608">
            <wp:extent cx="4572000" cy="27432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865F9" w:rsidRDefault="000865F9" w:rsidP="000865F9">
      <w:pPr>
        <w:rPr>
          <w:sz w:val="18"/>
          <w:szCs w:val="18"/>
        </w:rPr>
      </w:pPr>
      <w:r>
        <w:rPr>
          <w:sz w:val="18"/>
          <w:szCs w:val="18"/>
        </w:rPr>
        <w:t>Source Annex 2</w:t>
      </w:r>
    </w:p>
    <w:p w:rsidR="000865F9" w:rsidRDefault="000865F9" w:rsidP="000865F9">
      <w:pPr>
        <w:rPr>
          <w:sz w:val="18"/>
          <w:szCs w:val="18"/>
        </w:rPr>
      </w:pPr>
    </w:p>
    <w:p w:rsidR="00696DB6" w:rsidRDefault="00696DB6">
      <w:pPr>
        <w:rPr>
          <w:rFonts w:eastAsia="Times New Roman"/>
          <w:b/>
          <w:bCs/>
          <w:iCs/>
          <w:color w:val="000000"/>
        </w:rPr>
      </w:pPr>
      <w:r>
        <w:rPr>
          <w:rFonts w:eastAsia="Times New Roman"/>
          <w:b/>
          <w:bCs/>
          <w:iCs/>
          <w:color w:val="000000"/>
        </w:rPr>
        <w:br w:type="page"/>
      </w:r>
    </w:p>
    <w:p w:rsidR="00C70E98" w:rsidRPr="009E5224" w:rsidRDefault="00C70E98" w:rsidP="009E5224">
      <w:pPr>
        <w:spacing w:before="0" w:after="200" w:line="276" w:lineRule="auto"/>
        <w:rPr>
          <w:rFonts w:eastAsia="Times New Roman"/>
          <w:color w:val="000000" w:themeColor="text1"/>
        </w:rPr>
      </w:pPr>
      <w:r w:rsidRPr="00C70E98">
        <w:rPr>
          <w:rFonts w:eastAsia="Times New Roman"/>
          <w:bCs/>
          <w:iCs/>
          <w:color w:val="000000"/>
        </w:rPr>
        <w:lastRenderedPageBreak/>
        <w:t>Afghanistan is an extreme example of poor governance and poor economic outcome despite considerable effort at building a nation state.</w:t>
      </w:r>
      <w:r w:rsidRPr="00C70E98">
        <w:rPr>
          <w:color w:val="000000" w:themeColor="text1"/>
        </w:rPr>
        <w:t xml:space="preserve"> Yet the country cannot be called a failed state as successive governments have held on to power keeping the country together and making valiant efforts to establish and make institutions of governance operational with strong support from the international community.</w:t>
      </w:r>
      <w:r>
        <w:rPr>
          <w:color w:val="000000" w:themeColor="text1"/>
        </w:rPr>
        <w:t xml:space="preserve"> </w:t>
      </w:r>
      <w:r w:rsidRPr="00C70E98">
        <w:rPr>
          <w:color w:val="000000" w:themeColor="text1"/>
        </w:rPr>
        <w:t xml:space="preserve">Resource rich </w:t>
      </w:r>
      <w:r w:rsidRPr="00C70E98">
        <w:rPr>
          <w:color w:val="000000" w:themeColor="text1"/>
          <w:shd w:val="clear" w:color="auto" w:fill="FFFFFF"/>
        </w:rPr>
        <w:t xml:space="preserve">Angola is a case of </w:t>
      </w:r>
      <w:r w:rsidRPr="00C70E98">
        <w:rPr>
          <w:color w:val="000000" w:themeColor="text1"/>
        </w:rPr>
        <w:t xml:space="preserve">governance through absolute power with implications for participation, democracy, decentralization, transparency, accountability, transparency, consensus building, human rights, corruption, gender equality and equity and resource management. </w:t>
      </w:r>
      <w:r w:rsidR="00D26769">
        <w:rPr>
          <w:color w:val="000000" w:themeColor="text1"/>
        </w:rPr>
        <w:t>Tajikistan is a case of breaking the bondage of centralized governance to a more liberal state but still dogged by governance issues which is the reason for the country growing rapidly with high poverty and drug problem.</w:t>
      </w:r>
      <w:r w:rsidR="00D26769" w:rsidRPr="00D26769">
        <w:rPr>
          <w:rFonts w:ascii="Arial" w:eastAsia="Times New Roman" w:hAnsi="Arial" w:cs="Arial"/>
          <w:color w:val="000000" w:themeColor="text1"/>
          <w:sz w:val="18"/>
          <w:szCs w:val="18"/>
        </w:rPr>
        <w:t xml:space="preserve"> </w:t>
      </w:r>
      <w:r w:rsidR="00D26769" w:rsidRPr="00D26769">
        <w:rPr>
          <w:rFonts w:eastAsia="Times New Roman"/>
          <w:color w:val="000000" w:themeColor="text1"/>
        </w:rPr>
        <w:t>Egypt has had problem with its human rights and press freedom record. Military has been a dominant force throughout much of its modern history. The protection of property rights has improved but the rule of law is unstable as the judicial system is highly politicized. Corruption is pervasive and continues because anti-corruption measures are weak. The socio-political climate remains tense.</w:t>
      </w:r>
      <w:r w:rsidR="00D26769">
        <w:rPr>
          <w:rFonts w:eastAsia="Times New Roman"/>
          <w:color w:val="000000" w:themeColor="text1"/>
        </w:rPr>
        <w:t xml:space="preserve"> The price paid is slow growth (2.5% compound rate over five years).</w:t>
      </w:r>
      <w:r w:rsidR="00982F5D">
        <w:rPr>
          <w:rFonts w:eastAsia="Times New Roman"/>
          <w:color w:val="000000" w:themeColor="text1"/>
        </w:rPr>
        <w:t xml:space="preserve"> Bangladesh is a well-known example of a country growing rapidly with poor governance, credit to sound economic management</w:t>
      </w:r>
      <w:r w:rsidR="004B28D8">
        <w:rPr>
          <w:rFonts w:eastAsia="Times New Roman"/>
          <w:color w:val="000000" w:themeColor="text1"/>
        </w:rPr>
        <w:t xml:space="preserve"> and a vibrant civil society</w:t>
      </w:r>
      <w:r w:rsidR="00982F5D">
        <w:rPr>
          <w:rFonts w:eastAsia="Times New Roman"/>
          <w:color w:val="000000" w:themeColor="text1"/>
        </w:rPr>
        <w:t>. One perhaps not so desirable lesson is that poor governance may to a certain extent be neutralized by good economic management producing satisfactory economic outcome in terms of growth. Pakistan is a borderline case of nearly failed state but for a very strong military yet corruption, drug, terrorism and other governance issues remain overwhelming completely negating any prospect for sustained growth</w:t>
      </w:r>
      <w:r w:rsidR="007D6890">
        <w:rPr>
          <w:rFonts w:eastAsia="Times New Roman"/>
          <w:color w:val="000000" w:themeColor="text1"/>
        </w:rPr>
        <w:t xml:space="preserve"> (five-year compound growth is 3.9%)</w:t>
      </w:r>
      <w:r w:rsidR="00982F5D">
        <w:rPr>
          <w:rFonts w:eastAsia="Times New Roman"/>
          <w:color w:val="000000" w:themeColor="text1"/>
        </w:rPr>
        <w:t>.</w:t>
      </w:r>
      <w:r w:rsidR="007D6890">
        <w:rPr>
          <w:rFonts w:eastAsia="Times New Roman"/>
          <w:color w:val="000000" w:themeColor="text1"/>
        </w:rPr>
        <w:t xml:space="preserve"> Vietnam with relatively few governance issues has been one of the fastest growing countries despite one party rule which though constraining in other ways was credited with bold opening up of the economy in 1984. Indian has governance issues political stability, democratic institutions, economic liberalism, vibrant private sector, independent judiciary </w:t>
      </w:r>
      <w:r w:rsidR="004B28D8">
        <w:rPr>
          <w:rFonts w:eastAsia="Times New Roman"/>
          <w:color w:val="000000" w:themeColor="text1"/>
        </w:rPr>
        <w:t>and tolerance of opposition has created a sustainable platform for growth which is unlikely to be dismantled any time soon.</w:t>
      </w:r>
      <w:r w:rsidR="009E5224" w:rsidRPr="009E5224">
        <w:t xml:space="preserve"> </w:t>
      </w:r>
      <w:r w:rsidR="009E5224">
        <w:t xml:space="preserve">Other examples of reasonable growth performance due to moderate governance effectiveness include </w:t>
      </w:r>
      <w:r w:rsidR="009E5224">
        <w:rPr>
          <w:rFonts w:eastAsia="Times New Roman"/>
          <w:color w:val="000000" w:themeColor="text1"/>
        </w:rPr>
        <w:t>Albania, Barbados, Bhutan, Cape Verde, Dominica, Georgia</w:t>
      </w:r>
      <w:r w:rsidR="009E5224" w:rsidRPr="009E5224">
        <w:rPr>
          <w:rFonts w:eastAsia="Times New Roman"/>
          <w:color w:val="000000" w:themeColor="text1"/>
        </w:rPr>
        <w:t>,</w:t>
      </w:r>
      <w:r w:rsidR="009E5224" w:rsidRPr="009E5224">
        <w:t xml:space="preserve"> </w:t>
      </w:r>
      <w:r w:rsidR="009E5224">
        <w:rPr>
          <w:rFonts w:eastAsia="Times New Roman"/>
          <w:color w:val="000000" w:themeColor="text1"/>
        </w:rPr>
        <w:t>Samoa and</w:t>
      </w:r>
      <w:r w:rsidR="009E5224" w:rsidRPr="009E5224">
        <w:rPr>
          <w:rFonts w:eastAsia="Times New Roman"/>
          <w:color w:val="000000" w:themeColor="text1"/>
        </w:rPr>
        <w:t xml:space="preserve"> Sri Lanka</w:t>
      </w:r>
      <w:r w:rsidR="009E5224">
        <w:rPr>
          <w:rFonts w:eastAsia="Times New Roman"/>
          <w:color w:val="000000" w:themeColor="text1"/>
        </w:rPr>
        <w:t xml:space="preserve"> (Annexes 2 and 3).</w:t>
      </w:r>
    </w:p>
    <w:p w:rsidR="000865F9" w:rsidRDefault="000865F9" w:rsidP="00114D37">
      <w:pPr>
        <w:spacing w:before="0" w:after="200" w:line="276" w:lineRule="auto"/>
        <w:rPr>
          <w:rFonts w:eastAsia="Times New Roman"/>
          <w:b/>
          <w:bCs/>
          <w:iCs/>
          <w:color w:val="000000"/>
        </w:rPr>
      </w:pPr>
      <w:r>
        <w:rPr>
          <w:rFonts w:eastAsia="Times New Roman"/>
          <w:b/>
          <w:bCs/>
          <w:iCs/>
          <w:color w:val="000000"/>
        </w:rPr>
        <w:t>Economic management</w:t>
      </w:r>
    </w:p>
    <w:p w:rsidR="003B0396" w:rsidRPr="0047226C" w:rsidRDefault="003B0396" w:rsidP="00D26769">
      <w:pPr>
        <w:spacing w:before="0" w:after="200" w:line="276" w:lineRule="auto"/>
        <w:rPr>
          <w:rFonts w:eastAsia="Times New Roman"/>
          <w:b/>
          <w:bCs/>
          <w:iCs/>
          <w:color w:val="000000"/>
        </w:rPr>
      </w:pPr>
      <w:r w:rsidRPr="0089710A">
        <w:t xml:space="preserve">Growth linkage </w:t>
      </w:r>
      <w:r>
        <w:t xml:space="preserve">with economic management is weak when data for all countries are analyzed together. </w:t>
      </w:r>
      <w:r w:rsidRPr="0089710A">
        <w:t xml:space="preserve">but examination of individual countries </w:t>
      </w:r>
      <w:r>
        <w:t>in selected group (Figure</w:t>
      </w:r>
      <w:r w:rsidR="00696DB6">
        <w:t xml:space="preserve"> 49</w:t>
      </w:r>
      <w:r>
        <w:t xml:space="preserve">) </w:t>
      </w:r>
      <w:r w:rsidRPr="0089710A">
        <w:t xml:space="preserve">reveals a pattern. On the basis of 2015 annual GDP growth, Senegal (6.49%), Tanzania (6.96%), India (7.93%), Vietnam (6.68), Bangladesh (6.55%) and Cambodia (7.04%), Cote </w:t>
      </w:r>
      <w:proofErr w:type="spellStart"/>
      <w:r w:rsidRPr="0089710A">
        <w:t>d’Voire</w:t>
      </w:r>
      <w:proofErr w:type="spellEnd"/>
      <w:r w:rsidRPr="0089710A">
        <w:t xml:space="preserve"> (9.16%) are high growth (&gt;5% annual) countries with relatively good economic management while Pakistan (4.71%), Nepal (2.73) and Afghanistan (0.84%) are low growth countries with relatively poor economic management. Nigeria falls through the crack with good economic management but poor growth in 2015 (2.65%).</w:t>
      </w:r>
      <w:r>
        <w:t xml:space="preserve"> Growth figures are in Table 8.</w:t>
      </w:r>
    </w:p>
    <w:p w:rsidR="000865F9" w:rsidRDefault="000865F9" w:rsidP="000865F9">
      <w:r>
        <w:rPr>
          <w:noProof/>
        </w:rPr>
        <w:lastRenderedPageBreak/>
        <w:drawing>
          <wp:inline distT="0" distB="0" distL="0" distR="0" wp14:anchorId="6D7AB434" wp14:editId="5E88AE39">
            <wp:extent cx="4572000" cy="2743200"/>
            <wp:effectExtent l="0" t="0" r="0" b="0"/>
            <wp:docPr id="17410" name="Chart 17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90970" w:rsidRDefault="000865F9" w:rsidP="00990970">
      <w:pPr>
        <w:spacing w:before="0" w:after="200" w:line="276" w:lineRule="auto"/>
        <w:rPr>
          <w:sz w:val="18"/>
          <w:szCs w:val="18"/>
        </w:rPr>
      </w:pPr>
      <w:r>
        <w:rPr>
          <w:sz w:val="18"/>
          <w:szCs w:val="18"/>
        </w:rPr>
        <w:t>Source: Annex 2</w:t>
      </w:r>
    </w:p>
    <w:p w:rsidR="009E5224" w:rsidRPr="009E5224" w:rsidRDefault="009E5224" w:rsidP="00990970">
      <w:pPr>
        <w:spacing w:before="0" w:after="200" w:line="276" w:lineRule="auto"/>
      </w:pPr>
      <w:r>
        <w:t xml:space="preserve">Looking at five-year compound annual growth rate and economic management, </w:t>
      </w:r>
      <w:r w:rsidR="000D3B59">
        <w:t xml:space="preserve">Bangladesh, Benin, Bolivia, Burkina Faso, </w:t>
      </w:r>
      <w:r>
        <w:t xml:space="preserve">Cambodia, </w:t>
      </w:r>
      <w:r w:rsidR="000D3B59">
        <w:t xml:space="preserve">Cameroon, </w:t>
      </w:r>
      <w:r>
        <w:t xml:space="preserve">Ghana, </w:t>
      </w:r>
      <w:r w:rsidR="000D3B59">
        <w:t xml:space="preserve">Kenya, </w:t>
      </w:r>
      <w:r>
        <w:t xml:space="preserve">Mongolia, Mozambique, Myanmar, </w:t>
      </w:r>
      <w:r w:rsidR="000D3B59">
        <w:t xml:space="preserve">Paraguay, </w:t>
      </w:r>
      <w:r>
        <w:t xml:space="preserve">Rwanda, </w:t>
      </w:r>
      <w:r w:rsidR="000D3B59">
        <w:t xml:space="preserve">Sri Lanka, Tajikistan, Togo, Vietnam and Zambia appear to be growing rapidly due to good economic management (Annexes 2 and 3). </w:t>
      </w:r>
      <w:r>
        <w:t xml:space="preserve"> </w:t>
      </w:r>
    </w:p>
    <w:p w:rsidR="00010C07" w:rsidRDefault="00370111" w:rsidP="00010C07">
      <w:pPr>
        <w:spacing w:after="200" w:line="276" w:lineRule="auto"/>
        <w:rPr>
          <w:rFonts w:eastAsia="Times New Roman"/>
          <w:b/>
          <w:color w:val="000000" w:themeColor="text1"/>
        </w:rPr>
      </w:pPr>
      <w:r>
        <w:rPr>
          <w:rFonts w:eastAsia="Times New Roman"/>
          <w:b/>
          <w:color w:val="000000" w:themeColor="text1"/>
        </w:rPr>
        <w:t>History of c</w:t>
      </w:r>
      <w:r w:rsidRPr="00370111">
        <w:rPr>
          <w:rFonts w:eastAsia="Times New Roman"/>
          <w:b/>
          <w:color w:val="000000" w:themeColor="text1"/>
        </w:rPr>
        <w:t>olonial past</w:t>
      </w:r>
      <w:r>
        <w:rPr>
          <w:rFonts w:eastAsia="Times New Roman"/>
          <w:b/>
          <w:color w:val="000000" w:themeColor="text1"/>
        </w:rPr>
        <w:t xml:space="preserve"> and civil war</w:t>
      </w:r>
    </w:p>
    <w:p w:rsidR="00010C07" w:rsidRDefault="00010C07" w:rsidP="00010C07">
      <w:pPr>
        <w:spacing w:after="200" w:line="276" w:lineRule="auto"/>
      </w:pPr>
      <w:r>
        <w:t xml:space="preserve">Colonia history has had a role to play in a country’s modern era status. This is a complex relationship, emotions and grievances apart. To get a simpler perspective one needs to look at two forces at work. First, wealth extraction by the colonial power cause retarded, truncated or at least delayed growth in the post-colonial societies. Second, colonial powers introduced institutions, legal, economic, administrative and others partly to facilitate wealth extraction, partly to administer and control and partly for security. British and French were good at it and left colonies with mature institutions though in the colonial mode that had to be transformed over time. Both had large number of colonies, the British much more than the French. Majority of these countries are experiencing rapid growth in recent years (Figure 50), some after long lapse of time. </w:t>
      </w:r>
      <w:r w:rsidR="000D3B59">
        <w:t xml:space="preserve">Former British colonies growing rapidly include </w:t>
      </w:r>
      <w:r w:rsidR="000D3B59" w:rsidRPr="000D3B59">
        <w:t>Ghana, Myanmar, Tanzania, India, Zimbabwe, Bangladesh, Sri Lanka, Kenya, Zambia, Solomon Islands and Sierra Leone</w:t>
      </w:r>
      <w:r w:rsidR="000D3B59">
        <w:t xml:space="preserve">. </w:t>
      </w:r>
      <w:r w:rsidR="00453111">
        <w:t xml:space="preserve">Similarly placed French former colonies are </w:t>
      </w:r>
      <w:r w:rsidR="00453111" w:rsidRPr="00453111">
        <w:t>Lao PDR, Cambodia, Cote d'Ivoire, Djibouti, Vietnam, Burkina Faso, Togo, Benin, Cameroon and Mauritania.</w:t>
      </w:r>
    </w:p>
    <w:p w:rsidR="002D7A66" w:rsidRPr="00370111" w:rsidRDefault="00010C07" w:rsidP="00010C07">
      <w:pPr>
        <w:spacing w:after="200" w:line="276" w:lineRule="auto"/>
        <w:rPr>
          <w:rFonts w:eastAsia="Times New Roman"/>
          <w:b/>
          <w:color w:val="000000" w:themeColor="text1"/>
        </w:rPr>
      </w:pPr>
      <w:r>
        <w:t xml:space="preserve">Bangladesh in particular had to suffer through double doses of colonialism, British and Pakistani both were ruthless in wealth extraction and suppression but Bangladesh could build on colonial institutions and evolve sound economic management that has resulted in rapid growth of the recent decade. </w:t>
      </w:r>
      <w:r w:rsidR="00370111">
        <w:rPr>
          <w:rFonts w:eastAsia="Times New Roman"/>
          <w:b/>
          <w:color w:val="000000" w:themeColor="text1"/>
        </w:rPr>
        <w:t xml:space="preserve"> </w:t>
      </w:r>
    </w:p>
    <w:p w:rsidR="00724E8E" w:rsidRDefault="00CE6EF6" w:rsidP="00724E8E">
      <w:pPr>
        <w:spacing w:before="0" w:after="0"/>
      </w:pPr>
      <w:r>
        <w:rPr>
          <w:noProof/>
        </w:rPr>
        <w:lastRenderedPageBreak/>
        <w:drawing>
          <wp:inline distT="0" distB="0" distL="0" distR="0" wp14:anchorId="489F02B5" wp14:editId="1737C0B5">
            <wp:extent cx="4572000" cy="2796540"/>
            <wp:effectExtent l="0" t="0" r="0" b="3810"/>
            <wp:docPr id="17434" name="Chart 17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24E8E" w:rsidRDefault="00724E8E" w:rsidP="00724E8E">
      <w:pPr>
        <w:spacing w:before="0" w:after="0"/>
        <w:rPr>
          <w:sz w:val="18"/>
          <w:szCs w:val="18"/>
        </w:rPr>
      </w:pPr>
      <w:r>
        <w:rPr>
          <w:sz w:val="18"/>
          <w:szCs w:val="18"/>
        </w:rPr>
        <w:t>Source: Annex 3</w:t>
      </w:r>
    </w:p>
    <w:p w:rsidR="00C80868" w:rsidRDefault="00C80868" w:rsidP="00724E8E">
      <w:pPr>
        <w:spacing w:before="0" w:after="0"/>
        <w:rPr>
          <w:sz w:val="18"/>
          <w:szCs w:val="18"/>
        </w:rPr>
      </w:pPr>
    </w:p>
    <w:p w:rsidR="00C80868" w:rsidRPr="00C80868" w:rsidRDefault="00510697" w:rsidP="00C80868">
      <w:pPr>
        <w:spacing w:before="0" w:after="200" w:line="276" w:lineRule="auto"/>
      </w:pPr>
      <w:r>
        <w:t xml:space="preserve">In the same vein, Spanish, Belgian and Portuguese colonies had to suffer through outright plunders with very little institution building except in Spanish South America. Their social contradictions persist, many having gone through prolonged civil war but neither colonial domination nor ensuing civil war could hold back the indomitable spirit </w:t>
      </w:r>
      <w:r w:rsidR="00075BA0">
        <w:t xml:space="preserve">and aspiration </w:t>
      </w:r>
      <w:r>
        <w:t>of the people</w:t>
      </w:r>
      <w:r w:rsidR="00075BA0">
        <w:t xml:space="preserve"> to unite and fight for prosperity. Clearly no-civil war is better than civil war, yet growth has occurred in both as in Ghana and India with no civil war and Cambodia and </w:t>
      </w:r>
      <w:r w:rsidR="00167619">
        <w:t xml:space="preserve">Mozambique with civil war </w:t>
      </w:r>
      <w:r w:rsidR="00075BA0">
        <w:t>(Figure 51</w:t>
      </w:r>
      <w:r w:rsidR="00167619">
        <w:t xml:space="preserve"> and Annex 3</w:t>
      </w:r>
      <w:r w:rsidR="00075BA0">
        <w:t>).</w:t>
      </w:r>
      <w:r w:rsidR="0057471D">
        <w:t xml:space="preserve">  </w:t>
      </w:r>
    </w:p>
    <w:p w:rsidR="00075BA0" w:rsidRDefault="00075BA0" w:rsidP="00724E8E">
      <w:pPr>
        <w:spacing w:before="0" w:after="0"/>
        <w:rPr>
          <w:sz w:val="18"/>
          <w:szCs w:val="18"/>
        </w:rPr>
      </w:pPr>
    </w:p>
    <w:tbl>
      <w:tblPr>
        <w:tblW w:w="9372" w:type="dxa"/>
        <w:tblLook w:val="04A0" w:firstRow="1" w:lastRow="0" w:firstColumn="1" w:lastColumn="0" w:noHBand="0" w:noVBand="1"/>
      </w:tblPr>
      <w:tblGrid>
        <w:gridCol w:w="9372"/>
      </w:tblGrid>
      <w:tr w:rsidR="00592F8E" w:rsidRPr="00E851F8" w:rsidTr="00331CAC">
        <w:trPr>
          <w:trHeight w:val="300"/>
        </w:trPr>
        <w:tc>
          <w:tcPr>
            <w:tcW w:w="9372" w:type="dxa"/>
            <w:tcBorders>
              <w:top w:val="nil"/>
              <w:left w:val="nil"/>
              <w:bottom w:val="nil"/>
              <w:right w:val="nil"/>
            </w:tcBorders>
            <w:shd w:val="clear" w:color="auto" w:fill="auto"/>
            <w:noWrap/>
            <w:vAlign w:val="center"/>
            <w:hideMark/>
          </w:tcPr>
          <w:p w:rsidR="00331CAC" w:rsidRPr="006133E0" w:rsidRDefault="00331CAC" w:rsidP="00C80868">
            <w:pPr>
              <w:spacing w:before="0" w:after="0"/>
              <w:ind w:left="-108"/>
              <w:rPr>
                <w:rFonts w:eastAsia="Times New Roman"/>
                <w:b/>
                <w:bCs/>
                <w:color w:val="000000"/>
              </w:rPr>
            </w:pPr>
            <w:r w:rsidRPr="006133E0">
              <w:rPr>
                <w:noProof/>
              </w:rPr>
              <w:drawing>
                <wp:inline distT="0" distB="0" distL="0" distR="0" wp14:anchorId="27ED196B" wp14:editId="4DF4EFEB">
                  <wp:extent cx="4282440" cy="1714500"/>
                  <wp:effectExtent l="0" t="0" r="3810" b="0"/>
                  <wp:docPr id="17442" name="Chart 17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C80868" w:rsidRPr="006133E0">
              <w:br w:type="page"/>
            </w:r>
            <w:r w:rsidRPr="006133E0">
              <w:rPr>
                <w:noProof/>
              </w:rPr>
              <w:drawing>
                <wp:inline distT="0" distB="0" distL="0" distR="0" wp14:anchorId="56E551E5" wp14:editId="36839B67">
                  <wp:extent cx="4282440" cy="1432560"/>
                  <wp:effectExtent l="0" t="0" r="3810" b="15240"/>
                  <wp:docPr id="17443" name="Chart 174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80868" w:rsidRPr="00924B64" w:rsidRDefault="00C80868" w:rsidP="00C80868">
            <w:pPr>
              <w:spacing w:before="0" w:after="200" w:line="276" w:lineRule="auto"/>
              <w:rPr>
                <w:rFonts w:eastAsia="Times New Roman"/>
                <w:bCs/>
                <w:color w:val="000000"/>
                <w:sz w:val="18"/>
                <w:szCs w:val="18"/>
              </w:rPr>
            </w:pPr>
            <w:r w:rsidRPr="00924B64">
              <w:rPr>
                <w:rFonts w:eastAsia="Times New Roman"/>
                <w:bCs/>
                <w:color w:val="000000"/>
                <w:sz w:val="18"/>
                <w:szCs w:val="18"/>
              </w:rPr>
              <w:t>Source: Annex 3.</w:t>
            </w:r>
          </w:p>
          <w:p w:rsidR="00453111" w:rsidRPr="00453111" w:rsidRDefault="00453111" w:rsidP="00114D37">
            <w:pPr>
              <w:spacing w:before="0" w:after="200" w:line="276" w:lineRule="auto"/>
              <w:rPr>
                <w:rFonts w:eastAsia="Times New Roman"/>
                <w:bCs/>
                <w:color w:val="000000"/>
              </w:rPr>
            </w:pPr>
            <w:r w:rsidRPr="00453111">
              <w:rPr>
                <w:rFonts w:eastAsia="Times New Roman"/>
                <w:bCs/>
                <w:color w:val="000000"/>
              </w:rPr>
              <w:lastRenderedPageBreak/>
              <w:t xml:space="preserve">Mongolia, Ghana, Tanzania, India, Burkina Faso, Togo, Zambia, Paraguay are </w:t>
            </w:r>
            <w:proofErr w:type="spellStart"/>
            <w:r w:rsidRPr="00453111">
              <w:rPr>
                <w:rFonts w:eastAsia="Times New Roman"/>
                <w:bCs/>
                <w:color w:val="000000"/>
              </w:rPr>
              <w:t>exmaples</w:t>
            </w:r>
            <w:proofErr w:type="spellEnd"/>
            <w:r w:rsidRPr="00453111">
              <w:rPr>
                <w:rFonts w:eastAsia="Times New Roman"/>
                <w:bCs/>
                <w:color w:val="000000"/>
              </w:rPr>
              <w:t xml:space="preserve"> of rapidly growing country without any history of civil war. Ethiopia, Congo Dem Republic, Lao PDR, Myanmar, Cambodia, Mozambique, Sri Lanka and Eritrea have been growing rapidly despite history of civil war.</w:t>
            </w:r>
          </w:p>
          <w:p w:rsidR="00370111" w:rsidRPr="006133E0" w:rsidRDefault="00370111" w:rsidP="00114D37">
            <w:pPr>
              <w:spacing w:before="0" w:after="200" w:line="276" w:lineRule="auto"/>
              <w:rPr>
                <w:rFonts w:eastAsia="Times New Roman"/>
                <w:b/>
                <w:bCs/>
                <w:color w:val="000000"/>
              </w:rPr>
            </w:pPr>
            <w:r w:rsidRPr="006133E0">
              <w:rPr>
                <w:rFonts w:eastAsia="Times New Roman"/>
                <w:b/>
                <w:bCs/>
                <w:color w:val="000000"/>
              </w:rPr>
              <w:t>Growth and democracy</w:t>
            </w:r>
            <w:r w:rsidR="002C27C0" w:rsidRPr="006133E0">
              <w:rPr>
                <w:rFonts w:eastAsia="Times New Roman"/>
                <w:b/>
                <w:bCs/>
                <w:color w:val="000000"/>
              </w:rPr>
              <w:t>,</w:t>
            </w:r>
            <w:r w:rsidRPr="006133E0">
              <w:rPr>
                <w:rFonts w:eastAsia="Times New Roman"/>
                <w:b/>
                <w:bCs/>
                <w:color w:val="000000"/>
              </w:rPr>
              <w:t xml:space="preserve"> global rights and freedom</w:t>
            </w:r>
          </w:p>
          <w:p w:rsidR="00592F8E" w:rsidRPr="006133E0" w:rsidRDefault="00587769" w:rsidP="00453111">
            <w:pPr>
              <w:spacing w:after="0"/>
              <w:rPr>
                <w:rFonts w:eastAsia="Times New Roman"/>
                <w:b/>
                <w:bCs/>
                <w:color w:val="000000"/>
              </w:rPr>
            </w:pPr>
            <w:r>
              <w:rPr>
                <w:rFonts w:eastAsia="Times New Roman"/>
                <w:bCs/>
                <w:color w:val="000000"/>
              </w:rPr>
              <w:t xml:space="preserve">Democracy, rights and freedom are fundamental institutions for human existence and advancement. This is both philosophical and practical. In a </w:t>
            </w:r>
            <w:proofErr w:type="spellStart"/>
            <w:r>
              <w:rPr>
                <w:rFonts w:eastAsia="Times New Roman"/>
                <w:bCs/>
                <w:color w:val="000000"/>
              </w:rPr>
              <w:t>transformatonal</w:t>
            </w:r>
            <w:proofErr w:type="spellEnd"/>
            <w:r>
              <w:rPr>
                <w:rFonts w:eastAsia="Times New Roman"/>
                <w:bCs/>
                <w:color w:val="000000"/>
              </w:rPr>
              <w:t xml:space="preserve"> society like that of Bangladesh these three elements will provide the impetus for new ideas to come forward and challenge the traditional for opening the door for accelerated growth and structural change. Across the world the perception seems to be different. Autocrats feel they are messiah for development and should have the monopoly of decision-making marking every opposing view as enemy of th</w:t>
            </w:r>
            <w:r w:rsidR="00985886">
              <w:rPr>
                <w:rFonts w:eastAsia="Times New Roman"/>
                <w:bCs/>
                <w:color w:val="000000"/>
              </w:rPr>
              <w:t>e state.</w:t>
            </w:r>
            <w:r>
              <w:rPr>
                <w:rFonts w:eastAsia="Times New Roman"/>
                <w:bCs/>
                <w:color w:val="000000"/>
              </w:rPr>
              <w:t xml:space="preserve"> Even in so called democratic framework chosen leaders act as autocrats and refuse to cede power as required by Law. Some of these countries do well by economic criteria but not by aspiration of the people for inclusive decision making. Zimbabwe, Rwanda </w:t>
            </w:r>
            <w:r w:rsidR="00985886">
              <w:rPr>
                <w:rFonts w:eastAsia="Times New Roman"/>
                <w:bCs/>
                <w:color w:val="000000"/>
              </w:rPr>
              <w:t>and Cambodia fall into this category. It is ironical that all swear by democratic principles including Russia, China, North Korea but do everything to sabotage it. This is why today question is raised is Bangladesh democratic enough? Debate continues but democratic institutions are in place and functioning as well as one could ask for with some reservations. Bangladesh is not alon</w:t>
            </w:r>
            <w:r w:rsidR="00AD7A6D">
              <w:rPr>
                <w:rFonts w:eastAsia="Times New Roman"/>
                <w:bCs/>
                <w:color w:val="000000"/>
              </w:rPr>
              <w:t>e</w:t>
            </w:r>
            <w:r w:rsidR="00985886">
              <w:rPr>
                <w:rFonts w:eastAsia="Times New Roman"/>
                <w:bCs/>
                <w:color w:val="000000"/>
              </w:rPr>
              <w:t xml:space="preserve"> in this state of hibernation. Across the globe only 60% of the 60 countries with data seem to have strengthened democratic institutions (</w:t>
            </w:r>
            <w:r w:rsidR="00DA6C23">
              <w:rPr>
                <w:rFonts w:eastAsia="Times New Roman"/>
                <w:bCs/>
                <w:color w:val="000000"/>
              </w:rPr>
              <w:t>Figure 52</w:t>
            </w:r>
            <w:r w:rsidR="00985886">
              <w:rPr>
                <w:rFonts w:eastAsia="Times New Roman"/>
                <w:bCs/>
                <w:color w:val="000000"/>
              </w:rPr>
              <w:t>)</w:t>
            </w:r>
            <w:r w:rsidR="00AD7A6D">
              <w:rPr>
                <w:rFonts w:eastAsia="Times New Roman"/>
                <w:bCs/>
                <w:color w:val="000000"/>
              </w:rPr>
              <w:t xml:space="preserve">. Among rapidly growing 32 countries 59% strengthened democratic institutions. </w:t>
            </w:r>
          </w:p>
        </w:tc>
      </w:tr>
    </w:tbl>
    <w:p w:rsidR="00592F8E" w:rsidRDefault="00592F8E" w:rsidP="00592F8E">
      <w:pPr>
        <w:spacing w:after="0"/>
        <w:rPr>
          <w:rFonts w:ascii="Arial" w:hAnsi="Arial" w:cs="Arial"/>
          <w:b/>
        </w:rPr>
      </w:pPr>
      <w:r>
        <w:rPr>
          <w:noProof/>
        </w:rPr>
        <w:lastRenderedPageBreak/>
        <w:drawing>
          <wp:inline distT="0" distB="0" distL="0" distR="0" wp14:anchorId="2F53C22B" wp14:editId="3B4CC9A8">
            <wp:extent cx="4572000" cy="2682240"/>
            <wp:effectExtent l="0" t="0" r="0" b="3810"/>
            <wp:docPr id="17424" name="Chart 17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92F8E" w:rsidRPr="00924B64" w:rsidRDefault="00592F8E" w:rsidP="00592F8E">
      <w:pPr>
        <w:spacing w:before="0" w:after="200" w:line="276" w:lineRule="auto"/>
        <w:rPr>
          <w:rFonts w:eastAsia="Times New Roman"/>
          <w:color w:val="000000"/>
          <w:sz w:val="18"/>
          <w:szCs w:val="18"/>
        </w:rPr>
      </w:pPr>
      <w:r w:rsidRPr="00924B64">
        <w:rPr>
          <w:sz w:val="18"/>
          <w:szCs w:val="18"/>
        </w:rPr>
        <w:t xml:space="preserve">Source: </w:t>
      </w:r>
      <w:r w:rsidR="00724E8E" w:rsidRPr="00924B64">
        <w:rPr>
          <w:sz w:val="18"/>
          <w:szCs w:val="18"/>
        </w:rPr>
        <w:t>Annex 3</w:t>
      </w:r>
    </w:p>
    <w:p w:rsidR="00DA6C23" w:rsidRDefault="00453111">
      <w:pPr>
        <w:rPr>
          <w:rFonts w:eastAsia="Times New Roman"/>
          <w:bCs/>
          <w:color w:val="000000"/>
        </w:rPr>
      </w:pPr>
      <w:r>
        <w:rPr>
          <w:rFonts w:eastAsia="Times New Roman"/>
          <w:bCs/>
          <w:color w:val="000000"/>
        </w:rPr>
        <w:t xml:space="preserve">Looking at it differently, among 36 countries that strengthened democratic institutions, 53% had rapid growth. The figure is almost identical (54%) for 24 countries that have not strengthened democratic institutions. The finding is consistent with </w:t>
      </w:r>
      <w:r w:rsidR="00554C5A">
        <w:rPr>
          <w:rFonts w:eastAsia="Times New Roman"/>
          <w:bCs/>
          <w:color w:val="000000"/>
        </w:rPr>
        <w:t>Table 11</w:t>
      </w:r>
      <w:r>
        <w:rPr>
          <w:rFonts w:eastAsia="Times New Roman"/>
          <w:bCs/>
          <w:color w:val="000000"/>
        </w:rPr>
        <w:t xml:space="preserve"> with the additional observation that development orientation of the leadership may compensate for gap in democratic values although one must remember that growth with democracy is more desirable than growth with non-democracy like rich food in a prison.</w:t>
      </w:r>
      <w:r w:rsidR="000037EA">
        <w:rPr>
          <w:rFonts w:eastAsia="Times New Roman"/>
          <w:bCs/>
          <w:color w:val="000000"/>
        </w:rPr>
        <w:t xml:space="preserve"> </w:t>
      </w:r>
      <w:r w:rsidR="000037EA" w:rsidRPr="000037EA">
        <w:rPr>
          <w:rFonts w:eastAsia="Times New Roman"/>
          <w:bCs/>
          <w:color w:val="000000"/>
        </w:rPr>
        <w:t xml:space="preserve">Examples of strong democracy and rapid growth are </w:t>
      </w:r>
      <w:r w:rsidR="000037EA" w:rsidRPr="000037EA">
        <w:rPr>
          <w:rFonts w:eastAsia="Times New Roman"/>
          <w:bCs/>
          <w:color w:val="000000"/>
        </w:rPr>
        <w:lastRenderedPageBreak/>
        <w:t>Myanmar, Benin, Bolivia, Ghana, India, Sri Lanka and Paraguay. On the other hand, Burundi, Argentina, Bosnia and Herzegovina are slow growing countries with good democracy</w:t>
      </w:r>
      <w:r w:rsidR="00525C9D">
        <w:rPr>
          <w:rFonts w:eastAsia="Times New Roman"/>
          <w:bCs/>
          <w:color w:val="000000"/>
        </w:rPr>
        <w:t xml:space="preserve"> </w:t>
      </w:r>
      <w:r w:rsidR="00525C9D">
        <w:t>(Annexes 2 and 3)</w:t>
      </w:r>
      <w:r w:rsidR="000037EA" w:rsidRPr="000037EA">
        <w:rPr>
          <w:rFonts w:eastAsia="Times New Roman"/>
          <w:bCs/>
          <w:color w:val="000000"/>
        </w:rPr>
        <w:t>.</w:t>
      </w:r>
    </w:p>
    <w:p w:rsidR="000037EA" w:rsidRPr="002B3555" w:rsidRDefault="002B3555">
      <w:r>
        <w:t>Similarly, slow growing countries have mostly very poor (5+</w:t>
      </w:r>
      <w:r w:rsidR="00F77A1B">
        <w:t>) or</w:t>
      </w:r>
      <w:r>
        <w:t xml:space="preserve"> poor rating (4 or 5) in global rights</w:t>
      </w:r>
      <w:r w:rsidR="00F77A1B">
        <w:t xml:space="preserve"> (workers) index, rapidly and modestly growing countries have poor rating (Figure 53) implying that global rights rating does not impact on growth that much. </w:t>
      </w:r>
      <w:r>
        <w:t xml:space="preserve"> </w:t>
      </w:r>
      <w:r w:rsidR="000037EA" w:rsidRPr="002B3555">
        <w:t xml:space="preserve">Bangladesh </w:t>
      </w:r>
      <w:r>
        <w:t>is growing rapidly; this despite its poor record in global rights</w:t>
      </w:r>
      <w:r w:rsidR="00F77A1B">
        <w:t xml:space="preserve"> (Figure 54)</w:t>
      </w:r>
      <w:r>
        <w:t xml:space="preserve">, </w:t>
      </w:r>
      <w:r w:rsidR="00F77A1B">
        <w:t xml:space="preserve">global freedom score (Figure 55) and economic freedom (Figures 56 and 57). Countries in similar situation as Bangladesh are, </w:t>
      </w:r>
      <w:r w:rsidR="003E4791">
        <w:t>Myanmar, Zimbabwe, Algeria, Benin, Bolivia, Bosnia Herzegovina, Cambodia, Vietnam, India, Sri Lanka and Bhutan</w:t>
      </w:r>
      <w:r w:rsidR="00525C9D">
        <w:t xml:space="preserve"> (Annexes 2 and 3)</w:t>
      </w:r>
      <w:r w:rsidR="003E4791">
        <w:t xml:space="preserve">. Again, one is tempted to draw the lesson that global rights, global freedom and economic freedom are important in their own right but growth can occur even if there are some shortfalls. </w:t>
      </w:r>
    </w:p>
    <w:p w:rsidR="00370111" w:rsidRPr="00E615DF" w:rsidRDefault="00370111" w:rsidP="00370111">
      <w:pPr>
        <w:rPr>
          <w:b/>
        </w:rPr>
      </w:pPr>
      <w:r w:rsidRPr="00E615DF">
        <w:rPr>
          <w:b/>
        </w:rPr>
        <w:t>Figure</w:t>
      </w:r>
      <w:r w:rsidR="00F406F9" w:rsidRPr="00E615DF">
        <w:rPr>
          <w:b/>
        </w:rPr>
        <w:t xml:space="preserve"> 53</w:t>
      </w:r>
      <w:r w:rsidRPr="00E615DF">
        <w:rPr>
          <w:b/>
        </w:rPr>
        <w:t>: Country analysis by growth and global rights index</w:t>
      </w:r>
    </w:p>
    <w:p w:rsidR="00370111" w:rsidRDefault="00370111" w:rsidP="00370111">
      <w:pPr>
        <w:spacing w:before="0" w:after="0"/>
      </w:pPr>
      <w:r w:rsidRPr="006F17F9">
        <w:rPr>
          <w:noProof/>
        </w:rPr>
        <w:drawing>
          <wp:inline distT="0" distB="0" distL="0" distR="0" wp14:anchorId="19EC977D" wp14:editId="247C54FA">
            <wp:extent cx="4747260" cy="2606040"/>
            <wp:effectExtent l="0" t="0" r="0" b="3810"/>
            <wp:docPr id="17422" name="Picture 1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47260" cy="2606040"/>
                    </a:xfrm>
                    <a:prstGeom prst="rect">
                      <a:avLst/>
                    </a:prstGeom>
                    <a:noFill/>
                    <a:ln>
                      <a:noFill/>
                    </a:ln>
                  </pic:spPr>
                </pic:pic>
              </a:graphicData>
            </a:graphic>
          </wp:inline>
        </w:drawing>
      </w:r>
    </w:p>
    <w:p w:rsidR="00370111" w:rsidRDefault="00370111" w:rsidP="00370111">
      <w:pPr>
        <w:spacing w:before="0" w:after="0"/>
        <w:rPr>
          <w:sz w:val="18"/>
          <w:szCs w:val="18"/>
        </w:rPr>
      </w:pPr>
      <w:r w:rsidRPr="00724E8E">
        <w:rPr>
          <w:sz w:val="18"/>
          <w:szCs w:val="18"/>
        </w:rPr>
        <w:t xml:space="preserve">Source: </w:t>
      </w:r>
      <w:r>
        <w:rPr>
          <w:sz w:val="18"/>
          <w:szCs w:val="18"/>
        </w:rPr>
        <w:t xml:space="preserve">Annex </w:t>
      </w:r>
      <w:r w:rsidR="00924B64">
        <w:rPr>
          <w:sz w:val="18"/>
          <w:szCs w:val="18"/>
        </w:rPr>
        <w:t>2</w:t>
      </w:r>
    </w:p>
    <w:p w:rsidR="00F406F9" w:rsidRPr="00724E8E" w:rsidRDefault="00F406F9" w:rsidP="00370111">
      <w:pPr>
        <w:spacing w:before="0" w:after="0"/>
        <w:rPr>
          <w:sz w:val="18"/>
          <w:szCs w:val="18"/>
        </w:rPr>
      </w:pPr>
    </w:p>
    <w:p w:rsidR="00370111" w:rsidRDefault="00370111" w:rsidP="00370111">
      <w:pPr>
        <w:spacing w:before="0" w:after="0"/>
      </w:pPr>
      <w:r>
        <w:rPr>
          <w:noProof/>
        </w:rPr>
        <w:drawing>
          <wp:inline distT="0" distB="0" distL="0" distR="0" wp14:anchorId="50D4C7FF" wp14:editId="188B630C">
            <wp:extent cx="4686300" cy="2606040"/>
            <wp:effectExtent l="0" t="0" r="0" b="3810"/>
            <wp:docPr id="17429" name="Chart 17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C27C0" w:rsidRDefault="00370111" w:rsidP="00E615DF">
      <w:pPr>
        <w:spacing w:before="0" w:after="200" w:line="276" w:lineRule="auto"/>
        <w:rPr>
          <w:sz w:val="18"/>
          <w:szCs w:val="18"/>
        </w:rPr>
      </w:pPr>
      <w:r>
        <w:rPr>
          <w:sz w:val="18"/>
          <w:szCs w:val="18"/>
        </w:rPr>
        <w:t xml:space="preserve">Source: Annex </w:t>
      </w:r>
      <w:r w:rsidR="00924B64">
        <w:rPr>
          <w:sz w:val="18"/>
          <w:szCs w:val="18"/>
        </w:rPr>
        <w:t>2</w:t>
      </w:r>
    </w:p>
    <w:p w:rsidR="002C27C0" w:rsidRDefault="002C27C0" w:rsidP="00E615DF">
      <w:pPr>
        <w:spacing w:before="240" w:after="0" w:line="276" w:lineRule="auto"/>
        <w:rPr>
          <w:b/>
          <w:sz w:val="18"/>
          <w:szCs w:val="18"/>
        </w:rPr>
      </w:pPr>
      <w:r>
        <w:rPr>
          <w:noProof/>
        </w:rPr>
        <w:lastRenderedPageBreak/>
        <w:drawing>
          <wp:inline distT="0" distB="0" distL="0" distR="0" wp14:anchorId="600570F7" wp14:editId="4BCBAB51">
            <wp:extent cx="4671060" cy="2506980"/>
            <wp:effectExtent l="0" t="0" r="15240" b="7620"/>
            <wp:docPr id="17436" name="Chart 17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615DF" w:rsidRPr="00E615DF" w:rsidRDefault="00E615DF" w:rsidP="00E615DF">
      <w:pPr>
        <w:spacing w:before="0" w:after="200" w:line="276" w:lineRule="auto"/>
        <w:rPr>
          <w:sz w:val="18"/>
          <w:szCs w:val="18"/>
        </w:rPr>
      </w:pPr>
      <w:r>
        <w:rPr>
          <w:sz w:val="18"/>
          <w:szCs w:val="18"/>
        </w:rPr>
        <w:t>Source: Annex 2</w:t>
      </w:r>
    </w:p>
    <w:p w:rsidR="002C27C0" w:rsidRDefault="002C27C0" w:rsidP="002C27C0">
      <w:pPr>
        <w:spacing w:before="0" w:after="0" w:line="276" w:lineRule="auto"/>
        <w:rPr>
          <w:b/>
          <w:sz w:val="18"/>
          <w:szCs w:val="18"/>
        </w:rPr>
      </w:pPr>
      <w:r>
        <w:rPr>
          <w:noProof/>
        </w:rPr>
        <w:drawing>
          <wp:inline distT="0" distB="0" distL="0" distR="0" wp14:anchorId="5F78185E" wp14:editId="06545AFD">
            <wp:extent cx="4663440" cy="2362200"/>
            <wp:effectExtent l="0" t="0" r="3810" b="0"/>
            <wp:docPr id="17438" name="Chart 17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2C27C0" w:rsidRDefault="002C27C0" w:rsidP="002C27C0">
      <w:pPr>
        <w:spacing w:before="0" w:after="0" w:line="276" w:lineRule="auto"/>
        <w:rPr>
          <w:sz w:val="18"/>
          <w:szCs w:val="18"/>
        </w:rPr>
      </w:pPr>
      <w:r w:rsidRPr="00B26F53">
        <w:rPr>
          <w:sz w:val="18"/>
          <w:szCs w:val="18"/>
        </w:rPr>
        <w:t xml:space="preserve">Source: Annex </w:t>
      </w:r>
      <w:r w:rsidR="00924B64">
        <w:rPr>
          <w:sz w:val="18"/>
          <w:szCs w:val="18"/>
        </w:rPr>
        <w:t>2</w:t>
      </w:r>
    </w:p>
    <w:p w:rsidR="002C27C0" w:rsidRDefault="002C27C0" w:rsidP="002C27C0">
      <w:pPr>
        <w:spacing w:before="0" w:after="0" w:line="276" w:lineRule="auto"/>
        <w:rPr>
          <w:sz w:val="18"/>
          <w:szCs w:val="18"/>
        </w:rPr>
      </w:pPr>
      <w:r>
        <w:rPr>
          <w:noProof/>
        </w:rPr>
        <w:drawing>
          <wp:inline distT="0" distB="0" distL="0" distR="0" wp14:anchorId="7C6F6FF2" wp14:editId="5A269E62">
            <wp:extent cx="4655820" cy="2423160"/>
            <wp:effectExtent l="0" t="0" r="11430" b="15240"/>
            <wp:docPr id="17450" name="Chart 17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C27C0" w:rsidRPr="00B26F53" w:rsidRDefault="002C27C0" w:rsidP="00E615DF">
      <w:pPr>
        <w:spacing w:before="0" w:after="200" w:line="276" w:lineRule="auto"/>
        <w:rPr>
          <w:sz w:val="18"/>
          <w:szCs w:val="18"/>
        </w:rPr>
      </w:pPr>
      <w:r>
        <w:rPr>
          <w:sz w:val="18"/>
          <w:szCs w:val="18"/>
        </w:rPr>
        <w:t xml:space="preserve">Source: Annex </w:t>
      </w:r>
      <w:r w:rsidR="00924B64">
        <w:rPr>
          <w:sz w:val="18"/>
          <w:szCs w:val="18"/>
        </w:rPr>
        <w:t>2</w:t>
      </w:r>
    </w:p>
    <w:p w:rsidR="00370111" w:rsidRDefault="00D23CB8" w:rsidP="00E615DF">
      <w:pPr>
        <w:spacing w:before="0" w:after="200" w:line="276" w:lineRule="auto"/>
        <w:rPr>
          <w:b/>
        </w:rPr>
      </w:pPr>
      <w:r>
        <w:rPr>
          <w:b/>
        </w:rPr>
        <w:lastRenderedPageBreak/>
        <w:t xml:space="preserve">Growth, country risks, reforms, </w:t>
      </w:r>
      <w:r w:rsidR="00605F43">
        <w:rPr>
          <w:b/>
        </w:rPr>
        <w:t>aspiration and investor environment</w:t>
      </w:r>
    </w:p>
    <w:p w:rsidR="00A221C4" w:rsidRPr="00CB2722" w:rsidRDefault="00CB2722" w:rsidP="00E615DF">
      <w:pPr>
        <w:spacing w:before="0" w:after="200" w:line="276" w:lineRule="auto"/>
        <w:rPr>
          <w:rFonts w:ascii="Arial" w:hAnsi="Arial" w:cs="Arial"/>
        </w:rPr>
      </w:pPr>
      <w:r w:rsidRPr="00CB2722">
        <w:t>Foreign investors look at country risks before deciding to invest in the country.</w:t>
      </w:r>
      <w:r>
        <w:t xml:space="preserve"> Domestic investors live with country risk, hold back investment or send money abroad legally or illegally. Country risks are assessed on the basis of economic and non-economic factors. In Afghanistan, security is a concern, so it is in Bangladesh. Otherwise, it is difficult to explain stubbornly low rate of investment in Bangladesh. A double digit growth is a distinct possibility for Bangladesh; but then country risks will have to be tackled. Bangladesh is an acceptable risk country. Of the 28 countries in this category, 61% ae growing rapidly implying had these been low risk, growth rates would have been higher. </w:t>
      </w:r>
      <w:r w:rsidR="0030223E">
        <w:t xml:space="preserve">It is clear risks are unavoidable; the 57 countries with data are equally divided between acceptable risk and high risk (Figure 58). It is clear country risks can be reduced by strong institutions underpinning good governance and sound economic management. </w:t>
      </w:r>
    </w:p>
    <w:p w:rsidR="00B065D8" w:rsidRDefault="00B065D8" w:rsidP="00B065D8">
      <w:pPr>
        <w:rPr>
          <w:rFonts w:ascii="Arial" w:hAnsi="Arial" w:cs="Arial"/>
          <w:sz w:val="18"/>
          <w:szCs w:val="18"/>
        </w:rPr>
      </w:pPr>
      <w:r>
        <w:rPr>
          <w:noProof/>
        </w:rPr>
        <w:drawing>
          <wp:inline distT="0" distB="0" distL="0" distR="0" wp14:anchorId="12E08137" wp14:editId="49C9D6EC">
            <wp:extent cx="4572000" cy="2743200"/>
            <wp:effectExtent l="0" t="0" r="0" b="0"/>
            <wp:docPr id="17425" name="Chart 17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065D8" w:rsidRPr="008F1257" w:rsidRDefault="00B065D8" w:rsidP="008F1257">
      <w:pPr>
        <w:spacing w:before="0" w:after="200" w:line="276" w:lineRule="auto"/>
        <w:rPr>
          <w:sz w:val="18"/>
          <w:szCs w:val="18"/>
        </w:rPr>
      </w:pPr>
      <w:r w:rsidRPr="008F1257">
        <w:rPr>
          <w:sz w:val="18"/>
          <w:szCs w:val="18"/>
        </w:rPr>
        <w:t xml:space="preserve">Source: Annex </w:t>
      </w:r>
      <w:r w:rsidR="008F1257" w:rsidRPr="008F1257">
        <w:rPr>
          <w:sz w:val="18"/>
          <w:szCs w:val="18"/>
        </w:rPr>
        <w:t>2</w:t>
      </w:r>
    </w:p>
    <w:p w:rsidR="00274A70" w:rsidRDefault="00901C71" w:rsidP="00274A70">
      <w:pPr>
        <w:spacing w:before="0" w:after="200" w:line="276" w:lineRule="auto"/>
        <w:rPr>
          <w:rFonts w:eastAsia="Times New Roman"/>
          <w:color w:val="000000" w:themeColor="text1"/>
        </w:rPr>
      </w:pPr>
      <w:r w:rsidRPr="00901C71">
        <w:rPr>
          <w:rFonts w:eastAsia="Times New Roman"/>
          <w:color w:val="000000" w:themeColor="text1"/>
        </w:rPr>
        <w:t>Sound economic management involves among others structural reforms</w:t>
      </w:r>
      <w:r>
        <w:rPr>
          <w:rFonts w:eastAsia="Times New Roman"/>
          <w:color w:val="000000" w:themeColor="text1"/>
        </w:rPr>
        <w:t>, both policy reforms as well as institutional reform</w:t>
      </w:r>
      <w:r w:rsidRPr="00901C71">
        <w:rPr>
          <w:rFonts w:eastAsia="Times New Roman"/>
          <w:color w:val="000000" w:themeColor="text1"/>
        </w:rPr>
        <w:t>. From Afghanistan to Angola, this has been the battle cry for Bretton Woods institutions. C</w:t>
      </w:r>
      <w:r>
        <w:rPr>
          <w:rFonts w:eastAsia="Times New Roman"/>
          <w:color w:val="000000" w:themeColor="text1"/>
        </w:rPr>
        <w:t>o</w:t>
      </w:r>
      <w:r w:rsidRPr="00901C71">
        <w:rPr>
          <w:rFonts w:eastAsia="Times New Roman"/>
          <w:color w:val="000000" w:themeColor="text1"/>
        </w:rPr>
        <w:t>untries</w:t>
      </w:r>
      <w:r>
        <w:rPr>
          <w:rFonts w:eastAsia="Times New Roman"/>
          <w:color w:val="000000" w:themeColor="text1"/>
        </w:rPr>
        <w:t xml:space="preserve"> that reformed early reaped the benefit in terms of rapid growth early. Otherwise, the process has been slower. By and large countries have been cautious in adopting reform stance in its entirety because of potential undue hardship on the vulnerable population. Furthermore, governments have been pampering various interest groups with transfer payments and subsidies which are difficult to rid of once introduced. It is not surprising that of the 64 countries </w:t>
      </w:r>
      <w:r w:rsidR="00687D33">
        <w:rPr>
          <w:rFonts w:eastAsia="Times New Roman"/>
          <w:color w:val="000000" w:themeColor="text1"/>
        </w:rPr>
        <w:t>analyzed</w:t>
      </w:r>
      <w:r>
        <w:rPr>
          <w:rFonts w:eastAsia="Times New Roman"/>
          <w:color w:val="000000" w:themeColor="text1"/>
        </w:rPr>
        <w:t xml:space="preserve">, only </w:t>
      </w:r>
      <w:r w:rsidR="00687D33">
        <w:rPr>
          <w:rFonts w:eastAsia="Times New Roman"/>
          <w:color w:val="000000" w:themeColor="text1"/>
        </w:rPr>
        <w:t>16% adopted strong structural reforms, the balance moderate or limited reforms (Figure 59). However, this did not hold back the slow reformers to attain rapid or modest growth driven by other triggers.</w:t>
      </w:r>
    </w:p>
    <w:p w:rsidR="00901C71" w:rsidRPr="00901C71" w:rsidRDefault="00274A70" w:rsidP="00274A70">
      <w:pPr>
        <w:spacing w:before="0" w:after="200" w:line="276" w:lineRule="auto"/>
        <w:rPr>
          <w:rFonts w:eastAsia="Times New Roman"/>
          <w:b/>
          <w:color w:val="FF0000"/>
        </w:rPr>
      </w:pPr>
      <w:r>
        <w:rPr>
          <w:rFonts w:eastAsia="Times New Roman"/>
          <w:color w:val="000000" w:themeColor="text1"/>
        </w:rPr>
        <w:t xml:space="preserve">One trigger is aspiration. People’s aspiration to grow is hard to resist. Countries are moved by people’s aspiration. Even if the country is lacking in some respect people’s determination and </w:t>
      </w:r>
      <w:r>
        <w:rPr>
          <w:rFonts w:eastAsia="Times New Roman"/>
          <w:color w:val="000000" w:themeColor="text1"/>
        </w:rPr>
        <w:lastRenderedPageBreak/>
        <w:t>combined collaborative effort will help mobilize resources including productive labor that would not have been otherwise mobilized and add to growth momentum. Perception indicators suggest that 65% of rapidly growing countries could be characterized as having very high aspirational</w:t>
      </w:r>
      <w:r w:rsidR="00687D33">
        <w:rPr>
          <w:rFonts w:eastAsia="Times New Roman"/>
          <w:color w:val="000000" w:themeColor="text1"/>
        </w:rPr>
        <w:t xml:space="preserve"> </w:t>
      </w:r>
      <w:r>
        <w:rPr>
          <w:rFonts w:eastAsia="Times New Roman"/>
          <w:color w:val="000000" w:themeColor="text1"/>
        </w:rPr>
        <w:t xml:space="preserve">quotient (Figure 60). </w:t>
      </w:r>
      <w:r w:rsidR="00C20E45">
        <w:rPr>
          <w:rFonts w:eastAsia="Times New Roman"/>
          <w:color w:val="000000" w:themeColor="text1"/>
        </w:rPr>
        <w:t>A second trigger is investor environment. Ideal investor environment is mostly lacking. In most developing countries investor environment is either poor or modest. Modest environment wins over poor in both rapid and modest growth countr</w:t>
      </w:r>
      <w:r w:rsidR="002E4381">
        <w:rPr>
          <w:rFonts w:eastAsia="Times New Roman"/>
          <w:color w:val="000000" w:themeColor="text1"/>
        </w:rPr>
        <w:t>ies. There is no difference in s</w:t>
      </w:r>
      <w:r w:rsidR="00C20E45">
        <w:rPr>
          <w:rFonts w:eastAsia="Times New Roman"/>
          <w:color w:val="000000" w:themeColor="text1"/>
        </w:rPr>
        <w:t>low growing coun</w:t>
      </w:r>
      <w:r w:rsidR="002E4381">
        <w:rPr>
          <w:rFonts w:eastAsia="Times New Roman"/>
          <w:color w:val="000000" w:themeColor="text1"/>
        </w:rPr>
        <w:t>t</w:t>
      </w:r>
      <w:r w:rsidR="00C20E45">
        <w:rPr>
          <w:rFonts w:eastAsia="Times New Roman"/>
          <w:color w:val="000000" w:themeColor="text1"/>
        </w:rPr>
        <w:t>ries</w:t>
      </w:r>
      <w:r w:rsidR="002E4381">
        <w:rPr>
          <w:rFonts w:eastAsia="Times New Roman"/>
          <w:color w:val="000000" w:themeColor="text1"/>
        </w:rPr>
        <w:t xml:space="preserve"> (Figure 61)</w:t>
      </w:r>
      <w:r w:rsidR="00C20E45">
        <w:rPr>
          <w:rFonts w:eastAsia="Times New Roman"/>
          <w:color w:val="000000" w:themeColor="text1"/>
        </w:rPr>
        <w:t xml:space="preserve"> </w:t>
      </w:r>
    </w:p>
    <w:p w:rsidR="00724E8E" w:rsidRDefault="00EF30D6" w:rsidP="00724E8E">
      <w:pPr>
        <w:spacing w:before="0" w:after="0"/>
        <w:rPr>
          <w:b/>
          <w:sz w:val="18"/>
          <w:szCs w:val="18"/>
        </w:rPr>
      </w:pPr>
      <w:r>
        <w:rPr>
          <w:noProof/>
        </w:rPr>
        <w:drawing>
          <wp:inline distT="0" distB="0" distL="0" distR="0" wp14:anchorId="6BD0CC09" wp14:editId="44306AD5">
            <wp:extent cx="4678680" cy="2667000"/>
            <wp:effectExtent l="0" t="0" r="7620" b="0"/>
            <wp:docPr id="17426" name="Chart 17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724E8E" w:rsidRPr="00724E8E" w:rsidRDefault="00724E8E" w:rsidP="008F1257">
      <w:pPr>
        <w:spacing w:before="0" w:after="200" w:line="276" w:lineRule="auto"/>
        <w:rPr>
          <w:sz w:val="18"/>
          <w:szCs w:val="18"/>
        </w:rPr>
      </w:pPr>
      <w:r w:rsidRPr="00724E8E">
        <w:rPr>
          <w:sz w:val="18"/>
          <w:szCs w:val="18"/>
        </w:rPr>
        <w:t>Source: Annex 3</w:t>
      </w:r>
    </w:p>
    <w:p w:rsidR="00C641E3" w:rsidRDefault="00C641E3" w:rsidP="00670EB7">
      <w:pPr>
        <w:spacing w:after="0"/>
      </w:pPr>
      <w:r>
        <w:rPr>
          <w:noProof/>
        </w:rPr>
        <w:drawing>
          <wp:inline distT="0" distB="0" distL="0" distR="0" wp14:anchorId="647C5F51" wp14:editId="12619BD7">
            <wp:extent cx="4526280" cy="2868930"/>
            <wp:effectExtent l="0" t="0" r="7620" b="7620"/>
            <wp:docPr id="17427" name="Chart 17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C641E3" w:rsidRDefault="00C641E3" w:rsidP="008F1257">
      <w:pPr>
        <w:spacing w:before="0" w:after="200" w:line="276" w:lineRule="auto"/>
        <w:rPr>
          <w:sz w:val="18"/>
          <w:szCs w:val="18"/>
        </w:rPr>
      </w:pPr>
      <w:r w:rsidRPr="00C641E3">
        <w:rPr>
          <w:sz w:val="18"/>
          <w:szCs w:val="18"/>
        </w:rPr>
        <w:t>Source: Annex 3</w:t>
      </w:r>
      <w:r w:rsidR="00221B36">
        <w:rPr>
          <w:sz w:val="18"/>
          <w:szCs w:val="18"/>
        </w:rPr>
        <w:t xml:space="preserve"> </w:t>
      </w:r>
    </w:p>
    <w:p w:rsidR="009E5635" w:rsidRDefault="009E5635" w:rsidP="009E5635">
      <w:pPr>
        <w:spacing w:after="0"/>
        <w:rPr>
          <w:b/>
          <w:sz w:val="28"/>
          <w:szCs w:val="28"/>
        </w:rPr>
      </w:pPr>
    </w:p>
    <w:p w:rsidR="00354F1E" w:rsidRDefault="00274A70" w:rsidP="00687D33">
      <w:pPr>
        <w:spacing w:after="0"/>
        <w:rPr>
          <w:b/>
          <w:sz w:val="28"/>
          <w:szCs w:val="28"/>
        </w:rPr>
      </w:pPr>
      <w:r>
        <w:rPr>
          <w:noProof/>
        </w:rPr>
        <w:lastRenderedPageBreak/>
        <w:drawing>
          <wp:inline distT="0" distB="0" distL="0" distR="0" wp14:anchorId="1E2ADD78" wp14:editId="1DF037C5">
            <wp:extent cx="4572000" cy="2731770"/>
            <wp:effectExtent l="0" t="0" r="0" b="11430"/>
            <wp:docPr id="17446" name="Chart 17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87D33" w:rsidRDefault="00687D33" w:rsidP="00FD1575">
      <w:pPr>
        <w:spacing w:before="0" w:after="200" w:line="276" w:lineRule="auto"/>
        <w:rPr>
          <w:sz w:val="18"/>
          <w:szCs w:val="18"/>
        </w:rPr>
      </w:pPr>
      <w:r>
        <w:rPr>
          <w:sz w:val="18"/>
          <w:szCs w:val="18"/>
        </w:rPr>
        <w:t>Source: Annex 3</w:t>
      </w:r>
    </w:p>
    <w:p w:rsidR="00FD1575" w:rsidRPr="00FD1575" w:rsidRDefault="00FD1575" w:rsidP="002702D7">
      <w:pPr>
        <w:spacing w:before="0" w:after="200" w:line="276" w:lineRule="auto"/>
        <w:rPr>
          <w:b/>
        </w:rPr>
      </w:pPr>
      <w:r>
        <w:rPr>
          <w:b/>
        </w:rPr>
        <w:t>Growth and selected indicators</w:t>
      </w:r>
    </w:p>
    <w:p w:rsidR="00354F1E" w:rsidRPr="00D51FC4" w:rsidRDefault="00D51FC4" w:rsidP="002702D7">
      <w:pPr>
        <w:spacing w:before="0" w:after="200" w:line="276" w:lineRule="auto"/>
      </w:pPr>
      <w:r>
        <w:t xml:space="preserve">There are a wide range of institutional variables influencing economic environment that is transmitted to growth. The 64 countries with data on institutional indicators </w:t>
      </w:r>
      <w:r w:rsidR="003A5C0A">
        <w:t xml:space="preserve">(Annex 3) </w:t>
      </w:r>
      <w:r>
        <w:t>and growth have been analyzed to discern any systematic pattern of influence on growth. The methodology of analysis is simple percentage distribution of countries in a bivariate table showing indicator level and growth performance (</w:t>
      </w:r>
      <w:r w:rsidR="00554C5A">
        <w:t>Table 11</w:t>
      </w:r>
      <w:r>
        <w:t>).</w:t>
      </w:r>
      <w:r w:rsidR="00093E2D">
        <w:t xml:space="preserve"> In contrast to the previous analysis, the groupings are discrete and not continuous as with scores or index. This should be borne in mind while reflecting on the following paragraphs. </w:t>
      </w:r>
    </w:p>
    <w:p w:rsidR="00365016" w:rsidRDefault="00D51FC4" w:rsidP="002702D7">
      <w:pPr>
        <w:spacing w:before="0" w:after="200" w:line="276" w:lineRule="auto"/>
      </w:pPr>
      <w:r w:rsidRPr="00D51FC4">
        <w:rPr>
          <w:b/>
        </w:rPr>
        <w:t>Financial sector development and access to credit.</w:t>
      </w:r>
      <w:r>
        <w:t xml:space="preserve"> Slow growth is associated with poor financial sector management and inadequate access to credit</w:t>
      </w:r>
      <w:r w:rsidR="00365016">
        <w:t xml:space="preserve"> (</w:t>
      </w:r>
      <w:r w:rsidR="00734B9D" w:rsidRPr="00734B9D">
        <w:t>Madagascar, Gambia, The, Sudan and Yemen Rep</w:t>
      </w:r>
      <w:r w:rsidR="00734B9D">
        <w:t>)</w:t>
      </w:r>
      <w:r w:rsidR="003A5C0A">
        <w:t xml:space="preserve"> (Annex 3)</w:t>
      </w:r>
      <w:r>
        <w:t>. On the other hand, rapid and moderate growth is associated with moderate and limited financial sector development</w:t>
      </w:r>
      <w:r w:rsidR="00D82ECA">
        <w:t xml:space="preserve"> </w:t>
      </w:r>
      <w:r w:rsidR="00734B9D">
        <w:t>(</w:t>
      </w:r>
      <w:r w:rsidR="00734B9D" w:rsidRPr="00734B9D">
        <w:t>Lao PDR, Ghana, Myanmar, Cambodia, Rwanda, Tanzania and India</w:t>
      </w:r>
      <w:r w:rsidR="00734B9D">
        <w:t xml:space="preserve">) </w:t>
      </w:r>
      <w:r w:rsidR="00D82ECA">
        <w:t>given that very few countries score good on financial sector development</w:t>
      </w:r>
      <w:r w:rsidR="00CF6FE4">
        <w:t xml:space="preserve"> (</w:t>
      </w:r>
      <w:r w:rsidR="00554C5A">
        <w:t>Table 11</w:t>
      </w:r>
      <w:r w:rsidR="00CF6FE4">
        <w:t>)</w:t>
      </w:r>
      <w:r>
        <w:t>.</w:t>
      </w:r>
      <w:r w:rsidR="00D82ECA">
        <w:t xml:space="preserve"> No surprises. Bangladesh has problem with both although microcredit has opene</w:t>
      </w:r>
      <w:r w:rsidR="00106361">
        <w:t>d credit</w:t>
      </w:r>
      <w:r w:rsidR="00D82ECA">
        <w:t xml:space="preserve"> to the poor and women. Improvement in financial governance is a must for next level of growth acceleration beyond current 7%.</w:t>
      </w:r>
      <w:r w:rsidR="00365016">
        <w:t xml:space="preserve"> Countries with poor financial </w:t>
      </w:r>
      <w:r w:rsidR="00734B9D">
        <w:t>sector</w:t>
      </w:r>
      <w:r w:rsidR="00365016">
        <w:t xml:space="preserve"> development and slow growth include </w:t>
      </w:r>
    </w:p>
    <w:p w:rsidR="00DF3719" w:rsidRDefault="00365016" w:rsidP="002702D7">
      <w:pPr>
        <w:spacing w:before="0" w:after="200" w:line="276" w:lineRule="auto"/>
      </w:pPr>
      <w:r w:rsidRPr="00365016">
        <w:rPr>
          <w:b/>
        </w:rPr>
        <w:t>State-owned enterprises distorting the economy.</w:t>
      </w:r>
      <w:r w:rsidR="00734B9D">
        <w:t xml:space="preserve"> State-owned enterprises distort the economy in all countries in the sample. To what extent these </w:t>
      </w:r>
      <w:r w:rsidR="00734B9D" w:rsidRPr="00734B9D">
        <w:t>are a drag on growth depends on their size relative to the economy.</w:t>
      </w:r>
      <w:r w:rsidRPr="00734B9D">
        <w:t xml:space="preserve"> </w:t>
      </w:r>
      <w:r w:rsidRPr="00734B9D">
        <w:rPr>
          <w:b/>
        </w:rPr>
        <w:t xml:space="preserve"> </w:t>
      </w:r>
      <w:r w:rsidR="00734B9D" w:rsidRPr="00734B9D">
        <w:t>A relatively larger share of</w:t>
      </w:r>
      <w:r w:rsidR="00734B9D" w:rsidRPr="00734B9D">
        <w:rPr>
          <w:b/>
        </w:rPr>
        <w:t xml:space="preserve"> </w:t>
      </w:r>
      <w:proofErr w:type="spellStart"/>
      <w:r w:rsidR="00734B9D" w:rsidRPr="00734B9D">
        <w:t>S</w:t>
      </w:r>
      <w:r w:rsidR="00DF3719">
        <w:t>o</w:t>
      </w:r>
      <w:r w:rsidR="00734B9D" w:rsidRPr="00734B9D">
        <w:t>E</w:t>
      </w:r>
      <w:r w:rsidR="00DF3719">
        <w:t>s</w:t>
      </w:r>
      <w:proofErr w:type="spellEnd"/>
      <w:r w:rsidR="00DF3719">
        <w:t xml:space="preserve"> in the economy will translate into slow and moderate growth (</w:t>
      </w:r>
      <w:r w:rsidR="00DF3719" w:rsidRPr="00DF3719">
        <w:t>Burundi, Argentina, Madagascar, Belize, Egypt, Azerbaijan, Guinea and Sudan</w:t>
      </w:r>
      <w:r w:rsidR="00DF3719">
        <w:t>)</w:t>
      </w:r>
      <w:r w:rsidR="003A5C0A">
        <w:t xml:space="preserve"> (Annex 3)</w:t>
      </w:r>
      <w:r w:rsidR="00DF3719">
        <w:t>; otherwise, growth could be rapid (Bangladesh, Ethiopia, Ghana, India and Bolivia).</w:t>
      </w:r>
    </w:p>
    <w:p w:rsidR="00BB72C7" w:rsidRDefault="00BB72C7" w:rsidP="00BB72C7">
      <w:pPr>
        <w:spacing w:after="0"/>
        <w:rPr>
          <w:b/>
        </w:rPr>
      </w:pPr>
      <w:r>
        <w:rPr>
          <w:b/>
        </w:rPr>
        <w:lastRenderedPageBreak/>
        <w:t xml:space="preserve">Table 11: </w:t>
      </w:r>
      <w:r w:rsidRPr="0052030D">
        <w:rPr>
          <w:b/>
        </w:rPr>
        <w:t>Country (64) analysis of growth and selected indicators</w:t>
      </w:r>
    </w:p>
    <w:p w:rsidR="00BB72C7" w:rsidRDefault="00BB72C7" w:rsidP="00BB72C7">
      <w:pPr>
        <w:spacing w:before="0" w:after="0"/>
        <w:rPr>
          <w:b/>
        </w:rPr>
      </w:pPr>
      <w:r>
        <w:rPr>
          <w:noProof/>
        </w:rPr>
        <w:drawing>
          <wp:inline distT="0" distB="0" distL="0" distR="0" wp14:anchorId="45EB91CE" wp14:editId="79456047">
            <wp:extent cx="5943600" cy="70789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7078980"/>
                    </a:xfrm>
                    <a:prstGeom prst="rect">
                      <a:avLst/>
                    </a:prstGeom>
                  </pic:spPr>
                </pic:pic>
              </a:graphicData>
            </a:graphic>
          </wp:inline>
        </w:drawing>
      </w:r>
    </w:p>
    <w:p w:rsidR="00BB72C7" w:rsidRDefault="00BB72C7" w:rsidP="00BB72C7">
      <w:pPr>
        <w:spacing w:before="0" w:after="0"/>
        <w:rPr>
          <w:b/>
        </w:rPr>
      </w:pPr>
      <w:r>
        <w:rPr>
          <w:b/>
        </w:rPr>
        <w:t xml:space="preserve"> </w:t>
      </w:r>
      <w:r>
        <w:rPr>
          <w:b/>
        </w:rPr>
        <w:br w:type="page"/>
      </w:r>
    </w:p>
    <w:p w:rsidR="00BB72C7" w:rsidRDefault="00BB72C7" w:rsidP="00BB72C7">
      <w:pPr>
        <w:spacing w:before="0" w:after="0"/>
        <w:rPr>
          <w:b/>
        </w:rPr>
      </w:pPr>
      <w:r>
        <w:rPr>
          <w:noProof/>
        </w:rPr>
        <w:lastRenderedPageBreak/>
        <w:drawing>
          <wp:inline distT="0" distB="0" distL="0" distR="0" wp14:anchorId="7BF79EBF" wp14:editId="6591FE3E">
            <wp:extent cx="5943600" cy="6004560"/>
            <wp:effectExtent l="0" t="0" r="0" b="0"/>
            <wp:docPr id="17447" name="Picture 1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6004560"/>
                    </a:xfrm>
                    <a:prstGeom prst="rect">
                      <a:avLst/>
                    </a:prstGeom>
                  </pic:spPr>
                </pic:pic>
              </a:graphicData>
            </a:graphic>
          </wp:inline>
        </w:drawing>
      </w:r>
    </w:p>
    <w:p w:rsidR="00BB72C7" w:rsidRDefault="00BB72C7" w:rsidP="00BB72C7">
      <w:pPr>
        <w:spacing w:before="0" w:after="0"/>
        <w:rPr>
          <w:b/>
        </w:rPr>
      </w:pPr>
      <w:r>
        <w:rPr>
          <w:noProof/>
        </w:rPr>
        <w:drawing>
          <wp:inline distT="0" distB="0" distL="0" distR="0" wp14:anchorId="5DDF2C59" wp14:editId="55B52859">
            <wp:extent cx="5943600" cy="1633855"/>
            <wp:effectExtent l="0" t="0" r="0" b="4445"/>
            <wp:docPr id="17448" name="Picture 1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1633855"/>
                    </a:xfrm>
                    <a:prstGeom prst="rect">
                      <a:avLst/>
                    </a:prstGeom>
                  </pic:spPr>
                </pic:pic>
              </a:graphicData>
            </a:graphic>
          </wp:inline>
        </w:drawing>
      </w:r>
    </w:p>
    <w:p w:rsidR="00BB72C7" w:rsidRDefault="00BB72C7" w:rsidP="00BB72C7">
      <w:pPr>
        <w:spacing w:before="0" w:after="0"/>
        <w:rPr>
          <w:b/>
        </w:rPr>
      </w:pPr>
      <w:r>
        <w:rPr>
          <w:b/>
        </w:rPr>
        <w:t xml:space="preserve">  </w:t>
      </w:r>
      <w:r>
        <w:rPr>
          <w:b/>
        </w:rPr>
        <w:br w:type="page"/>
      </w:r>
    </w:p>
    <w:p w:rsidR="0075640A" w:rsidRDefault="00DF3719" w:rsidP="002702D7">
      <w:pPr>
        <w:spacing w:before="0" w:after="200" w:line="276" w:lineRule="auto"/>
      </w:pPr>
      <w:r>
        <w:rPr>
          <w:b/>
        </w:rPr>
        <w:lastRenderedPageBreak/>
        <w:t>Judicial gridlock, inefficiency, corruption and political influences.</w:t>
      </w:r>
      <w:r>
        <w:t xml:space="preserve"> </w:t>
      </w:r>
      <w:r w:rsidR="0075640A">
        <w:t xml:space="preserve">Unlike </w:t>
      </w:r>
      <w:proofErr w:type="spellStart"/>
      <w:r w:rsidR="0075640A">
        <w:t>SoEs</w:t>
      </w:r>
      <w:proofErr w:type="spellEnd"/>
      <w:r w:rsidR="0075640A">
        <w:t xml:space="preserve">, judicial gridlock result </w:t>
      </w:r>
      <w:r w:rsidR="00CF6FE4">
        <w:t>(</w:t>
      </w:r>
      <w:r w:rsidR="00554C5A">
        <w:t>Table 11</w:t>
      </w:r>
      <w:r w:rsidR="00CF6FE4">
        <w:t xml:space="preserve">) </w:t>
      </w:r>
      <w:r w:rsidR="0075640A">
        <w:t xml:space="preserve">should be </w:t>
      </w:r>
      <w:r w:rsidR="0075640A" w:rsidRPr="00B00208">
        <w:t xml:space="preserve">interpreted as evidence of marginal influence on growth although it can be added that in the absence of judicial gridlock growth rate would be higher as foreign investors will </w:t>
      </w:r>
      <w:r w:rsidR="0075640A" w:rsidRPr="00F45DA7">
        <w:t xml:space="preserve">feel more secure to invest in the economy concerned. </w:t>
      </w:r>
      <w:r w:rsidR="00B00208" w:rsidRPr="00F45DA7">
        <w:rPr>
          <w:color w:val="000000" w:themeColor="text1"/>
        </w:rPr>
        <w:t xml:space="preserve">The judicial and regulatory systems impede foreign investment. </w:t>
      </w:r>
      <w:r w:rsidR="00B00208" w:rsidRPr="00F45DA7">
        <w:t xml:space="preserve"> </w:t>
      </w:r>
      <w:r w:rsidR="0075640A" w:rsidRPr="00F45DA7">
        <w:t xml:space="preserve">In Afghanistan collapse of the judiciary has worked against FDI flow. So is the case in </w:t>
      </w:r>
      <w:r w:rsidR="002702D7" w:rsidRPr="00F45DA7">
        <w:t xml:space="preserve">Angola in which even the local capital taken abroad is hesitating to come back in, Burundi where like others judiciary is still entrenched in ethnic tension, Guinea Bissau, Eritrea, Nepal where </w:t>
      </w:r>
      <w:r w:rsidR="002702D7" w:rsidRPr="00F45DA7">
        <w:rPr>
          <w:color w:val="000000" w:themeColor="text1"/>
        </w:rPr>
        <w:t>law provides for an independent judiciary, but courts remain vulnerable to political pressure, bribery, and intimidation</w:t>
      </w:r>
      <w:r w:rsidR="00B00208" w:rsidRPr="00F45DA7">
        <w:rPr>
          <w:color w:val="000000" w:themeColor="text1"/>
        </w:rPr>
        <w:t xml:space="preserve">, Yemen, </w:t>
      </w:r>
      <w:r w:rsidR="00F45DA7" w:rsidRPr="00F45DA7">
        <w:rPr>
          <w:color w:val="000000" w:themeColor="text1"/>
        </w:rPr>
        <w:t>and Azerbaijan where the corrupt and inefficient judiciary is largely subservient to the president and ruling party with outcomes frequently predetermined</w:t>
      </w:r>
      <w:r w:rsidR="0075640A" w:rsidRPr="00F45DA7">
        <w:t>. On the other hand, less encumbered judiciary in China, Vietnam, India</w:t>
      </w:r>
      <w:r w:rsidR="00B00208" w:rsidRPr="00F45DA7">
        <w:t xml:space="preserve">, Zimbabwe where </w:t>
      </w:r>
      <w:r w:rsidR="00B00208" w:rsidRPr="00F45DA7">
        <w:rPr>
          <w:color w:val="000000" w:themeColor="text1"/>
        </w:rPr>
        <w:t>judiciary has shown increasing independence</w:t>
      </w:r>
      <w:r w:rsidR="0075640A" w:rsidRPr="00F45DA7">
        <w:t xml:space="preserve"> has aided FDI flow</w:t>
      </w:r>
      <w:r w:rsidR="002702D7" w:rsidRPr="00F45DA7">
        <w:t xml:space="preserve"> that contributed to rapid growth</w:t>
      </w:r>
      <w:r w:rsidR="00D71E9D">
        <w:t xml:space="preserve"> (Annex 3)</w:t>
      </w:r>
      <w:r w:rsidR="0075640A" w:rsidRPr="00F45DA7">
        <w:t>.</w:t>
      </w:r>
    </w:p>
    <w:p w:rsidR="008F6B11" w:rsidRDefault="008F6B11" w:rsidP="002702D7">
      <w:pPr>
        <w:spacing w:before="0" w:after="200" w:line="276" w:lineRule="auto"/>
      </w:pPr>
      <w:r>
        <w:rPr>
          <w:b/>
        </w:rPr>
        <w:t xml:space="preserve">Political and security situation. </w:t>
      </w:r>
      <w:r>
        <w:t xml:space="preserve">Bangladesh is stable which helped it to gain economically. The country noticed that with each political upheaval wealth was destroyed and growth suffered setback. </w:t>
      </w:r>
      <w:r w:rsidR="00A355AA">
        <w:t>Fortunately,</w:t>
      </w:r>
      <w:r>
        <w:t xml:space="preserve"> unlike many other countries political turmoil never lasted long. </w:t>
      </w:r>
      <w:r w:rsidR="000F28A3">
        <w:t xml:space="preserve">Comparable cases like Bangladesh include </w:t>
      </w:r>
      <w:r w:rsidRPr="008F6B11">
        <w:t>Mongolia, Lao PDR, Ghana, Tanzania, Uzbekistan, Cote d'Ivoire, Sri Lanka, Djibouti, Vietnam, Bolivia, Kenya and many others</w:t>
      </w:r>
      <w:r w:rsidR="000F28A3">
        <w:t xml:space="preserve">. On the other hand, slow growth of </w:t>
      </w:r>
      <w:r w:rsidR="000F28A3" w:rsidRPr="000F28A3">
        <w:t>Angola, Chad, Nepal, Haiti, Guinea-Bissau, Madagascar, Sudan, Central African Republic and Yemen Republic</w:t>
      </w:r>
      <w:r w:rsidR="000F28A3">
        <w:t xml:space="preserve"> was associated with political instability and insecurity</w:t>
      </w:r>
      <w:r w:rsidR="00D71E9D">
        <w:t xml:space="preserve"> (Annex 3)</w:t>
      </w:r>
      <w:r w:rsidR="000F28A3">
        <w:t>.</w:t>
      </w:r>
      <w:r w:rsidR="00CF6FE4">
        <w:t xml:space="preserve"> On the whole, political stability contributes to growth in different groups of countries (</w:t>
      </w:r>
      <w:r w:rsidR="00554C5A">
        <w:t>Table 11</w:t>
      </w:r>
      <w:r w:rsidR="00CF6FE4">
        <w:t>).</w:t>
      </w:r>
    </w:p>
    <w:p w:rsidR="00A355AA" w:rsidRDefault="00A355AA" w:rsidP="003D7D57">
      <w:pPr>
        <w:spacing w:before="0" w:after="200" w:line="276" w:lineRule="auto"/>
        <w:rPr>
          <w:color w:val="000000" w:themeColor="text1"/>
        </w:rPr>
      </w:pPr>
      <w:r>
        <w:rPr>
          <w:b/>
        </w:rPr>
        <w:t>Sustainable pro-poor policies.</w:t>
      </w:r>
      <w:r>
        <w:t xml:space="preserve"> </w:t>
      </w:r>
      <w:r w:rsidRPr="003D7D57">
        <w:t>The poor are a strong productive force. Sustainable pro-poor policies promote both equity as well as efficiency.</w:t>
      </w:r>
      <w:r w:rsidR="00720E1E" w:rsidRPr="003D7D57">
        <w:t xml:space="preserve"> Pro-poor policies are associated with growth but absence of such policies is not necessarily anti-growth (</w:t>
      </w:r>
      <w:r w:rsidR="00554C5A">
        <w:t>Table 11</w:t>
      </w:r>
      <w:r w:rsidR="00720E1E" w:rsidRPr="003D7D57">
        <w:t xml:space="preserve">). Individual country experiences bring out the relationship more clearly. In Ghana, Bangladesh, Vietnam, Bolivia, Burkina Faso, Benin and Rwanda pro-poor policies have resulted in rapid growth while lack of such policies resulted in slow growth in Madagascar, Sudan, Central African </w:t>
      </w:r>
      <w:r w:rsidR="004A7217" w:rsidRPr="003D7D57">
        <w:t xml:space="preserve">Republic </w:t>
      </w:r>
      <w:r w:rsidR="00720E1E" w:rsidRPr="003D7D57">
        <w:t xml:space="preserve">and Yemen, Republic. </w:t>
      </w:r>
      <w:r w:rsidR="004A7217" w:rsidRPr="003D7D57">
        <w:rPr>
          <w:color w:val="000000" w:themeColor="text1"/>
        </w:rPr>
        <w:t xml:space="preserve">Afghanistan will have act decisively to making policies pro-poor to provide additional growth impetus. The same is true of Angola if it were to make full utilization of vast natural resources it has. Burundi needs pro-poor policies to make the poor more productive. This will have large impact on growth because the poor are the majority. In Chad, pro-poor policies are absolutely essential to bring the poor into the mainstream of production and growth. Presently, the poor are delinked from the mainstream economy. </w:t>
      </w:r>
      <w:r w:rsidR="003D7D57" w:rsidRPr="003D7D57">
        <w:rPr>
          <w:color w:val="000000" w:themeColor="text1"/>
        </w:rPr>
        <w:t>In Pakistan, growth though unstable was pro-poor over past decade. Significant decline in poverty is attributed to growth, remittances, social assistance programs and urbanization promoting informal sector development.</w:t>
      </w:r>
      <w:r w:rsidR="003D7D57">
        <w:rPr>
          <w:color w:val="000000" w:themeColor="text1"/>
        </w:rPr>
        <w:t xml:space="preserve"> The important point here is the recognition of the productive potential of the poor. The poor do not need charity or social safety net as such, what they need more is production support to bring out their latent potential. </w:t>
      </w:r>
    </w:p>
    <w:p w:rsidR="00FF07AC" w:rsidRDefault="00B40EF1" w:rsidP="00E11CBC">
      <w:pPr>
        <w:spacing w:before="0" w:after="200" w:line="276" w:lineRule="auto"/>
        <w:rPr>
          <w:color w:val="000000" w:themeColor="text1"/>
        </w:rPr>
      </w:pPr>
      <w:r>
        <w:rPr>
          <w:b/>
          <w:color w:val="000000" w:themeColor="text1"/>
        </w:rPr>
        <w:lastRenderedPageBreak/>
        <w:t>Inclusive growth is accelerated.</w:t>
      </w:r>
      <w:r>
        <w:rPr>
          <w:color w:val="000000" w:themeColor="text1"/>
        </w:rPr>
        <w:t xml:space="preserve"> Evidence on inclusive growth confirms observations on pro-poor policies. Inclusive growth accelerates growth; non-inclusive growth leads to slow growth (</w:t>
      </w:r>
      <w:r w:rsidR="00554C5A">
        <w:rPr>
          <w:color w:val="000000" w:themeColor="text1"/>
        </w:rPr>
        <w:t>Table 11</w:t>
      </w:r>
      <w:r>
        <w:rPr>
          <w:color w:val="000000" w:themeColor="text1"/>
        </w:rPr>
        <w:t>). Many countries have grown rapidly even without inclusive growth policies</w:t>
      </w:r>
      <w:r>
        <w:rPr>
          <w:b/>
          <w:color w:val="000000" w:themeColor="text1"/>
        </w:rPr>
        <w:t xml:space="preserve"> </w:t>
      </w:r>
      <w:r>
        <w:rPr>
          <w:color w:val="000000" w:themeColor="text1"/>
        </w:rPr>
        <w:t xml:space="preserve">though the quality of growth remains </w:t>
      </w:r>
      <w:r w:rsidR="00E11CBC">
        <w:rPr>
          <w:color w:val="000000" w:themeColor="text1"/>
        </w:rPr>
        <w:t>inequitable</w:t>
      </w:r>
      <w:r>
        <w:rPr>
          <w:color w:val="000000" w:themeColor="text1"/>
        </w:rPr>
        <w:t xml:space="preserve"> </w:t>
      </w:r>
      <w:r w:rsidR="00E11CBC" w:rsidRPr="00E11CBC">
        <w:rPr>
          <w:color w:val="000000" w:themeColor="text1"/>
        </w:rPr>
        <w:t>(Afghanistan, Mongolia, Ethiopia, Myanmar, Mozambique, Zimbabwe, Kenya Cameroon and Liberia)</w:t>
      </w:r>
      <w:r>
        <w:rPr>
          <w:color w:val="000000" w:themeColor="text1"/>
        </w:rPr>
        <w:t>.</w:t>
      </w:r>
      <w:r w:rsidR="00E11CBC">
        <w:rPr>
          <w:color w:val="000000" w:themeColor="text1"/>
        </w:rPr>
        <w:t xml:space="preserve"> On the other hand, inclusive growth has underpinned rapid growth in </w:t>
      </w:r>
      <w:r w:rsidR="00E11CBC" w:rsidRPr="00E11CBC">
        <w:rPr>
          <w:color w:val="000000" w:themeColor="text1"/>
        </w:rPr>
        <w:t>Ghana, Cambodia, Cote d'Ivoire, Bangladesh, Vietnam, Bolivia, Benin, Rwanda and Paraguay</w:t>
      </w:r>
      <w:r w:rsidR="00E11CBC">
        <w:rPr>
          <w:color w:val="000000" w:themeColor="text1"/>
        </w:rPr>
        <w:t xml:space="preserve">. Finally, there are countries </w:t>
      </w:r>
      <w:r w:rsidR="00E11CBC" w:rsidRPr="00E11CBC">
        <w:rPr>
          <w:color w:val="000000" w:themeColor="text1"/>
        </w:rPr>
        <w:t>(Burundi, Argentina, Madagascar, Belize, Egypt, Azerbaijan, Guinea, Central African Republic, Yemen Republic and Bosnia and Herzegovina)</w:t>
      </w:r>
      <w:r w:rsidR="00E11CBC">
        <w:rPr>
          <w:color w:val="000000" w:themeColor="text1"/>
        </w:rPr>
        <w:t xml:space="preserve"> in which non-inclusive growth has resulted in slow growth underscoring the importance of the productive potential of the poor</w:t>
      </w:r>
      <w:r w:rsidR="00FF07AC">
        <w:rPr>
          <w:color w:val="000000" w:themeColor="text1"/>
        </w:rPr>
        <w:t xml:space="preserve"> (Annex 3)</w:t>
      </w:r>
      <w:r w:rsidR="00E11CBC">
        <w:rPr>
          <w:color w:val="000000" w:themeColor="text1"/>
        </w:rPr>
        <w:t>.</w:t>
      </w:r>
    </w:p>
    <w:p w:rsidR="007C1C12" w:rsidRDefault="004418C0" w:rsidP="00E11CBC">
      <w:pPr>
        <w:spacing w:before="0" w:after="200" w:line="276" w:lineRule="auto"/>
        <w:rPr>
          <w:color w:val="000000" w:themeColor="text1"/>
        </w:rPr>
      </w:pPr>
      <w:r w:rsidRPr="004418C0">
        <w:rPr>
          <w:b/>
          <w:color w:val="000000" w:themeColor="text1"/>
        </w:rPr>
        <w:t>Fiscal, administrative and economic management authority is effectively decentralized.</w:t>
      </w:r>
      <w:r>
        <w:rPr>
          <w:color w:val="000000" w:themeColor="text1"/>
        </w:rPr>
        <w:t xml:space="preserve"> Among 64 countries with data, 88% have not decentralized (</w:t>
      </w:r>
      <w:r w:rsidR="00554C5A">
        <w:rPr>
          <w:color w:val="000000" w:themeColor="text1"/>
        </w:rPr>
        <w:t>Table 11</w:t>
      </w:r>
      <w:r>
        <w:rPr>
          <w:color w:val="000000" w:themeColor="text1"/>
        </w:rPr>
        <w:t>). Bangladesh is in this group. The operative word is effectively which means some degree of decentralization has taken place in most countries and impact on growth has shown up in accordance with the degree of decentralization. Pakistan for example has benefited from provincial decentralization.</w:t>
      </w:r>
      <w:r w:rsidR="007C1C12">
        <w:rPr>
          <w:color w:val="000000" w:themeColor="text1"/>
        </w:rPr>
        <w:t xml:space="preserve"> Burundi has promoted communal level decentralization although impact on growth is indifferent.</w:t>
      </w:r>
    </w:p>
    <w:p w:rsidR="00733EC4" w:rsidRDefault="00A615EB" w:rsidP="00E11CBC">
      <w:pPr>
        <w:spacing w:before="0" w:after="200" w:line="276" w:lineRule="auto"/>
        <w:rPr>
          <w:color w:val="000000" w:themeColor="text1"/>
        </w:rPr>
      </w:pPr>
      <w:r w:rsidRPr="00A615EB">
        <w:rPr>
          <w:b/>
          <w:color w:val="000000" w:themeColor="text1"/>
        </w:rPr>
        <w:t>Human rights are respected</w:t>
      </w:r>
      <w:r>
        <w:rPr>
          <w:b/>
          <w:color w:val="000000" w:themeColor="text1"/>
        </w:rPr>
        <w:t>.</w:t>
      </w:r>
      <w:r>
        <w:rPr>
          <w:color w:val="000000" w:themeColor="text1"/>
        </w:rPr>
        <w:t xml:space="preserve"> Human right is a value. Both moral and economic and of course political. Moral value strengthens inner self and gives confidence to take up challenges. Economic value impacts on productivity while political value strengthens institutions through multiplicity of choices and discussion and debate. More than one half of the countries do not respect human rights. Implication for growth is mixed. Individual country experiences suggest when a country is growing rapidly, upholding human values will reduce tension and open up possibilities for further growth.</w:t>
      </w:r>
      <w:r w:rsidR="00733EC4">
        <w:rPr>
          <w:color w:val="000000" w:themeColor="text1"/>
        </w:rPr>
        <w:t xml:space="preserve"> This is the case of Bangladesh, Myanmar, Cambodia, India, Vietnam and Ecuador.</w:t>
      </w:r>
    </w:p>
    <w:p w:rsidR="00093E2D" w:rsidRDefault="00733EC4" w:rsidP="00E11CBC">
      <w:pPr>
        <w:spacing w:before="0" w:after="200" w:line="276" w:lineRule="auto"/>
        <w:rPr>
          <w:color w:val="000000" w:themeColor="text1"/>
        </w:rPr>
      </w:pPr>
      <w:r w:rsidRPr="00733EC4">
        <w:rPr>
          <w:b/>
          <w:color w:val="000000" w:themeColor="text1"/>
        </w:rPr>
        <w:t>Democracy and democratic institutions are strengthened</w:t>
      </w:r>
      <w:r>
        <w:rPr>
          <w:b/>
          <w:color w:val="000000" w:themeColor="text1"/>
        </w:rPr>
        <w:t>.</w:t>
      </w:r>
      <w:r>
        <w:rPr>
          <w:color w:val="000000" w:themeColor="text1"/>
        </w:rPr>
        <w:t xml:space="preserve"> Forty-one percent of the 64 countries with data 41% have not taken any step to strengthen democracy or democratic institutions</w:t>
      </w:r>
      <w:r w:rsidR="00CA3F9B">
        <w:rPr>
          <w:color w:val="000000" w:themeColor="text1"/>
        </w:rPr>
        <w:t>. Fourteen percent have one party democracy, while the balance is almost equally divided between partial strengthening and full strengthening (</w:t>
      </w:r>
      <w:r w:rsidR="00554C5A">
        <w:rPr>
          <w:color w:val="000000" w:themeColor="text1"/>
        </w:rPr>
        <w:t>Table 11</w:t>
      </w:r>
      <w:r w:rsidR="00CA3F9B">
        <w:rPr>
          <w:color w:val="000000" w:themeColor="text1"/>
        </w:rPr>
        <w:t xml:space="preserve">). One is referring to traditional democracy and not pluralistic democracy highlighted in this paper. Growth implication is interesting. </w:t>
      </w:r>
      <w:r w:rsidR="00314E5D">
        <w:rPr>
          <w:color w:val="000000" w:themeColor="text1"/>
        </w:rPr>
        <w:t xml:space="preserve">The growth oriented one party dominance in Bangladesh has produced encouraging growth outcome. Similar is the case </w:t>
      </w:r>
      <w:r w:rsidR="00811988">
        <w:rPr>
          <w:color w:val="000000" w:themeColor="text1"/>
        </w:rPr>
        <w:t>for</w:t>
      </w:r>
      <w:r w:rsidR="00314E5D">
        <w:rPr>
          <w:color w:val="000000" w:themeColor="text1"/>
        </w:rPr>
        <w:t xml:space="preserve"> Rwanda, </w:t>
      </w:r>
      <w:r w:rsidR="00811988">
        <w:rPr>
          <w:color w:val="000000" w:themeColor="text1"/>
        </w:rPr>
        <w:t xml:space="preserve">Uzbekistan and Vietnam. On the other hand, one party dominance has produced slow growth in Egypt, Belize and Azerbaijan. Truncated democracy </w:t>
      </w:r>
      <w:r w:rsidR="001422B5">
        <w:rPr>
          <w:color w:val="000000" w:themeColor="text1"/>
        </w:rPr>
        <w:t xml:space="preserve">(weak democracy and democratic institutions) </w:t>
      </w:r>
      <w:r w:rsidR="00811988">
        <w:rPr>
          <w:color w:val="000000" w:themeColor="text1"/>
        </w:rPr>
        <w:t>has produced both rapid (</w:t>
      </w:r>
      <w:r w:rsidR="001422B5" w:rsidRPr="001422B5">
        <w:rPr>
          <w:color w:val="000000" w:themeColor="text1"/>
        </w:rPr>
        <w:t>(Mongolia, Ethiopia, Congo Dem Rep, Lao PDR, Cambodia, Mozambique, Zimbabwe, Kenya, Cameroon and Mauritania)</w:t>
      </w:r>
      <w:r w:rsidR="001422B5">
        <w:rPr>
          <w:color w:val="000000" w:themeColor="text1"/>
        </w:rPr>
        <w:t xml:space="preserve"> and modest (</w:t>
      </w:r>
      <w:r w:rsidR="001422B5" w:rsidRPr="001422B5">
        <w:rPr>
          <w:color w:val="000000" w:themeColor="text1"/>
        </w:rPr>
        <w:t xml:space="preserve">(Kyrgyz Rep, Ecuador, Malawi, Congo Rep, Lesotho, Mali, Honduras, Haiti, Algeria and Guinea-Bissau) </w:t>
      </w:r>
      <w:r w:rsidR="001422B5">
        <w:rPr>
          <w:color w:val="000000" w:themeColor="text1"/>
        </w:rPr>
        <w:t>growth.</w:t>
      </w:r>
      <w:r w:rsidR="00093E2D">
        <w:rPr>
          <w:color w:val="000000" w:themeColor="text1"/>
        </w:rPr>
        <w:t xml:space="preserve"> Democracy matters but there is more to the story.</w:t>
      </w:r>
    </w:p>
    <w:p w:rsidR="00A615EB" w:rsidRPr="00733EC4" w:rsidRDefault="00CA3F9B" w:rsidP="00E11CBC">
      <w:pPr>
        <w:spacing w:before="0" w:after="200" w:line="276" w:lineRule="auto"/>
        <w:rPr>
          <w:b/>
          <w:color w:val="000000" w:themeColor="text1"/>
        </w:rPr>
      </w:pPr>
      <w:r>
        <w:rPr>
          <w:color w:val="000000" w:themeColor="text1"/>
        </w:rPr>
        <w:t xml:space="preserve"> </w:t>
      </w:r>
      <w:r w:rsidR="00733EC4" w:rsidRPr="00733EC4">
        <w:rPr>
          <w:b/>
          <w:color w:val="000000" w:themeColor="text1"/>
        </w:rPr>
        <w:t xml:space="preserve"> </w:t>
      </w:r>
      <w:r w:rsidR="00A615EB" w:rsidRPr="00733EC4">
        <w:rPr>
          <w:b/>
          <w:color w:val="000000" w:themeColor="text1"/>
        </w:rPr>
        <w:t xml:space="preserve"> </w:t>
      </w:r>
    </w:p>
    <w:p w:rsidR="008F6B11" w:rsidRDefault="00A23FA6" w:rsidP="00F42395">
      <w:pPr>
        <w:spacing w:before="0" w:after="200" w:line="276" w:lineRule="auto"/>
        <w:rPr>
          <w:color w:val="000000" w:themeColor="text1"/>
        </w:rPr>
      </w:pPr>
      <w:r w:rsidRPr="00A23FA6">
        <w:rPr>
          <w:b/>
          <w:color w:val="000000" w:themeColor="text1"/>
        </w:rPr>
        <w:lastRenderedPageBreak/>
        <w:t>Rule of law prevails</w:t>
      </w:r>
      <w:r>
        <w:rPr>
          <w:b/>
          <w:color w:val="000000" w:themeColor="text1"/>
        </w:rPr>
        <w:t>.</w:t>
      </w:r>
      <w:r>
        <w:rPr>
          <w:color w:val="000000" w:themeColor="text1"/>
        </w:rPr>
        <w:t xml:space="preserve"> </w:t>
      </w:r>
      <w:r w:rsidR="00F42395" w:rsidRPr="00F42395">
        <w:rPr>
          <w:color w:val="000000" w:themeColor="text1"/>
        </w:rPr>
        <w:t>Among 64 countries, the rule of law prevails in true sense in only8% of countries, it does not prevail in 61% of countries</w:t>
      </w:r>
      <w:r w:rsidR="003B1A3A">
        <w:rPr>
          <w:color w:val="000000" w:themeColor="text1"/>
        </w:rPr>
        <w:t xml:space="preserve"> (</w:t>
      </w:r>
      <w:r w:rsidR="00554C5A">
        <w:rPr>
          <w:color w:val="000000" w:themeColor="text1"/>
        </w:rPr>
        <w:t>Table 11</w:t>
      </w:r>
      <w:r w:rsidR="003B1A3A">
        <w:rPr>
          <w:color w:val="000000" w:themeColor="text1"/>
        </w:rPr>
        <w:t>)</w:t>
      </w:r>
      <w:r w:rsidR="00F42395" w:rsidRPr="00F42395">
        <w:rPr>
          <w:color w:val="000000" w:themeColor="text1"/>
        </w:rPr>
        <w:t>. The other are partial compliance. Growth implication depends on country situation.</w:t>
      </w:r>
      <w:r w:rsidR="00F42395">
        <w:rPr>
          <w:color w:val="000000" w:themeColor="text1"/>
        </w:rPr>
        <w:t xml:space="preserve"> Without full adherence </w:t>
      </w:r>
      <w:proofErr w:type="spellStart"/>
      <w:r w:rsidR="00F42395">
        <w:rPr>
          <w:color w:val="000000" w:themeColor="text1"/>
        </w:rPr>
        <w:t>ot</w:t>
      </w:r>
      <w:proofErr w:type="spellEnd"/>
      <w:r w:rsidR="00F42395">
        <w:rPr>
          <w:color w:val="000000" w:themeColor="text1"/>
        </w:rPr>
        <w:t xml:space="preserve"> the rule of law Mongolia and Ethiopia are growing rapidly given the strong growth orientation in policies pursued by the political leadership. </w:t>
      </w:r>
      <w:r w:rsidR="00F42395" w:rsidRPr="00F42395">
        <w:rPr>
          <w:color w:val="000000" w:themeColor="text1"/>
        </w:rPr>
        <w:t>On the other hand, rule of law prevails in Argentina and Azerbaijan but these countries are growing slowly du</w:t>
      </w:r>
      <w:r w:rsidR="00F42395">
        <w:rPr>
          <w:color w:val="000000" w:themeColor="text1"/>
        </w:rPr>
        <w:t>e</w:t>
      </w:r>
      <w:r w:rsidR="00F42395" w:rsidRPr="00F42395">
        <w:rPr>
          <w:color w:val="000000" w:themeColor="text1"/>
        </w:rPr>
        <w:t xml:space="preserve"> inadequate/inappropriate policies</w:t>
      </w:r>
      <w:r w:rsidR="003B1A3A">
        <w:rPr>
          <w:color w:val="000000" w:themeColor="text1"/>
        </w:rPr>
        <w:t xml:space="preserve"> (Annex 3)</w:t>
      </w:r>
      <w:r w:rsidR="00F42395" w:rsidRPr="00F42395">
        <w:rPr>
          <w:color w:val="000000" w:themeColor="text1"/>
        </w:rPr>
        <w:t>.</w:t>
      </w:r>
      <w:r w:rsidR="00F42395">
        <w:rPr>
          <w:color w:val="000000" w:themeColor="text1"/>
        </w:rPr>
        <w:t xml:space="preserve"> Bangladesh is growing rapidly with partial adherence to rule of law. Ironically institutions responsible for protecting rule of law in Bangladesh are development oriented because government often uses these institutions </w:t>
      </w:r>
      <w:r w:rsidR="00280548">
        <w:rPr>
          <w:color w:val="000000" w:themeColor="text1"/>
        </w:rPr>
        <w:t>for disaster response, security of private business, working of vital institutions during periods of civil disturbances and the like.</w:t>
      </w:r>
    </w:p>
    <w:p w:rsidR="005F65A2" w:rsidRDefault="00280548" w:rsidP="00F42395">
      <w:pPr>
        <w:spacing w:before="0" w:after="200" w:line="276" w:lineRule="auto"/>
        <w:rPr>
          <w:color w:val="000000" w:themeColor="text1"/>
        </w:rPr>
      </w:pPr>
      <w:r w:rsidRPr="00280548">
        <w:rPr>
          <w:b/>
          <w:color w:val="000000" w:themeColor="text1"/>
        </w:rPr>
        <w:t>State works effectively and transparently</w:t>
      </w:r>
      <w:r>
        <w:rPr>
          <w:b/>
          <w:color w:val="000000" w:themeColor="text1"/>
        </w:rPr>
        <w:t>.</w:t>
      </w:r>
      <w:r>
        <w:rPr>
          <w:color w:val="000000" w:themeColor="text1"/>
        </w:rPr>
        <w:t xml:space="preserve"> </w:t>
      </w:r>
      <w:r w:rsidR="003B1A3A">
        <w:rPr>
          <w:color w:val="000000" w:themeColor="text1"/>
        </w:rPr>
        <w:t>Virtually, the state in no country works effectively and transparently (</w:t>
      </w:r>
      <w:r w:rsidR="00554C5A">
        <w:rPr>
          <w:color w:val="000000" w:themeColor="text1"/>
        </w:rPr>
        <w:t>Table 11</w:t>
      </w:r>
      <w:r w:rsidR="003B1A3A">
        <w:rPr>
          <w:color w:val="000000" w:themeColor="text1"/>
        </w:rPr>
        <w:t xml:space="preserve">). </w:t>
      </w:r>
      <w:r w:rsidRPr="00280548">
        <w:rPr>
          <w:color w:val="000000" w:themeColor="text1"/>
        </w:rPr>
        <w:t>In Bangladesh, state works only partially in terms of effectiveness and transparency. This has not impeded rapid growth driven by people's aspiration and leadership's strong growth orientation.</w:t>
      </w:r>
      <w:r>
        <w:rPr>
          <w:color w:val="000000" w:themeColor="text1"/>
        </w:rPr>
        <w:t xml:space="preserve"> Bangladesh is in company of </w:t>
      </w:r>
      <w:r w:rsidR="003B1A3A" w:rsidRPr="003B1A3A">
        <w:rPr>
          <w:color w:val="000000" w:themeColor="text1"/>
        </w:rPr>
        <w:t>Ethiopia, Ghana, Cambodia, Tanzania, Uzbekistan India, Sri Lanka, Vietnam, Bolivia and Benin (Annex 3).</w:t>
      </w:r>
      <w:r w:rsidR="003C7CDC">
        <w:rPr>
          <w:color w:val="000000" w:themeColor="text1"/>
        </w:rPr>
        <w:t xml:space="preserve"> Actually it looks as though the state in a country must work at least partially effectively and transparently in order to be able to grow rapidly or modestly (</w:t>
      </w:r>
      <w:r w:rsidR="00554C5A">
        <w:rPr>
          <w:color w:val="000000" w:themeColor="text1"/>
        </w:rPr>
        <w:t>Table 11</w:t>
      </w:r>
      <w:r w:rsidR="003C7CDC">
        <w:rPr>
          <w:color w:val="000000" w:themeColor="text1"/>
        </w:rPr>
        <w:t>).</w:t>
      </w:r>
    </w:p>
    <w:p w:rsidR="00ED025D" w:rsidRDefault="005F65A2" w:rsidP="00F42395">
      <w:pPr>
        <w:spacing w:before="0" w:after="200" w:line="276" w:lineRule="auto"/>
        <w:rPr>
          <w:color w:val="000000" w:themeColor="text1"/>
        </w:rPr>
      </w:pPr>
      <w:r w:rsidRPr="005F65A2">
        <w:rPr>
          <w:b/>
          <w:color w:val="000000" w:themeColor="text1"/>
        </w:rPr>
        <w:t>Labor rights are protected</w:t>
      </w:r>
      <w:r>
        <w:rPr>
          <w:b/>
          <w:color w:val="000000" w:themeColor="text1"/>
        </w:rPr>
        <w:t>.</w:t>
      </w:r>
      <w:r>
        <w:rPr>
          <w:color w:val="000000" w:themeColor="text1"/>
        </w:rPr>
        <w:t xml:space="preserve"> Economic development and growth within the context of capitalist or quasi-capitalist framework generates inevitable tension between capital and</w:t>
      </w:r>
      <w:r w:rsidR="00350C68">
        <w:rPr>
          <w:color w:val="000000" w:themeColor="text1"/>
        </w:rPr>
        <w:t xml:space="preserve"> </w:t>
      </w:r>
      <w:r>
        <w:rPr>
          <w:color w:val="000000" w:themeColor="text1"/>
        </w:rPr>
        <w:t>labor for the appropriate share of the total pie.</w:t>
      </w:r>
      <w:r w:rsidR="00350C68">
        <w:rPr>
          <w:color w:val="000000" w:themeColor="text1"/>
        </w:rPr>
        <w:t xml:space="preserve"> Capitalists use marginal propensity to save and invest criteria to claim as large a share of output as possible. Labor on the other hand points towards marginal productivity to be compensated fairly. Development/growth oriented leadership tend to buy in capitalists’ argument and aid it to suppress labor directly or indirectly. It uses compensatory measures through laws and regulations to contain labor and give a sense of fairness in the process of collective bargaining. The result is in 68% of 59 countries with data labor rights are not protected (</w:t>
      </w:r>
      <w:r w:rsidR="00554C5A">
        <w:rPr>
          <w:color w:val="000000" w:themeColor="text1"/>
        </w:rPr>
        <w:t>Table 11</w:t>
      </w:r>
      <w:r w:rsidR="00350C68">
        <w:rPr>
          <w:color w:val="000000" w:themeColor="text1"/>
        </w:rPr>
        <w:t xml:space="preserve">). There are many examples of countries growing rapidly </w:t>
      </w:r>
      <w:r w:rsidR="00ED025D">
        <w:rPr>
          <w:color w:val="000000" w:themeColor="text1"/>
        </w:rPr>
        <w:t xml:space="preserve">(Annex 3) </w:t>
      </w:r>
      <w:r w:rsidR="00350C68">
        <w:rPr>
          <w:color w:val="000000" w:themeColor="text1"/>
        </w:rPr>
        <w:t>even though labor rights are not protected (</w:t>
      </w:r>
      <w:r w:rsidR="00CB4DA0" w:rsidRPr="00CB4DA0">
        <w:rPr>
          <w:color w:val="000000" w:themeColor="text1"/>
        </w:rPr>
        <w:t>Mongolia, Ethiopia, Congo, Dem. Rep., Lao PDR, Myanmar, Cambodia, Mozambique, Zimbabwe, Cote d'Ivoire, Djibouti, Eritrea, Timor-Leste, Kenya, Solomon Islands, Cameroon, Mauritania, Liberia, Sierra Leone and Paraguay</w:t>
      </w:r>
      <w:r w:rsidR="00CB4DA0">
        <w:rPr>
          <w:color w:val="000000" w:themeColor="text1"/>
        </w:rPr>
        <w:t>)</w:t>
      </w:r>
      <w:r w:rsidR="00CB4DA0" w:rsidRPr="00CB4DA0">
        <w:rPr>
          <w:color w:val="000000" w:themeColor="text1"/>
        </w:rPr>
        <w:t>.</w:t>
      </w:r>
      <w:r w:rsidR="00CB4DA0">
        <w:rPr>
          <w:color w:val="000000" w:themeColor="text1"/>
        </w:rPr>
        <w:t xml:space="preserve"> The list says the story, which side of the battle for a piece of cake the government is.</w:t>
      </w:r>
      <w:r w:rsidR="00D872C3">
        <w:rPr>
          <w:color w:val="000000" w:themeColor="text1"/>
        </w:rPr>
        <w:t xml:space="preserve"> In Bangladesh, under intense pressure from foreign buyers, international and national civic and labor bodies and worker groups Bangladesh government has made important moves to protect labor rights and welfare especially in the garment industry which was under virtual seize for violation of labor rights and physical damage to labor.</w:t>
      </w:r>
    </w:p>
    <w:p w:rsidR="00E21CBE" w:rsidRDefault="00A65815" w:rsidP="00F42395">
      <w:pPr>
        <w:spacing w:before="0" w:after="200" w:line="276" w:lineRule="auto"/>
        <w:rPr>
          <w:color w:val="000000" w:themeColor="text1"/>
        </w:rPr>
      </w:pPr>
      <w:r w:rsidRPr="00A65815">
        <w:rPr>
          <w:b/>
          <w:color w:val="000000" w:themeColor="text1"/>
        </w:rPr>
        <w:t>Gender discrimination</w:t>
      </w:r>
      <w:r>
        <w:rPr>
          <w:b/>
          <w:color w:val="000000" w:themeColor="text1"/>
        </w:rPr>
        <w:t>.</w:t>
      </w:r>
      <w:r>
        <w:rPr>
          <w:color w:val="000000" w:themeColor="text1"/>
        </w:rPr>
        <w:t xml:space="preserve"> </w:t>
      </w:r>
      <w:r w:rsidR="00D872C3">
        <w:rPr>
          <w:color w:val="000000" w:themeColor="text1"/>
        </w:rPr>
        <w:t xml:space="preserve">In male dominated societies, gender discrimination is inevitable unless countervailing measures are adopted and implemented. </w:t>
      </w:r>
      <w:r w:rsidR="008279DA">
        <w:rPr>
          <w:color w:val="000000" w:themeColor="text1"/>
        </w:rPr>
        <w:t>Gender discrimination is as old as human society although occasional exceptions are noted. OECD (2014) has carefully studied gender discrimination in 160 countries around the world. In the 64 countries included here 81% of countries have medium to very high levels of gender discrimination.</w:t>
      </w:r>
      <w:r w:rsidR="003D32E2">
        <w:rPr>
          <w:color w:val="000000" w:themeColor="text1"/>
        </w:rPr>
        <w:t xml:space="preserve"> In the face of it data suggest </w:t>
      </w:r>
      <w:r w:rsidR="003D32E2">
        <w:rPr>
          <w:color w:val="000000" w:themeColor="text1"/>
        </w:rPr>
        <w:lastRenderedPageBreak/>
        <w:t>gender discrimination has marginal influence on growth (</w:t>
      </w:r>
      <w:r w:rsidR="00554C5A">
        <w:rPr>
          <w:color w:val="000000" w:themeColor="text1"/>
        </w:rPr>
        <w:t>Table 11</w:t>
      </w:r>
      <w:r w:rsidR="003D32E2">
        <w:rPr>
          <w:color w:val="000000" w:themeColor="text1"/>
        </w:rPr>
        <w:t xml:space="preserve">). This appears contradictory given women’s rising labor force participation and growing productivity. Again, individual or country group situations are more revealing. Bangladesh is growing with very high level of gender discrimination. Discrimination shows up more in terms of wages and benefits rather than labor force participation. Garment industry favors female labor paying them close to famine wage which has marginally improved recently under international pressure. </w:t>
      </w:r>
      <w:r w:rsidR="006E339E" w:rsidRPr="006E339E">
        <w:rPr>
          <w:color w:val="000000" w:themeColor="text1"/>
        </w:rPr>
        <w:t>The Bangladesh situation is repeated in Ethiopia, Ghana, Myanmar, Tanzania, Cote</w:t>
      </w:r>
      <w:r w:rsidR="006E339E">
        <w:rPr>
          <w:color w:val="000000" w:themeColor="text1"/>
        </w:rPr>
        <w:t xml:space="preserve"> </w:t>
      </w:r>
      <w:r w:rsidR="006E339E" w:rsidRPr="006E339E">
        <w:rPr>
          <w:color w:val="000000" w:themeColor="text1"/>
        </w:rPr>
        <w:t>d'Ivoire, Benin, Burkina Faso and Cameroon</w:t>
      </w:r>
      <w:r w:rsidR="00E21CBE">
        <w:rPr>
          <w:color w:val="000000" w:themeColor="text1"/>
        </w:rPr>
        <w:t xml:space="preserve"> (Annex 3)</w:t>
      </w:r>
      <w:r w:rsidR="006E339E" w:rsidRPr="006E339E">
        <w:rPr>
          <w:color w:val="000000" w:themeColor="text1"/>
        </w:rPr>
        <w:t>.</w:t>
      </w:r>
      <w:r w:rsidR="00D872C3">
        <w:rPr>
          <w:color w:val="000000" w:themeColor="text1"/>
        </w:rPr>
        <w:t xml:space="preserve"> </w:t>
      </w:r>
      <w:r w:rsidR="006E339E">
        <w:rPr>
          <w:color w:val="000000" w:themeColor="text1"/>
        </w:rPr>
        <w:t>Contribution of female labor to growth is measurable and substantial but they are netted under discriminatory trap.</w:t>
      </w:r>
    </w:p>
    <w:p w:rsidR="00E635AD" w:rsidRPr="00C40452" w:rsidRDefault="00E21CBE" w:rsidP="00C40452">
      <w:pPr>
        <w:spacing w:before="0" w:after="200" w:line="276" w:lineRule="auto"/>
        <w:rPr>
          <w:color w:val="000000" w:themeColor="text1"/>
        </w:rPr>
      </w:pPr>
      <w:r w:rsidRPr="00E21CBE">
        <w:rPr>
          <w:b/>
          <w:color w:val="000000" w:themeColor="text1"/>
        </w:rPr>
        <w:t>Religious freedom is guaranteed</w:t>
      </w:r>
      <w:r>
        <w:rPr>
          <w:b/>
          <w:color w:val="000000" w:themeColor="text1"/>
        </w:rPr>
        <w:t>.</w:t>
      </w:r>
      <w:r>
        <w:rPr>
          <w:color w:val="000000" w:themeColor="text1"/>
        </w:rPr>
        <w:t xml:space="preserve"> One half of the countries do not protect religious freedom. The other half protect it partially or fully</w:t>
      </w:r>
      <w:r w:rsidR="009403E7">
        <w:rPr>
          <w:color w:val="000000" w:themeColor="text1"/>
        </w:rPr>
        <w:t xml:space="preserve"> (</w:t>
      </w:r>
      <w:r w:rsidR="00554C5A">
        <w:rPr>
          <w:color w:val="000000" w:themeColor="text1"/>
        </w:rPr>
        <w:t>Table 11</w:t>
      </w:r>
      <w:r w:rsidR="009403E7">
        <w:rPr>
          <w:color w:val="000000" w:themeColor="text1"/>
        </w:rPr>
        <w:t>)</w:t>
      </w:r>
      <w:r>
        <w:rPr>
          <w:color w:val="000000" w:themeColor="text1"/>
        </w:rPr>
        <w:t>. Growth is rapid or modest in one half of the latter group.</w:t>
      </w:r>
      <w:r w:rsidR="009403E7">
        <w:rPr>
          <w:color w:val="000000" w:themeColor="text1"/>
        </w:rPr>
        <w:t xml:space="preserve"> Many countries grow rapidly but do not protect religious freedom. While historically, certain religions or religious affiliation has been credited with greater business enterprise than others, this distinction appears to be increasingly blurred even in countries like India in which religious tension appears high. </w:t>
      </w:r>
      <w:r w:rsidR="0082062A">
        <w:rPr>
          <w:color w:val="000000" w:themeColor="text1"/>
        </w:rPr>
        <w:t xml:space="preserve">Nonetheless, there are indications that economic growth and religious freedom are correlated working through economic freedom, global competitiveness, innovation and experimentation and good governance. </w:t>
      </w:r>
      <w:r w:rsidR="00C82DC2">
        <w:rPr>
          <w:color w:val="000000" w:themeColor="text1"/>
        </w:rPr>
        <w:t xml:space="preserve">Chiswick (2016) argues that </w:t>
      </w:r>
      <w:r w:rsidR="00C82DC2">
        <w:rPr>
          <w:shd w:val="clear" w:color="auto" w:fill="FFFFFF"/>
        </w:rPr>
        <w:t>“</w:t>
      </w:r>
      <w:r w:rsidR="00C82DC2" w:rsidRPr="00C82DC2">
        <w:rPr>
          <w:shd w:val="clear" w:color="auto" w:fill="FFFFFF"/>
        </w:rPr>
        <w:t>Economic freedom and religious freedom are thus mutually complementary, suggesting that countries with religious freedom have a comparative advantage for adapting to new economic opportunities. Entrepreneurial initiatives are more likely to be successful in a society where people learn to make choices, and the allocative skill associated with religious freedom has a higher market value in a free economy.</w:t>
      </w:r>
      <w:r w:rsidR="00C82DC2">
        <w:rPr>
          <w:shd w:val="clear" w:color="auto" w:fill="FFFFFF"/>
        </w:rPr>
        <w:t>”</w:t>
      </w:r>
      <w:r w:rsidR="00C82DC2">
        <w:rPr>
          <w:color w:val="000000" w:themeColor="text1"/>
        </w:rPr>
        <w:t xml:space="preserve"> </w:t>
      </w:r>
      <w:r w:rsidR="0082062A">
        <w:rPr>
          <w:color w:val="000000" w:themeColor="text1"/>
        </w:rPr>
        <w:t xml:space="preserve">On the other hand, </w:t>
      </w:r>
      <w:r w:rsidR="00E635AD" w:rsidRPr="00E635AD">
        <w:t>Sunde (2014) says, “</w:t>
      </w:r>
      <w:r w:rsidR="00E635AD" w:rsidRPr="00E635AD">
        <w:rPr>
          <w:color w:val="373A3C"/>
          <w:shd w:val="clear" w:color="auto" w:fill="FFFFFF"/>
        </w:rPr>
        <w:t xml:space="preserve">Brian Grim of Georgetown University and Greg Clark and Robert Edward Snyder of Brigham Young University conducted an extensive </w:t>
      </w:r>
      <w:r w:rsidR="00E635AD" w:rsidRPr="00E635AD">
        <w:rPr>
          <w:color w:val="000000" w:themeColor="text1"/>
          <w:shd w:val="clear" w:color="auto" w:fill="FFFFFF"/>
        </w:rPr>
        <w:t>study, </w:t>
      </w:r>
      <w:hyperlink r:id="rId133" w:history="1">
        <w:r w:rsidR="00E635AD" w:rsidRPr="00E635AD">
          <w:rPr>
            <w:rStyle w:val="Hyperlink"/>
            <w:color w:val="000000" w:themeColor="text1"/>
            <w:shd w:val="clear" w:color="auto" w:fill="FFFFFF"/>
          </w:rPr>
          <w:t>“Is Religious Freedom Good for Business?,”</w:t>
        </w:r>
      </w:hyperlink>
      <w:r w:rsidR="00E635AD" w:rsidRPr="00E635AD">
        <w:rPr>
          <w:color w:val="373A3C"/>
          <w:shd w:val="clear" w:color="auto" w:fill="FFFFFF"/>
        </w:rPr>
        <w:t xml:space="preserve"> which </w:t>
      </w:r>
      <w:r w:rsidR="00E635AD" w:rsidRPr="00C40452">
        <w:rPr>
          <w:color w:val="373A3C"/>
          <w:shd w:val="clear" w:color="auto" w:fill="FFFFFF"/>
        </w:rPr>
        <w:t>concludes that “religious freedom contributes to better economic and business outcomes.””</w:t>
      </w:r>
      <w:r w:rsidRPr="00C40452">
        <w:rPr>
          <w:color w:val="000000" w:themeColor="text1"/>
        </w:rPr>
        <w:t xml:space="preserve"> </w:t>
      </w:r>
    </w:p>
    <w:p w:rsidR="00A9397A" w:rsidRDefault="00C40452" w:rsidP="00C40452">
      <w:pPr>
        <w:spacing w:before="0" w:after="200" w:line="276" w:lineRule="auto"/>
        <w:rPr>
          <w:color w:val="000000" w:themeColor="text1"/>
        </w:rPr>
      </w:pPr>
      <w:r w:rsidRPr="00DE54E6">
        <w:rPr>
          <w:b/>
          <w:color w:val="000000" w:themeColor="text1"/>
        </w:rPr>
        <w:t>Minority interest is protected</w:t>
      </w:r>
      <w:r w:rsidR="00DE54E6" w:rsidRPr="00DE54E6">
        <w:rPr>
          <w:b/>
          <w:color w:val="000000" w:themeColor="text1"/>
        </w:rPr>
        <w:t>.</w:t>
      </w:r>
      <w:r w:rsidRPr="00C40452">
        <w:rPr>
          <w:color w:val="000000" w:themeColor="text1"/>
        </w:rPr>
        <w:t xml:space="preserve"> </w:t>
      </w:r>
      <w:r w:rsidR="00DE54E6">
        <w:rPr>
          <w:color w:val="000000" w:themeColor="text1"/>
        </w:rPr>
        <w:t>I</w:t>
      </w:r>
      <w:r w:rsidRPr="00C40452">
        <w:rPr>
          <w:color w:val="000000" w:themeColor="text1"/>
        </w:rPr>
        <w:t>n only 37% of 64 countries</w:t>
      </w:r>
      <w:r w:rsidR="00DE54E6">
        <w:rPr>
          <w:color w:val="000000" w:themeColor="text1"/>
        </w:rPr>
        <w:t xml:space="preserve"> minority interest is protected</w:t>
      </w:r>
      <w:r w:rsidRPr="00C40452">
        <w:rPr>
          <w:color w:val="000000" w:themeColor="text1"/>
        </w:rPr>
        <w:t>. In the balance interest is not protected. Minorities are often enterprising, innovatin</w:t>
      </w:r>
      <w:r>
        <w:rPr>
          <w:color w:val="000000" w:themeColor="text1"/>
        </w:rPr>
        <w:t>g</w:t>
      </w:r>
      <w:r w:rsidRPr="00C40452">
        <w:rPr>
          <w:color w:val="000000" w:themeColor="text1"/>
        </w:rPr>
        <w:t xml:space="preserve"> and risk taking communities. Therefore, protecting their interest would have had positive impact on growth though many countries seem to have done alright (</w:t>
      </w:r>
      <w:r w:rsidR="00554C5A">
        <w:rPr>
          <w:color w:val="000000" w:themeColor="text1"/>
        </w:rPr>
        <w:t>Table 11</w:t>
      </w:r>
      <w:r w:rsidRPr="00C40452">
        <w:rPr>
          <w:color w:val="000000" w:themeColor="text1"/>
        </w:rPr>
        <w:t>). The conclusion to be drawn seems to be that with minority interest protected rapidly growing countries would have grown more rapidly and modestly growing countries would have grown rapidly. From Afghanistan, to Bangladesh to India</w:t>
      </w:r>
      <w:r>
        <w:rPr>
          <w:color w:val="000000" w:themeColor="text1"/>
        </w:rPr>
        <w:t xml:space="preserve"> to Myanmar, to Nepal, Sri Lanka</w:t>
      </w:r>
      <w:r w:rsidRPr="00C40452">
        <w:rPr>
          <w:color w:val="000000" w:themeColor="text1"/>
        </w:rPr>
        <w:t xml:space="preserve">, to Rwanda to Burundi </w:t>
      </w:r>
      <w:r>
        <w:rPr>
          <w:color w:val="000000" w:themeColor="text1"/>
        </w:rPr>
        <w:t xml:space="preserve">to Fiji to Solomon Islands, </w:t>
      </w:r>
      <w:r w:rsidRPr="00C40452">
        <w:rPr>
          <w:color w:val="000000" w:themeColor="text1"/>
        </w:rPr>
        <w:t>one sees examples of potential growth not being realized due to suppression of minority rights.</w:t>
      </w:r>
    </w:p>
    <w:p w:rsidR="00820B52" w:rsidRPr="00A15490" w:rsidRDefault="00820B52" w:rsidP="00397FED">
      <w:pPr>
        <w:pStyle w:val="ListParagraph"/>
        <w:numPr>
          <w:ilvl w:val="0"/>
          <w:numId w:val="1"/>
        </w:numPr>
        <w:spacing w:before="0" w:after="200" w:line="276" w:lineRule="auto"/>
        <w:contextualSpacing w:val="0"/>
        <w:rPr>
          <w:rFonts w:ascii="Times New Roman" w:hAnsi="Times New Roman" w:cs="Times New Roman"/>
          <w:b/>
          <w:caps/>
          <w:color w:val="0070C0"/>
        </w:rPr>
      </w:pPr>
      <w:r w:rsidRPr="00A15490">
        <w:rPr>
          <w:rFonts w:ascii="Times New Roman" w:hAnsi="Times New Roman" w:cs="Times New Roman"/>
          <w:b/>
          <w:caps/>
          <w:color w:val="0070C0"/>
        </w:rPr>
        <w:t>An Inquiry into Critical Developmental Institutions – Catalyzer for Transformation?</w:t>
      </w:r>
    </w:p>
    <w:p w:rsidR="00F8233D" w:rsidRPr="00FF2844" w:rsidRDefault="00F8233D" w:rsidP="00F8233D">
      <w:pPr>
        <w:spacing w:before="0" w:after="200" w:line="276" w:lineRule="auto"/>
      </w:pPr>
      <w:r w:rsidRPr="00027FB1">
        <w:rPr>
          <w:color w:val="000000" w:themeColor="text1"/>
        </w:rPr>
        <w:t>An inquiry into critical developmental institutions as catalyzer for transformation</w:t>
      </w:r>
      <w:r w:rsidRPr="00FF2844">
        <w:rPr>
          <w:color w:val="000000" w:themeColor="text1"/>
        </w:rPr>
        <w:t xml:space="preserve"> suggests that </w:t>
      </w:r>
      <w:r w:rsidRPr="00FF2844">
        <w:t xml:space="preserve">some critical developmental institutions will play catalytic role in transforming the Bangladesh </w:t>
      </w:r>
      <w:r w:rsidRPr="00FF2844">
        <w:lastRenderedPageBreak/>
        <w:t>economy by unleashing all its latent potential (e.g. how land management, labor laws, marketing regulations, and property rights affect economic performance).</w:t>
      </w:r>
      <w:r w:rsidR="00194BB9" w:rsidRPr="00194BB9">
        <w:t xml:space="preserve"> </w:t>
      </w:r>
      <w:r w:rsidR="00194BB9" w:rsidRPr="002B17C3">
        <w:t xml:space="preserve">This section will present an analysis highlighting the importance of some critical developmental institutions that will play catalytic role in transforming the Bangladesh economy by unleashing all its latent potential. The analysis for specifics will look into how land management, labor laws, marketing regulations, and property rights affect economic performance. </w:t>
      </w:r>
      <w:r w:rsidR="00127B31">
        <w:t>T</w:t>
      </w:r>
      <w:r w:rsidR="00127B31" w:rsidRPr="002B17C3">
        <w:t>he study focus</w:t>
      </w:r>
      <w:r w:rsidR="00127B31">
        <w:t>es</w:t>
      </w:r>
      <w:r w:rsidR="00127B31" w:rsidRPr="002B17C3">
        <w:t xml:space="preserve"> on the legal and regulatory framework for each and highlight required adjustments to sustain longer-term growth and structural transformation.</w:t>
      </w:r>
    </w:p>
    <w:p w:rsidR="00BB201E" w:rsidRDefault="00E403C0" w:rsidP="00903CAF">
      <w:pPr>
        <w:tabs>
          <w:tab w:val="num" w:pos="720"/>
          <w:tab w:val="num" w:pos="2880"/>
        </w:tabs>
        <w:spacing w:before="0" w:after="200" w:line="276" w:lineRule="auto"/>
      </w:pPr>
      <w:r>
        <w:t>An efficient l</w:t>
      </w:r>
      <w:r w:rsidRPr="00FB2ACC">
        <w:t xml:space="preserve">and </w:t>
      </w:r>
      <w:r>
        <w:t>market with effective property rights are important for longer-term development.</w:t>
      </w:r>
      <w:r w:rsidRPr="00E403C0">
        <w:rPr>
          <w:b/>
          <w:color w:val="000000" w:themeColor="text1"/>
        </w:rPr>
        <w:t xml:space="preserve"> </w:t>
      </w:r>
      <w:r w:rsidR="00BB201E" w:rsidRPr="002B17C3">
        <w:t>Property rights are most relevant for land, business and intellectual property. The property rights of women are particularly sensitive. The state of these rights, gaps and the desired evolution for the future will be discussed.</w:t>
      </w:r>
      <w:r w:rsidR="00BB201E">
        <w:t xml:space="preserve">  </w:t>
      </w:r>
    </w:p>
    <w:p w:rsidR="005812F9" w:rsidRDefault="00BB201E" w:rsidP="00903CAF">
      <w:pPr>
        <w:tabs>
          <w:tab w:val="num" w:pos="720"/>
          <w:tab w:val="num" w:pos="2880"/>
        </w:tabs>
        <w:spacing w:before="0" w:after="200" w:line="276" w:lineRule="auto"/>
        <w:rPr>
          <w:color w:val="000000" w:themeColor="text1"/>
        </w:rPr>
      </w:pPr>
      <w:r w:rsidRPr="00A9397A">
        <w:rPr>
          <w:color w:val="000000" w:themeColor="text1"/>
        </w:rPr>
        <w:t>In majority of countries land and property rights are not upheld</w:t>
      </w:r>
      <w:r>
        <w:rPr>
          <w:color w:val="000000" w:themeColor="text1"/>
        </w:rPr>
        <w:t xml:space="preserve"> (Table 11)</w:t>
      </w:r>
      <w:r w:rsidRPr="00A9397A">
        <w:rPr>
          <w:color w:val="000000" w:themeColor="text1"/>
        </w:rPr>
        <w:t xml:space="preserve">. </w:t>
      </w:r>
      <w:r w:rsidR="00C3279C">
        <w:rPr>
          <w:color w:val="000000" w:themeColor="text1"/>
        </w:rPr>
        <w:t>This is confirmed by the property rights index</w:t>
      </w:r>
      <w:r w:rsidR="005812F9">
        <w:rPr>
          <w:color w:val="000000" w:themeColor="text1"/>
        </w:rPr>
        <w:t>.</w:t>
      </w:r>
      <w:r w:rsidR="00C3279C">
        <w:rPr>
          <w:color w:val="000000" w:themeColor="text1"/>
        </w:rPr>
        <w:t xml:space="preserve"> </w:t>
      </w:r>
      <w:r w:rsidR="00C3279C">
        <w:t xml:space="preserve">A subcomponent of the Index of Economic Freedom, the property rights index measures the degree to which a country’s laws protect private property rights, and the degree to which its government enforces those laws. Scores are from0 to 100, higher scores implying greater protection. The index also assesses the likelihood that private property will be expropriated and analyzes the independence of and corruption within the judiciary, the rigor with which contracts ae enforced. </w:t>
      </w:r>
      <w:r w:rsidR="00E403C0">
        <w:rPr>
          <w:color w:val="000000" w:themeColor="text1"/>
        </w:rPr>
        <w:t xml:space="preserve">The world has lived through this given the contentious nature of the issue. Countries have grown rapidly and modestly without firmly held land and property rights (Table 11). Logic dictates without land and secure property rights investments in general will be held back, foreign investment will be discouraged and investments in land and property improvement will not be undertaken, all with implication for growth. This line of argument suggest secure rights would encourage investment and raise growth rates especially in countries in which other conditions (policies and institutions) are present for realizing good return on investment. </w:t>
      </w:r>
    </w:p>
    <w:p w:rsidR="00E403C0" w:rsidRPr="00EA64BE" w:rsidRDefault="00E403C0" w:rsidP="00EA64BE">
      <w:pPr>
        <w:tabs>
          <w:tab w:val="num" w:pos="720"/>
          <w:tab w:val="num" w:pos="2880"/>
        </w:tabs>
        <w:spacing w:before="0" w:after="200" w:line="276" w:lineRule="auto"/>
      </w:pPr>
      <w:r w:rsidRPr="00EA64BE">
        <w:rPr>
          <w:color w:val="000000" w:themeColor="text1"/>
        </w:rPr>
        <w:t xml:space="preserve">Bangladesh has sound macroeconomic policies but needs to improve land and land utilization policy and secure property rights along with improved dispute resolution mechanism to accelerate growth further. </w:t>
      </w:r>
      <w:r w:rsidR="005812F9" w:rsidRPr="00EA64BE">
        <w:t xml:space="preserve">Bangladesh ranks low among comparator countries (Figure 62). </w:t>
      </w:r>
      <w:r w:rsidR="005812F9" w:rsidRPr="00EA64BE">
        <w:rPr>
          <w:rFonts w:eastAsia="Times New Roman"/>
        </w:rPr>
        <w:t xml:space="preserve">In theory land and property right are secure with registered deeds and title. In practice one can never be sure. The result is land dispute (Rahman and Chowdhury 2016). Land disputes can mostly be traced to unregistered land. </w:t>
      </w:r>
      <w:r w:rsidRPr="00EA64BE">
        <w:rPr>
          <w:color w:val="000000" w:themeColor="text1"/>
        </w:rPr>
        <w:t>Benin and Rwanda like Bangladesh grew rapidly with secure rights but could do better with improvement of law and its execution. Secure rights are necessary but not sufficient as data for Argentina, Belize and Azerbaijan suggest (Annex 3).</w:t>
      </w:r>
    </w:p>
    <w:p w:rsidR="00194BB9" w:rsidRPr="00EA64BE" w:rsidRDefault="00E0435C" w:rsidP="00EA64BE">
      <w:pPr>
        <w:tabs>
          <w:tab w:val="num" w:pos="720"/>
          <w:tab w:val="num" w:pos="2880"/>
        </w:tabs>
        <w:spacing w:before="0" w:after="200" w:line="276" w:lineRule="auto"/>
        <w:rPr>
          <w:bCs/>
          <w:color w:val="000000" w:themeColor="text1"/>
        </w:rPr>
      </w:pPr>
      <w:r w:rsidRPr="00EA64BE">
        <w:rPr>
          <w:color w:val="000000" w:themeColor="text1"/>
        </w:rPr>
        <w:t xml:space="preserve">Land management holds great promise for future development of Bangladesh. </w:t>
      </w:r>
      <w:r w:rsidR="00194BB9" w:rsidRPr="00EA64BE">
        <w:rPr>
          <w:color w:val="000000" w:themeColor="text1"/>
        </w:rPr>
        <w:t xml:space="preserve">Land is a scarce resource for Bangladesh. It is under threat for unruly urbanization, unplanned industrialization, environmental degradation, natural calamities and climate change. Right policies and institutions related to land management have to be put in place to make efficient and effective use of scarce </w:t>
      </w:r>
      <w:r w:rsidR="00194BB9" w:rsidRPr="00EA64BE">
        <w:rPr>
          <w:color w:val="000000" w:themeColor="text1"/>
        </w:rPr>
        <w:lastRenderedPageBreak/>
        <w:t>land. Land governance is the priority. According to Transparency International Bangladesh (TIB), “…</w:t>
      </w:r>
      <w:r w:rsidR="00194BB9" w:rsidRPr="00EA64BE">
        <w:rPr>
          <w:bCs/>
          <w:color w:val="000000" w:themeColor="text1"/>
        </w:rPr>
        <w:t xml:space="preserve"> service recipients encounter inconvenience, corruption or harassment while seeking services. Major constrains included, among others, the lack of co-ordination among land </w:t>
      </w:r>
      <w:r w:rsidR="00BB201E">
        <w:rPr>
          <w:noProof/>
        </w:rPr>
        <w:drawing>
          <wp:anchor distT="0" distB="0" distL="114300" distR="114300" simplePos="0" relativeHeight="251923456" behindDoc="0" locked="0" layoutInCell="1" allowOverlap="1" wp14:anchorId="61E5E98C" wp14:editId="4C3D7F8B">
            <wp:simplePos x="0" y="0"/>
            <wp:positionH relativeFrom="margin">
              <wp:align>left</wp:align>
            </wp:positionH>
            <wp:positionV relativeFrom="paragraph">
              <wp:posOffset>640080</wp:posOffset>
            </wp:positionV>
            <wp:extent cx="3406140" cy="5570220"/>
            <wp:effectExtent l="0" t="0" r="3810" b="11430"/>
            <wp:wrapSquare wrapText="bothSides"/>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page">
              <wp14:pctWidth>0</wp14:pctWidth>
            </wp14:sizeRelH>
            <wp14:sizeRelV relativeFrom="page">
              <wp14:pctHeight>0</wp14:pctHeight>
            </wp14:sizeRelV>
          </wp:anchor>
        </w:drawing>
      </w:r>
      <w:r w:rsidR="00194BB9" w:rsidRPr="00EA64BE">
        <w:rPr>
          <w:bCs/>
          <w:color w:val="000000" w:themeColor="text1"/>
        </w:rPr>
        <w:t>authority and management, deficit of skill and experience of Assistant Commissioners (Land), additional duties of AC (Land) other than land management, lack of regular inspection in local land offices, absence of field level monitoring of reports, inadequate budget and skilled human resource, dearth of training, deficit of logistics and infrastructure and the manual record keeping system.”</w:t>
      </w:r>
      <w:r w:rsidR="00194BB9" w:rsidRPr="00EA64BE">
        <w:rPr>
          <w:rStyle w:val="FootnoteReference"/>
          <w:bCs/>
          <w:color w:val="000000" w:themeColor="text1"/>
        </w:rPr>
        <w:footnoteReference w:id="11"/>
      </w:r>
      <w:r w:rsidR="00194BB9" w:rsidRPr="00EA64BE">
        <w:rPr>
          <w:bCs/>
          <w:color w:val="000000" w:themeColor="text1"/>
        </w:rPr>
        <w:t>. Bangladesh must move from the current chaotic state of land administration to an upgraded legal and regulatory framework well before 2041 consistent with sound and equitable land use planning for rational urban and industrial expansion while meeting competing demand for land minimizing litigation and conflict.</w:t>
      </w:r>
    </w:p>
    <w:p w:rsidR="00A32FE6" w:rsidRPr="00EA64BE" w:rsidRDefault="00814D2D" w:rsidP="00EA64BE">
      <w:pPr>
        <w:tabs>
          <w:tab w:val="num" w:pos="720"/>
          <w:tab w:val="num" w:pos="2880"/>
        </w:tabs>
        <w:spacing w:before="0" w:after="200" w:line="276" w:lineRule="auto"/>
      </w:pPr>
      <w:r w:rsidRPr="00EA64BE">
        <w:rPr>
          <w:color w:val="000000" w:themeColor="text1"/>
        </w:rPr>
        <w:t xml:space="preserve">Bangladesh can attain developed country status by 2041 as promised by the Prime Minister. This will require double digit growth and efficient and equitable use of scarce land with a synchronized approach to the following elements: national land-use planning policy; comprehensive land zoning policy; broad-based land capability analysis; </w:t>
      </w:r>
      <w:r w:rsidR="00737542" w:rsidRPr="00EA64BE">
        <w:rPr>
          <w:color w:val="000000" w:themeColor="text1"/>
        </w:rPr>
        <w:t xml:space="preserve">mechanisms for land dispute resolution; </w:t>
      </w:r>
      <w:r w:rsidR="00D96817" w:rsidRPr="00EA64BE">
        <w:rPr>
          <w:color w:val="000000" w:themeColor="text1"/>
        </w:rPr>
        <w:t xml:space="preserve">land administration; </w:t>
      </w:r>
      <w:r w:rsidRPr="00EA64BE">
        <w:rPr>
          <w:color w:val="000000" w:themeColor="text1"/>
        </w:rPr>
        <w:t xml:space="preserve">environmental protection plan; special economic zone (SEZ) including EPZ development; SME cluster development; economic corridor development; seamless multimodal transport </w:t>
      </w:r>
      <w:r w:rsidRPr="00EA64BE">
        <w:t xml:space="preserve">development; streamlined cohesive urban planning along with compact township development (the latter contributing to food security, land conservation, rice exports and growth of rural industries – Salim Rashid); macroeconomic and financial stability and financial inclusion </w:t>
      </w:r>
      <w:r w:rsidRPr="00EA64BE">
        <w:lastRenderedPageBreak/>
        <w:t>(Atiur 2016); well-functioning rural land market (Mujeri 2016); and decentralization of political, administrative and revenue collection authority and of socioeconomic services down to local governments.</w:t>
      </w:r>
    </w:p>
    <w:p w:rsidR="00A32FE6" w:rsidRPr="00EA64BE" w:rsidRDefault="00A32FE6" w:rsidP="00EA64BE">
      <w:pPr>
        <w:tabs>
          <w:tab w:val="num" w:pos="720"/>
          <w:tab w:val="num" w:pos="2880"/>
        </w:tabs>
        <w:spacing w:before="0" w:after="200" w:line="276" w:lineRule="auto"/>
      </w:pPr>
      <w:r w:rsidRPr="00EA64BE">
        <w:t>National land use planning policy provides the overarching framework for land ownership and tenure security, equitable allocation, productivity for investment, sustainable environmental conservation, astatic value for appreciation of natural beauty. This is an official statement of a government’s objectives and plans.</w:t>
      </w:r>
    </w:p>
    <w:p w:rsidR="00A32FE6" w:rsidRPr="00EA64BE" w:rsidRDefault="00F23071" w:rsidP="00EA64BE">
      <w:pPr>
        <w:tabs>
          <w:tab w:val="num" w:pos="720"/>
          <w:tab w:val="num" w:pos="2880"/>
        </w:tabs>
        <w:spacing w:before="0" w:after="200" w:line="276" w:lineRule="auto"/>
      </w:pPr>
      <w:r w:rsidRPr="00EA64BE">
        <w:t xml:space="preserve">Zoning is the process of dividing land into alternative permissible uses. Comprehensive land zoning policy would divide the entire country into rural-urban and agriculture-non-agriculture areas. In both rural and urban areas, zoning would define conditional use of land. Land use zoning as a tool of urban planning would specify residential, commercial, industrial, entertainment, parks and rest areas. Simply stated, comprehensive land zooming policy would tell what can be done where avoiding incompatibility. Increasingly, environmental and climate change considerations are dictating land zoning. Historically, forest, grazing, agricultural, water body and mining areas were recognized as such by community consensus before the state moved in to codify and legalize zoning. Zoning includes regulation of acceptable activities on specific plots from open space to residential, agricultural, commercial or industrial use. </w:t>
      </w:r>
      <w:r w:rsidR="00DD01B5" w:rsidRPr="00EA64BE">
        <w:t xml:space="preserve">Modern urban zones fall into residential, mixed residential-commercial, commercial, industrial and spatial categories. </w:t>
      </w:r>
      <w:r w:rsidRPr="00EA64BE">
        <w:t>Now in most countries a comprehensive land zoning plan is put under a policy as well as a law of the land. It is a legal instrument which is binding. Zoning and urban planning in France and Germany are regulated by national or federal codes</w:t>
      </w:r>
      <w:r w:rsidR="00A651CA" w:rsidRPr="00EA64BE">
        <w:t>.</w:t>
      </w:r>
      <w:r w:rsidR="006F0DE2">
        <w:t xml:space="preserve"> In Bangladesh, comprehensive land zoning policy encompasses </w:t>
      </w:r>
      <w:r w:rsidR="006F0DE2" w:rsidRPr="00EA64BE">
        <w:rPr>
          <w:color w:val="000000" w:themeColor="text1"/>
        </w:rPr>
        <w:t>special economic zone (SEZ) including EPZ development</w:t>
      </w:r>
      <w:r w:rsidR="006F0DE2">
        <w:rPr>
          <w:color w:val="000000" w:themeColor="text1"/>
        </w:rPr>
        <w:t>,</w:t>
      </w:r>
      <w:r w:rsidR="006F0DE2" w:rsidRPr="00EA64BE">
        <w:rPr>
          <w:color w:val="000000" w:themeColor="text1"/>
        </w:rPr>
        <w:t xml:space="preserve"> SME cluster development</w:t>
      </w:r>
      <w:r w:rsidR="006F0DE2">
        <w:rPr>
          <w:color w:val="000000" w:themeColor="text1"/>
        </w:rPr>
        <w:t xml:space="preserve"> and</w:t>
      </w:r>
      <w:r w:rsidR="006F0DE2" w:rsidRPr="00EA64BE">
        <w:rPr>
          <w:color w:val="000000" w:themeColor="text1"/>
        </w:rPr>
        <w:t xml:space="preserve"> economic corridor development</w:t>
      </w:r>
    </w:p>
    <w:p w:rsidR="00A651CA" w:rsidRDefault="00A651CA" w:rsidP="00EA64BE">
      <w:pPr>
        <w:tabs>
          <w:tab w:val="num" w:pos="720"/>
          <w:tab w:val="num" w:pos="2880"/>
        </w:tabs>
        <w:spacing w:before="0" w:after="200" w:line="276" w:lineRule="auto"/>
      </w:pPr>
      <w:r w:rsidRPr="00EA64BE">
        <w:rPr>
          <w:rFonts w:eastAsiaTheme="minorEastAsia"/>
        </w:rPr>
        <w:t xml:space="preserve">In today’s context of Bangladesh, land-use planning is about allocation of land as a primary resource to alternative uses balancing equity and efficiency thereby maximizing contribution to sustainable and inclusive growth and socioeconomic development </w:t>
      </w:r>
      <w:r w:rsidRPr="00EA64BE">
        <w:t>minimizing conflicts that tend to destroy social and political fabric at its root and undermine the quality of life by failing to safeguard natural resources, environment as exemplified by many instances of unwarranted mineral exploitation and intrusion into protected habitat driven by greed and short term economic gains. Implicit in this definition is the potential role of optimal land-use planning in long term sustainable growth which requires, among others, land and tenancy reforms and their effective implementation.</w:t>
      </w:r>
      <w:r w:rsidR="006F0DE2">
        <w:t xml:space="preserve"> </w:t>
      </w:r>
    </w:p>
    <w:p w:rsidR="007572B6" w:rsidRPr="00EA64BE" w:rsidRDefault="007572B6" w:rsidP="00EA64BE">
      <w:pPr>
        <w:tabs>
          <w:tab w:val="num" w:pos="720"/>
          <w:tab w:val="num" w:pos="2880"/>
        </w:tabs>
        <w:spacing w:before="0" w:after="200" w:line="276" w:lineRule="auto"/>
      </w:pPr>
      <w:r>
        <w:t>K</w:t>
      </w:r>
      <w:r w:rsidRPr="00C22510">
        <w:t xml:space="preserve">ey issues in </w:t>
      </w:r>
      <w:r>
        <w:t>land-use</w:t>
      </w:r>
      <w:r w:rsidRPr="00C22510">
        <w:t xml:space="preserve"> planning in Bangladesh are (</w:t>
      </w:r>
      <w:proofErr w:type="spellStart"/>
      <w:r w:rsidRPr="00C22510">
        <w:t>i</w:t>
      </w:r>
      <w:proofErr w:type="spellEnd"/>
      <w:r w:rsidRPr="00C22510">
        <w:t xml:space="preserve">) </w:t>
      </w:r>
      <w:r>
        <w:t>land-use</w:t>
      </w:r>
      <w:r w:rsidRPr="005377A6">
        <w:t xml:space="preserve"> and management - land conversion; sustainable land management; </w:t>
      </w:r>
      <w:r w:rsidRPr="00C22510">
        <w:t xml:space="preserve">land Information system; </w:t>
      </w:r>
      <w:r w:rsidRPr="005377A6">
        <w:t>Khas</w:t>
      </w:r>
      <w:r w:rsidRPr="00C22510">
        <w:t xml:space="preserve"> land management; and economic zones; (ii) l</w:t>
      </w:r>
      <w:r>
        <w:t>and administration</w:t>
      </w:r>
      <w:r w:rsidRPr="005377A6">
        <w:t xml:space="preserve">; and (iii) regulations on </w:t>
      </w:r>
      <w:r>
        <w:t>land-use</w:t>
      </w:r>
      <w:r w:rsidRPr="005377A6">
        <w:t xml:space="preserve">, transfers, acquisitions and resettlement - National </w:t>
      </w:r>
      <w:r>
        <w:t>Land-use</w:t>
      </w:r>
      <w:r w:rsidRPr="005377A6">
        <w:t xml:space="preserve"> Policy (NLUP) 2001; Revision of NLUP 2001; Khas land management policy; Land acquisition policy; and Economic Zoning Policy.</w:t>
      </w:r>
    </w:p>
    <w:p w:rsidR="00EA64BE" w:rsidRPr="00EA64BE" w:rsidRDefault="00EA64BE" w:rsidP="00EA64BE">
      <w:pPr>
        <w:spacing w:before="0" w:after="200" w:line="276" w:lineRule="auto"/>
      </w:pPr>
      <w:r w:rsidRPr="00EA64BE">
        <w:lastRenderedPageBreak/>
        <w:t>The amount of land available for production of food, fiber, and other necessary products for human sustainability is limited. Land capability systems are designed to help determine appropriate uses and management of available land. Land rating systems for agriculture include those that evaluate the potential for bringing new lands into production and others that evaluate the production potential and conservation needs for those already in production. Additional land capability systems rate lands for nonagricultural uses.</w:t>
      </w:r>
    </w:p>
    <w:p w:rsidR="00D96817" w:rsidRPr="007572B6" w:rsidRDefault="00EA64BE" w:rsidP="007572B6">
      <w:pPr>
        <w:tabs>
          <w:tab w:val="num" w:pos="720"/>
          <w:tab w:val="num" w:pos="2880"/>
        </w:tabs>
        <w:spacing w:before="0" w:after="200" w:line="276" w:lineRule="auto"/>
      </w:pPr>
      <w:r w:rsidRPr="00EA64BE">
        <w:t>Given scarcity of land in Bangladesh, it is desirable to develop a land capability system to help determine appropriate uses and management of available land. Land capability analysis aids in how land can be used to produce food, fiber and other products, which land need to be protected from degradation and erosion, which new land could be brought under cultivation, what changes (in production and/or conservation) need to be introduced to the current us of land, and how to determine non-agricultural use of land. In the United States, “</w:t>
      </w:r>
      <w:r w:rsidRPr="00EA64BE">
        <w:rPr>
          <w:color w:val="000000"/>
        </w:rPr>
        <w:t xml:space="preserve">The current LCC includes eight classes of land designated by Roman numerals I thru VIII. The first four classes are arable land--suitable for cropland--in which the limitations on their use and necessity of conservation measures and careful management increase from I thru IV. The criteria for placing a given area in a particular class involve the landscape location, slope of the field, depth, texture, and reaction of the soil. The remaining four classes, V thru VIII, are not to be used for cropland, but may have uses for pasture, range, woodland, grazing, wildlife, recreation, and esthetic purposes. Within the broad classes are subclasses which signify special limitations such as (e) erosion, (w) excess wetness, (s) problems in the rooting zone, and (c) climatic limitations. Within the subclasses are the capability units which give some prediction of expected agricultural yields and indicate </w:t>
      </w:r>
      <w:r w:rsidRPr="007572B6">
        <w:rPr>
          <w:color w:val="000000"/>
        </w:rPr>
        <w:t>treatment needs. The capability units are groupings of soils that have common responses to pasture and crop plants under similar systems of farming.”</w:t>
      </w:r>
      <w:r w:rsidRPr="007572B6">
        <w:rPr>
          <w:rStyle w:val="FootnoteReference"/>
          <w:color w:val="000000"/>
        </w:rPr>
        <w:footnoteReference w:id="12"/>
      </w:r>
      <w:r w:rsidR="00281063" w:rsidRPr="007572B6">
        <w:t xml:space="preserve"> </w:t>
      </w:r>
    </w:p>
    <w:p w:rsidR="00EE1EBA" w:rsidRPr="007572B6" w:rsidRDefault="00EA64BE" w:rsidP="007572B6">
      <w:pPr>
        <w:tabs>
          <w:tab w:val="num" w:pos="720"/>
          <w:tab w:val="num" w:pos="2880"/>
        </w:tabs>
        <w:spacing w:before="0" w:after="200" w:line="276" w:lineRule="auto"/>
      </w:pPr>
      <w:r w:rsidRPr="007572B6">
        <w:t>Land administration is very weak in Bangladesh. An efficient system of land administration and management is imperative for overall development of Bangladesh given its scarce land resource and rapid population growth.</w:t>
      </w:r>
      <w:r w:rsidR="007572B6" w:rsidRPr="007572B6">
        <w:t xml:space="preserve"> </w:t>
      </w:r>
      <w:r w:rsidR="007572B6">
        <w:t>L</w:t>
      </w:r>
      <w:r w:rsidR="007572B6" w:rsidRPr="007572B6">
        <w:t xml:space="preserve">and administration with its three core functions record keeping, registration and settlement are vested in The Directorate of Land Records and Surveys (DLRS), the Land Reform Board (LRB) in MOL and The Land Appeal Board (LAB) in the Ministry of Land (MoL) and the Department of Land Registration (DLR) in the Ministry of Law, Justice and Parliamentary Affairs (MLJP). Land administration is inadequate and inefficient </w:t>
      </w:r>
      <w:r w:rsidR="007572B6">
        <w:t xml:space="preserve">riddled with corruption </w:t>
      </w:r>
      <w:r w:rsidR="007572B6" w:rsidRPr="007572B6">
        <w:t xml:space="preserve">resulting in loss of </w:t>
      </w:r>
      <w:r w:rsidR="007572B6" w:rsidRPr="007572B6">
        <w:rPr>
          <w:i/>
        </w:rPr>
        <w:t>Khas</w:t>
      </w:r>
      <w:r w:rsidR="007572B6" w:rsidRPr="007572B6">
        <w:t xml:space="preserve"> land, numerous land conflicts and prolonged litigations, dysfunctional land market accentuated by land speculation and lack of digitization of land records and registration.</w:t>
      </w:r>
      <w:r w:rsidR="007572B6">
        <w:t xml:space="preserve"> </w:t>
      </w:r>
      <w:r w:rsidR="007572B6" w:rsidRPr="007572B6">
        <w:rPr>
          <w:i/>
        </w:rPr>
        <w:t>Khas</w:t>
      </w:r>
      <w:r w:rsidR="007572B6" w:rsidRPr="007572B6">
        <w:t xml:space="preserve"> land is no longer </w:t>
      </w:r>
      <w:r w:rsidR="007572B6" w:rsidRPr="007572B6">
        <w:rPr>
          <w:i/>
        </w:rPr>
        <w:t>khas</w:t>
      </w:r>
      <w:r w:rsidR="007572B6" w:rsidRPr="007572B6">
        <w:t xml:space="preserve">, ‘Gone with the Wind’ as they say due to illegal encroachment and/or simple grabbing leaving behind a host of issues that can barely be touched by the land administration authority notwithstanding policy which is no match for </w:t>
      </w:r>
      <w:r w:rsidR="007572B6" w:rsidRPr="007572B6">
        <w:lastRenderedPageBreak/>
        <w:t>political and social influence.</w:t>
      </w:r>
      <w:r w:rsidR="006F0DE2">
        <w:t xml:space="preserve"> Given proliferation of land disputes, alternative mechanisms must be developed for rapid resolution of land disputes. </w:t>
      </w:r>
    </w:p>
    <w:p w:rsidR="004B7BB3" w:rsidRPr="002B17C3" w:rsidRDefault="00281063" w:rsidP="00903CAF">
      <w:pPr>
        <w:tabs>
          <w:tab w:val="num" w:pos="720"/>
          <w:tab w:val="num" w:pos="2880"/>
        </w:tabs>
        <w:spacing w:before="0" w:after="200" w:line="276" w:lineRule="auto"/>
        <w:rPr>
          <w:b/>
        </w:rPr>
      </w:pPr>
      <w:r w:rsidRPr="002B17C3">
        <w:t xml:space="preserve">This study </w:t>
      </w:r>
      <w:r w:rsidR="00EE1EBA">
        <w:t xml:space="preserve">makes </w:t>
      </w:r>
      <w:r w:rsidR="004B7BB3" w:rsidRPr="002B17C3">
        <w:t>some specific recommendations for the future indicated below:</w:t>
      </w:r>
    </w:p>
    <w:p w:rsidR="006C7C0B" w:rsidRPr="002B17C3" w:rsidRDefault="006C7C0B" w:rsidP="00C432E0">
      <w:pPr>
        <w:numPr>
          <w:ilvl w:val="0"/>
          <w:numId w:val="2"/>
        </w:numPr>
        <w:tabs>
          <w:tab w:val="num" w:pos="2880"/>
        </w:tabs>
        <w:spacing w:before="0" w:after="0" w:line="276" w:lineRule="auto"/>
        <w:rPr>
          <w:b/>
        </w:rPr>
      </w:pPr>
      <w:r w:rsidRPr="002B17C3">
        <w:t xml:space="preserve">Formulate a balanced Land-use Planning Policy </w:t>
      </w:r>
    </w:p>
    <w:p w:rsidR="006C7C0B" w:rsidRPr="002B17C3" w:rsidRDefault="006C7C0B" w:rsidP="00C432E0">
      <w:pPr>
        <w:numPr>
          <w:ilvl w:val="1"/>
          <w:numId w:val="2"/>
        </w:numPr>
        <w:tabs>
          <w:tab w:val="num" w:pos="720"/>
          <w:tab w:val="num" w:pos="2880"/>
        </w:tabs>
        <w:spacing w:before="0" w:after="0" w:line="276" w:lineRule="auto"/>
        <w:rPr>
          <w:b/>
        </w:rPr>
      </w:pPr>
      <w:r w:rsidRPr="002B17C3">
        <w:t>Study India, Korea, Thailand and Indonesia</w:t>
      </w:r>
    </w:p>
    <w:p w:rsidR="006C7C0B" w:rsidRPr="002B17C3" w:rsidRDefault="006C7C0B" w:rsidP="00C432E0">
      <w:pPr>
        <w:numPr>
          <w:ilvl w:val="0"/>
          <w:numId w:val="2"/>
        </w:numPr>
        <w:tabs>
          <w:tab w:val="num" w:pos="2880"/>
        </w:tabs>
        <w:spacing w:before="0" w:after="0" w:line="276" w:lineRule="auto"/>
        <w:rPr>
          <w:b/>
        </w:rPr>
      </w:pPr>
      <w:r w:rsidRPr="002B17C3">
        <w:t>Prepare land-use plan/spatial plan</w:t>
      </w:r>
    </w:p>
    <w:p w:rsidR="006C7C0B" w:rsidRPr="002B17C3" w:rsidRDefault="006C7C0B" w:rsidP="00C432E0">
      <w:pPr>
        <w:numPr>
          <w:ilvl w:val="1"/>
          <w:numId w:val="2"/>
        </w:numPr>
        <w:tabs>
          <w:tab w:val="num" w:pos="720"/>
          <w:tab w:val="num" w:pos="2880"/>
        </w:tabs>
        <w:spacing w:before="0" w:after="0" w:line="276" w:lineRule="auto"/>
        <w:rPr>
          <w:b/>
        </w:rPr>
      </w:pPr>
      <w:r w:rsidRPr="002B17C3">
        <w:t>Spatial plan at three levels: national, regional and rural</w:t>
      </w:r>
    </w:p>
    <w:p w:rsidR="006C7C0B" w:rsidRPr="002B17C3" w:rsidRDefault="006C7C0B" w:rsidP="00C432E0">
      <w:pPr>
        <w:numPr>
          <w:ilvl w:val="1"/>
          <w:numId w:val="2"/>
        </w:numPr>
        <w:tabs>
          <w:tab w:val="num" w:pos="720"/>
          <w:tab w:val="num" w:pos="2880"/>
        </w:tabs>
        <w:spacing w:before="0" w:after="0" w:line="276" w:lineRule="auto"/>
        <w:rPr>
          <w:b/>
        </w:rPr>
      </w:pPr>
      <w:r w:rsidRPr="002B17C3">
        <w:t>City spatial plans should be treated separately</w:t>
      </w:r>
    </w:p>
    <w:p w:rsidR="006C7C0B" w:rsidRPr="002B17C3" w:rsidRDefault="006C7C0B" w:rsidP="00C432E0">
      <w:pPr>
        <w:numPr>
          <w:ilvl w:val="1"/>
          <w:numId w:val="2"/>
        </w:numPr>
        <w:tabs>
          <w:tab w:val="num" w:pos="720"/>
          <w:tab w:val="num" w:pos="2880"/>
        </w:tabs>
        <w:spacing w:before="0" w:after="0" w:line="276" w:lineRule="auto"/>
        <w:rPr>
          <w:b/>
        </w:rPr>
      </w:pPr>
      <w:r w:rsidRPr="002B17C3">
        <w:t>Rural spatial plans have to be sensitive to food security concerns (Compact township – Salim Rashid)</w:t>
      </w:r>
    </w:p>
    <w:p w:rsidR="006C7C0B" w:rsidRPr="002B17C3" w:rsidRDefault="006C7C0B" w:rsidP="00C432E0">
      <w:pPr>
        <w:numPr>
          <w:ilvl w:val="1"/>
          <w:numId w:val="2"/>
        </w:numPr>
        <w:tabs>
          <w:tab w:val="num" w:pos="720"/>
          <w:tab w:val="num" w:pos="2880"/>
        </w:tabs>
        <w:spacing w:before="0" w:after="0" w:line="276" w:lineRule="auto"/>
        <w:rPr>
          <w:b/>
        </w:rPr>
      </w:pPr>
      <w:r w:rsidRPr="002B17C3">
        <w:t>All spatial plans should be interlinked as land-use decisions cannot be taken in isolation</w:t>
      </w:r>
    </w:p>
    <w:p w:rsidR="006C7C0B" w:rsidRPr="002B17C3" w:rsidRDefault="006C7C0B" w:rsidP="00C432E0">
      <w:pPr>
        <w:numPr>
          <w:ilvl w:val="0"/>
          <w:numId w:val="2"/>
        </w:numPr>
        <w:tabs>
          <w:tab w:val="num" w:pos="2880"/>
        </w:tabs>
        <w:spacing w:before="0" w:after="0" w:line="276" w:lineRule="auto"/>
        <w:rPr>
          <w:b/>
        </w:rPr>
      </w:pPr>
      <w:r w:rsidRPr="002B17C3">
        <w:t>Pay special attention to land administration</w:t>
      </w:r>
    </w:p>
    <w:p w:rsidR="006C7C0B" w:rsidRPr="002B17C3" w:rsidRDefault="006C7C0B" w:rsidP="00C432E0">
      <w:pPr>
        <w:numPr>
          <w:ilvl w:val="1"/>
          <w:numId w:val="2"/>
        </w:numPr>
        <w:tabs>
          <w:tab w:val="num" w:pos="720"/>
          <w:tab w:val="num" w:pos="2880"/>
        </w:tabs>
        <w:spacing w:before="0" w:after="0" w:line="276" w:lineRule="auto"/>
        <w:rPr>
          <w:b/>
        </w:rPr>
      </w:pPr>
      <w:r w:rsidRPr="002B17C3">
        <w:t>Land Records Management</w:t>
      </w:r>
    </w:p>
    <w:p w:rsidR="006C7C0B" w:rsidRPr="002B17C3" w:rsidRDefault="006C7C0B" w:rsidP="00C432E0">
      <w:pPr>
        <w:numPr>
          <w:ilvl w:val="1"/>
          <w:numId w:val="2"/>
        </w:numPr>
        <w:tabs>
          <w:tab w:val="num" w:pos="720"/>
          <w:tab w:val="num" w:pos="2880"/>
        </w:tabs>
        <w:spacing w:before="0" w:after="0" w:line="276" w:lineRule="auto"/>
        <w:rPr>
          <w:b/>
        </w:rPr>
      </w:pPr>
      <w:r w:rsidRPr="002B17C3">
        <w:t>Digitized Land Information System</w:t>
      </w:r>
    </w:p>
    <w:p w:rsidR="006C7C0B" w:rsidRPr="002B17C3" w:rsidRDefault="006C7C0B" w:rsidP="00C432E0">
      <w:pPr>
        <w:numPr>
          <w:ilvl w:val="1"/>
          <w:numId w:val="2"/>
        </w:numPr>
        <w:tabs>
          <w:tab w:val="num" w:pos="720"/>
          <w:tab w:val="num" w:pos="2880"/>
        </w:tabs>
        <w:spacing w:before="0" w:after="0" w:line="276" w:lineRule="auto"/>
        <w:rPr>
          <w:b/>
        </w:rPr>
      </w:pPr>
      <w:r w:rsidRPr="002B17C3">
        <w:t>Alternative Dispute Resolution (ADR) Mechanism</w:t>
      </w:r>
    </w:p>
    <w:p w:rsidR="006C7C0B" w:rsidRPr="002B17C3" w:rsidRDefault="006C7C0B" w:rsidP="00C432E0">
      <w:pPr>
        <w:numPr>
          <w:ilvl w:val="1"/>
          <w:numId w:val="2"/>
        </w:numPr>
        <w:tabs>
          <w:tab w:val="num" w:pos="720"/>
          <w:tab w:val="num" w:pos="2880"/>
        </w:tabs>
        <w:spacing w:before="0" w:after="0" w:line="276" w:lineRule="auto"/>
        <w:rPr>
          <w:b/>
        </w:rPr>
      </w:pPr>
      <w:r w:rsidRPr="002B17C3">
        <w:t>Land governance including land registration (“Economic historians argue that societies that were able to offer sound property rights created the early conditions for economic development (North, 1981; DeLong and Shleifer, 1992; Acemoglu and Robinson, 2012</w:t>
      </w:r>
      <w:proofErr w:type="gramStart"/>
      <w:r w:rsidRPr="002B17C3">
        <w:t>.”…</w:t>
      </w:r>
      <w:proofErr w:type="gramEnd"/>
      <w:r w:rsidRPr="002B17C3">
        <w:t>””…being registered reduces the likelihood of dispute on a particular land…” – Ashikur 2016).</w:t>
      </w:r>
    </w:p>
    <w:p w:rsidR="006C7C0B" w:rsidRPr="00C432E0" w:rsidRDefault="006C7C0B" w:rsidP="00C432E0">
      <w:pPr>
        <w:numPr>
          <w:ilvl w:val="1"/>
          <w:numId w:val="2"/>
        </w:numPr>
        <w:tabs>
          <w:tab w:val="num" w:pos="720"/>
          <w:tab w:val="num" w:pos="2880"/>
        </w:tabs>
        <w:spacing w:before="0" w:after="200" w:line="276" w:lineRule="auto"/>
        <w:rPr>
          <w:b/>
        </w:rPr>
      </w:pPr>
      <w:r w:rsidRPr="002B17C3">
        <w:t>Revision of the National Land-use policy</w:t>
      </w:r>
    </w:p>
    <w:p w:rsidR="00C432E0" w:rsidRDefault="00C432E0" w:rsidP="00903CAF">
      <w:pPr>
        <w:tabs>
          <w:tab w:val="num" w:pos="720"/>
          <w:tab w:val="num" w:pos="2880"/>
        </w:tabs>
        <w:spacing w:before="0" w:after="200" w:line="276" w:lineRule="auto"/>
      </w:pPr>
      <w:r>
        <w:rPr>
          <w:rFonts w:eastAsia="Times New Roman"/>
        </w:rPr>
        <w:t>Bangladesh is committed to intellectual property rights (IPR) protection but has limited resources to do so. This does not augur well for Bangladesh’s aspiration to be a major player in the ICT market of the future. Bangladesh has to make more serious effort to bring its legal and regulatory framework in compliance with UNCTAD’s Agreement on Trade-Related Aspects of Intellectual Property Rights (TRIPS). Current efforts are limited to Patent and Design Law 1911, 2000 Copyright Law (amended 2005), Trademarks Act 2009, Trademarks Act (amendment) 2015, Trademarks Regulations 2015, and draft Patent Act 2014.</w:t>
      </w:r>
    </w:p>
    <w:p w:rsidR="00194BB9" w:rsidRDefault="001A3A1F" w:rsidP="00903CAF">
      <w:pPr>
        <w:tabs>
          <w:tab w:val="num" w:pos="720"/>
          <w:tab w:val="num" w:pos="2880"/>
        </w:tabs>
        <w:spacing w:before="0" w:after="200" w:line="276" w:lineRule="auto"/>
      </w:pPr>
      <w:r w:rsidRPr="002B17C3">
        <w:t>Marketing regulations are diverse dealing with land, labor, capital, product and services. These regulations are of necessity work in progress subject to regular review and adjustments</w:t>
      </w:r>
      <w:r w:rsidR="00BB201E">
        <w:t xml:space="preserve"> and </w:t>
      </w:r>
      <w:r w:rsidRPr="002B17C3">
        <w:t xml:space="preserve">amendments consistent with structural transformation under way. </w:t>
      </w:r>
    </w:p>
    <w:p w:rsidR="00475A25" w:rsidRPr="002B17C3" w:rsidRDefault="004205C0" w:rsidP="00475A25">
      <w:pPr>
        <w:tabs>
          <w:tab w:val="num" w:pos="720"/>
          <w:tab w:val="num" w:pos="2880"/>
        </w:tabs>
        <w:spacing w:before="0" w:after="200" w:line="276" w:lineRule="auto"/>
        <w:rPr>
          <w:b/>
        </w:rPr>
      </w:pPr>
      <w:r w:rsidRPr="002B17C3">
        <w:rPr>
          <w:color w:val="000000"/>
        </w:rPr>
        <w:t xml:space="preserve">Role of </w:t>
      </w:r>
      <w:r w:rsidR="008C5C59" w:rsidRPr="002B17C3">
        <w:rPr>
          <w:color w:val="000000"/>
        </w:rPr>
        <w:t>labor</w:t>
      </w:r>
      <w:r w:rsidRPr="002B17C3">
        <w:rPr>
          <w:color w:val="000000"/>
        </w:rPr>
        <w:t xml:space="preserve"> and industrial laws are of paramount importance.</w:t>
      </w:r>
      <w:r w:rsidR="008C5C59" w:rsidRPr="002B17C3">
        <w:rPr>
          <w:color w:val="000000"/>
        </w:rPr>
        <w:t xml:space="preserve"> The protection of labor rights, resolution of labor disputes, rights of labor to unions, health, security and safety of labor, minimum wage protection, training and labor mobility, protection of migrant labor are all critical issue to be considered. In Bangladesh, a plethora of labor laws exists relating to (a) wages and employment, (b) trade union &amp; industrial disputes, (c) working environment and (d) labor </w:t>
      </w:r>
      <w:r w:rsidR="008C5C59" w:rsidRPr="002B17C3">
        <w:rPr>
          <w:color w:val="000000"/>
        </w:rPr>
        <w:lastRenderedPageBreak/>
        <w:t xml:space="preserve">administration and related matters. </w:t>
      </w:r>
      <w:r w:rsidR="006C7C0B" w:rsidRPr="002B17C3">
        <w:rPr>
          <w:color w:val="000000"/>
        </w:rPr>
        <w:t xml:space="preserve">Following domestic and international concerns regarding the labor welfare in Bangladesh, amendments to the Bangladesh Labor Act 2006 were adopted on 15 July 2013. These amendments address among others freedom of association and collective bargaining and work place safety and health. </w:t>
      </w:r>
      <w:r w:rsidR="006B5BC8" w:rsidRPr="002B17C3">
        <w:rPr>
          <w:color w:val="000000"/>
        </w:rPr>
        <w:t xml:space="preserve">Minimum wages are set under labor act by the Minimum Wage Board. </w:t>
      </w:r>
      <w:r w:rsidR="0062053D" w:rsidRPr="002B17C3">
        <w:rPr>
          <w:color w:val="000000"/>
        </w:rPr>
        <w:t>Subsequently</w:t>
      </w:r>
      <w:r w:rsidR="006B5BC8" w:rsidRPr="002B17C3">
        <w:rPr>
          <w:color w:val="000000"/>
        </w:rPr>
        <w:t>,</w:t>
      </w:r>
      <w:r w:rsidR="0062053D" w:rsidRPr="002B17C3">
        <w:rPr>
          <w:color w:val="000000"/>
        </w:rPr>
        <w:t xml:space="preserve"> the Bangladesh government introduced the Bangladesh </w:t>
      </w:r>
      <w:proofErr w:type="spellStart"/>
      <w:r w:rsidR="0062053D" w:rsidRPr="002B17C3">
        <w:rPr>
          <w:color w:val="000000"/>
        </w:rPr>
        <w:t>Labour</w:t>
      </w:r>
      <w:proofErr w:type="spellEnd"/>
      <w:r w:rsidR="0062053D" w:rsidRPr="002B17C3">
        <w:rPr>
          <w:color w:val="000000"/>
        </w:rPr>
        <w:t xml:space="preserve"> Rules 2015 on September 15, 2015 defining conditions of employment and other issues. </w:t>
      </w:r>
      <w:r w:rsidR="008C5C59" w:rsidRPr="002B17C3">
        <w:rPr>
          <w:color w:val="000000"/>
        </w:rPr>
        <w:t xml:space="preserve">This study will briefly review these </w:t>
      </w:r>
      <w:r w:rsidR="0062053D" w:rsidRPr="002B17C3">
        <w:rPr>
          <w:color w:val="000000"/>
        </w:rPr>
        <w:t xml:space="preserve">developments </w:t>
      </w:r>
      <w:r w:rsidR="008C5C59" w:rsidRPr="002B17C3">
        <w:rPr>
          <w:color w:val="000000"/>
        </w:rPr>
        <w:t xml:space="preserve">and suggest a road map for the future to protect labor interest in order to </w:t>
      </w:r>
      <w:r w:rsidR="0062053D" w:rsidRPr="002B17C3">
        <w:rPr>
          <w:color w:val="000000"/>
        </w:rPr>
        <w:t xml:space="preserve">be consistent with international standards and </w:t>
      </w:r>
      <w:r w:rsidR="008C5C59" w:rsidRPr="002B17C3">
        <w:rPr>
          <w:color w:val="000000"/>
        </w:rPr>
        <w:t>maximize its productive contribution to Bangladesh’s journey towards a developed society.</w:t>
      </w:r>
      <w:r w:rsidR="00475A25" w:rsidRPr="00475A25">
        <w:rPr>
          <w:color w:val="000000"/>
        </w:rPr>
        <w:t xml:space="preserve"> </w:t>
      </w:r>
      <w:r w:rsidR="00475A25" w:rsidRPr="00FF2844">
        <w:rPr>
          <w:color w:val="000000"/>
        </w:rPr>
        <w:t>The target is to ensure that during the SPPB period labor laws are effectively implemented in favor of labor while protecting legitimate rights of the capital and keeping laws and regulations under review for periodic reconsideration of emerging issues as the environment changes.</w:t>
      </w:r>
      <w:r w:rsidR="00475A25" w:rsidRPr="002B17C3">
        <w:t xml:space="preserve"> </w:t>
      </w:r>
    </w:p>
    <w:p w:rsidR="00194BB9" w:rsidRPr="002B17C3" w:rsidRDefault="00194BB9" w:rsidP="00903CAF">
      <w:pPr>
        <w:tabs>
          <w:tab w:val="num" w:pos="720"/>
          <w:tab w:val="num" w:pos="2880"/>
        </w:tabs>
        <w:spacing w:before="0" w:after="200" w:line="276" w:lineRule="auto"/>
        <w:rPr>
          <w:b/>
        </w:rPr>
      </w:pPr>
      <w:r w:rsidRPr="00FF2844">
        <w:t>The targets for 2041 are: (</w:t>
      </w:r>
      <w:proofErr w:type="spellStart"/>
      <w:r w:rsidRPr="00FF2844">
        <w:t>i</w:t>
      </w:r>
      <w:proofErr w:type="spellEnd"/>
      <w:r w:rsidRPr="00FF2844">
        <w:t>) effective land governance and administration, (ii) effective implementation of the 2010 Labor Law with 2013 amendments, (iii) securing property rights including intellectual property, and (iv) marketing regulations ensuring operation of the free market principles with appropriate checks and balances removing all barriers to entry,</w:t>
      </w:r>
    </w:p>
    <w:p w:rsidR="00524DF8" w:rsidRPr="00A15490" w:rsidRDefault="00524DF8" w:rsidP="00397FED">
      <w:pPr>
        <w:pStyle w:val="ListParagraph"/>
        <w:numPr>
          <w:ilvl w:val="0"/>
          <w:numId w:val="1"/>
        </w:numPr>
        <w:spacing w:before="0" w:after="200" w:line="276" w:lineRule="auto"/>
        <w:contextualSpacing w:val="0"/>
        <w:rPr>
          <w:rFonts w:ascii="Times New Roman" w:hAnsi="Times New Roman" w:cs="Times New Roman"/>
          <w:b/>
          <w:caps/>
          <w:color w:val="0070C0"/>
        </w:rPr>
      </w:pPr>
      <w:r w:rsidRPr="00A15490">
        <w:rPr>
          <w:rFonts w:ascii="Times New Roman" w:hAnsi="Times New Roman" w:cs="Times New Roman"/>
          <w:b/>
          <w:caps/>
          <w:color w:val="0070C0"/>
        </w:rPr>
        <w:t>Decentralization and Deconcentration – Search for a Balance</w:t>
      </w:r>
    </w:p>
    <w:p w:rsidR="003B0396" w:rsidRDefault="003B0396" w:rsidP="00990D25">
      <w:pPr>
        <w:spacing w:before="0" w:after="200" w:line="276" w:lineRule="auto"/>
        <w:rPr>
          <w:color w:val="000000"/>
        </w:rPr>
      </w:pPr>
      <w:r>
        <w:t>Several authors (Salmon 2012) have suggested that both cross-country as well as individual country data do not show robust and statistically significant relation between decentralization and economic growth. This finding is also borne out by 64 country analysis in this paper showing that without any form of decentralization 50% of countries achieved r</w:t>
      </w:r>
      <w:r w:rsidRPr="00F671DE">
        <w:t>apid growth (5% and +)</w:t>
      </w:r>
      <w:r>
        <w:t xml:space="preserve"> and 25% of countries achieved m</w:t>
      </w:r>
      <w:r w:rsidRPr="00F671DE">
        <w:t>odest growth (3 -&lt; 5%)</w:t>
      </w:r>
      <w:r>
        <w:t xml:space="preserve">. On the other hand, </w:t>
      </w:r>
      <w:proofErr w:type="spellStart"/>
      <w:r>
        <w:t>Treisman</w:t>
      </w:r>
      <w:proofErr w:type="spellEnd"/>
      <w:r>
        <w:t xml:space="preserve"> (2002) showed statistically significant correlations between the log of 1995 per capita GNP, in purchasing power parity terms and various indicators of decentralization, negative for vertical decentralization but positive for decision-making decentralization, electoral decentralization, fiscal decentralization and personnel decentralization. That is good news for Bangladesh in which f</w:t>
      </w:r>
      <w:r w:rsidRPr="00FC2E96">
        <w:t xml:space="preserve">iscal, administrative and economic management authority </w:t>
      </w:r>
      <w:r>
        <w:t xml:space="preserve">has not been </w:t>
      </w:r>
      <w:r w:rsidRPr="00FC2E96">
        <w:t>effectively decentralized</w:t>
      </w:r>
      <w:r>
        <w:t xml:space="preserve"> but transition to democracy resulted in accelerated rapid economic growth and rapid reduction in poverty. With evidence on both sides, one can only safely say that the power of decentralization is exerted through democratic good governance. Cross-country analysis shows significant correlation between decentralization and democracy. The latter has brought accelerated growth in Bangladesh implying that decentralization may contribute to growth by strengthening democracy.</w:t>
      </w:r>
      <w:r w:rsidRPr="00DA166D">
        <w:t xml:space="preserve"> </w:t>
      </w:r>
      <w:r>
        <w:t>In other words, decentralization may contribute to growth by strengthening democracy.</w:t>
      </w:r>
    </w:p>
    <w:p w:rsidR="00990D25" w:rsidRDefault="00990D25" w:rsidP="00990D25">
      <w:pPr>
        <w:spacing w:before="0" w:after="200" w:line="276" w:lineRule="auto"/>
        <w:rPr>
          <w:color w:val="000000"/>
        </w:rPr>
      </w:pPr>
      <w:r>
        <w:rPr>
          <w:color w:val="000000"/>
        </w:rPr>
        <w:t>Decentralization unleashes people’s power so crucial to win victory against all odds as noted by the Supreme Court in connection with its ruling on the 16</w:t>
      </w:r>
      <w:r w:rsidRPr="006F63F1">
        <w:rPr>
          <w:color w:val="000000"/>
          <w:vertAlign w:val="superscript"/>
        </w:rPr>
        <w:t>th</w:t>
      </w:r>
      <w:r>
        <w:rPr>
          <w:color w:val="000000"/>
        </w:rPr>
        <w:t xml:space="preserve"> amendment. The SC took a very strong position in favor of people’s power.  in the following quotes retrieved from the Daily Star August 03, 2017.</w:t>
      </w:r>
    </w:p>
    <w:p w:rsidR="00990D25" w:rsidRPr="00A72DA6" w:rsidRDefault="00990D25" w:rsidP="00990D25">
      <w:pPr>
        <w:spacing w:before="0" w:after="200"/>
        <w:ind w:left="720"/>
        <w:rPr>
          <w:rFonts w:eastAsia="Times New Roman"/>
          <w:color w:val="000000"/>
          <w:sz w:val="20"/>
          <w:szCs w:val="20"/>
        </w:rPr>
      </w:pPr>
      <w:r w:rsidRPr="00A72DA6">
        <w:rPr>
          <w:rFonts w:eastAsia="Times New Roman"/>
          <w:color w:val="000000"/>
          <w:sz w:val="20"/>
          <w:szCs w:val="20"/>
        </w:rPr>
        <w:lastRenderedPageBreak/>
        <w:t xml:space="preserve">"We fought a ferocious military force equipped with all modern weaponry and trained personnel -- we fought against them with courage and valour -- what really gave us the advantage over them? </w:t>
      </w:r>
      <w:proofErr w:type="gramStart"/>
      <w:r w:rsidRPr="00A72DA6">
        <w:rPr>
          <w:rFonts w:eastAsia="Times New Roman"/>
          <w:color w:val="000000"/>
          <w:sz w:val="20"/>
          <w:szCs w:val="20"/>
        </w:rPr>
        <w:t>Were</w:t>
      </w:r>
      <w:proofErr w:type="gramEnd"/>
      <w:r w:rsidRPr="00A72DA6">
        <w:rPr>
          <w:rFonts w:eastAsia="Times New Roman"/>
          <w:color w:val="000000"/>
          <w:sz w:val="20"/>
          <w:szCs w:val="20"/>
        </w:rPr>
        <w:t xml:space="preserve"> it arms and weapon only? The answer is No," observed the apex court. </w:t>
      </w:r>
    </w:p>
    <w:p w:rsidR="00990D25" w:rsidRPr="00A72DA6" w:rsidRDefault="00990D25" w:rsidP="00990D25">
      <w:pPr>
        <w:spacing w:before="0" w:after="200"/>
        <w:ind w:left="720"/>
        <w:rPr>
          <w:rFonts w:eastAsia="Times New Roman"/>
          <w:color w:val="000000"/>
          <w:sz w:val="20"/>
          <w:szCs w:val="20"/>
        </w:rPr>
      </w:pPr>
      <w:r w:rsidRPr="00A72DA6">
        <w:rPr>
          <w:rFonts w:eastAsia="Times New Roman"/>
          <w:color w:val="000000"/>
          <w:sz w:val="20"/>
          <w:szCs w:val="20"/>
        </w:rPr>
        <w:t>“It was the stupendous courage of 'We the people' of this land. It was the readiness for supreme sacrifice if necessary and unsurmountable feeling of commonness for fellow people of this land that made us unconquerable by the Pakistani military power,” said the SC.</w:t>
      </w:r>
    </w:p>
    <w:p w:rsidR="00990D25" w:rsidRPr="00A72DA6" w:rsidRDefault="00990D25" w:rsidP="00990D25">
      <w:pPr>
        <w:spacing w:before="0" w:after="200"/>
        <w:ind w:left="720"/>
        <w:rPr>
          <w:rFonts w:eastAsia="Times New Roman"/>
          <w:color w:val="000000"/>
          <w:sz w:val="20"/>
          <w:szCs w:val="20"/>
        </w:rPr>
      </w:pPr>
      <w:r w:rsidRPr="00A72DA6">
        <w:rPr>
          <w:rFonts w:eastAsia="Times New Roman"/>
          <w:color w:val="000000"/>
          <w:sz w:val="20"/>
          <w:szCs w:val="20"/>
        </w:rPr>
        <w:t>It said the founding fathers of Bangladesh, keeping in mind the struggle against the tyrannical rulers, gave all powers of the republic to the people under article 7. “Thus, if we carefully look into the philosophy of our political existence, we unfailingly see that the citizens of our country are woven by a common thread called 'we the people'.</w:t>
      </w:r>
    </w:p>
    <w:p w:rsidR="00990D25" w:rsidRPr="00A72DA6" w:rsidRDefault="00990D25" w:rsidP="00990D25">
      <w:pPr>
        <w:spacing w:before="0" w:after="200"/>
        <w:ind w:left="720"/>
        <w:rPr>
          <w:rFonts w:eastAsia="Times New Roman"/>
          <w:color w:val="000000"/>
          <w:sz w:val="20"/>
          <w:szCs w:val="20"/>
        </w:rPr>
      </w:pPr>
      <w:r w:rsidRPr="00A72DA6">
        <w:rPr>
          <w:rFonts w:eastAsia="Times New Roman"/>
          <w:color w:val="000000"/>
          <w:sz w:val="20"/>
          <w:szCs w:val="20"/>
        </w:rPr>
        <w:t>"Now that we are living in a free, independent and sovereign country, however, we are indulging in arrogance and ignorance which threaten the very precious tie and thread of 'we'.</w:t>
      </w:r>
    </w:p>
    <w:p w:rsidR="00990D25" w:rsidRPr="00A72DA6" w:rsidRDefault="00990D25" w:rsidP="00990D25">
      <w:pPr>
        <w:spacing w:before="0" w:after="200"/>
        <w:ind w:left="720"/>
        <w:rPr>
          <w:color w:val="000000"/>
          <w:sz w:val="20"/>
          <w:szCs w:val="20"/>
        </w:rPr>
      </w:pPr>
      <w:r w:rsidRPr="00A72DA6">
        <w:rPr>
          <w:rFonts w:eastAsia="Times New Roman"/>
          <w:color w:val="000000"/>
          <w:sz w:val="20"/>
          <w:szCs w:val="20"/>
        </w:rPr>
        <w:t>"No nation, no country is made of or by one person. If we want to truly live up to the dream of Sonar Bangla as advocated by our father of the nation, we must keep ourselves free from this suicidal ambition and addiction of 'I' ness. That only one person or one man did all this and etc."</w:t>
      </w:r>
    </w:p>
    <w:p w:rsidR="00990D25" w:rsidRDefault="00990D25" w:rsidP="00990D25">
      <w:pPr>
        <w:spacing w:before="0" w:after="200" w:line="276" w:lineRule="auto"/>
      </w:pPr>
      <w:r>
        <w:rPr>
          <w:color w:val="000000"/>
        </w:rPr>
        <w:t>Decentralization has implication for political rights and civil liberties that constitute freedom. Global Freedom score data for 90 countries (Freedom House 2017) was found to be significantly correlated with indicators of prosperity like GDP per capita, grow fixed capital formation and total trade.</w:t>
      </w:r>
    </w:p>
    <w:p w:rsidR="00524DF8" w:rsidRPr="002B17C3" w:rsidRDefault="00524DF8" w:rsidP="00903CAF">
      <w:pPr>
        <w:spacing w:before="0" w:after="200" w:line="276" w:lineRule="auto"/>
        <w:rPr>
          <w:b/>
        </w:rPr>
      </w:pPr>
      <w:r w:rsidRPr="002B17C3">
        <w:t>This study deal</w:t>
      </w:r>
      <w:r w:rsidR="00861C4C">
        <w:t>s</w:t>
      </w:r>
      <w:r w:rsidRPr="002B17C3">
        <w:t xml:space="preserve"> on the ideal balance between </w:t>
      </w:r>
      <w:r w:rsidR="00861C4C" w:rsidRPr="002B17C3">
        <w:t xml:space="preserve">decentralization </w:t>
      </w:r>
      <w:r w:rsidR="00861C4C">
        <w:t>and de</w:t>
      </w:r>
      <w:r w:rsidRPr="002B17C3">
        <w:t xml:space="preserve">concentration of power in handling regulations to stimulate growth and poverty reduction, with in-depth focus on devolution of fiscal and economic management authority (taxing and spending) drawing on the framework for decentralization presented in Figure 5. </w:t>
      </w:r>
      <w:r w:rsidR="00850797" w:rsidRPr="002B17C3">
        <w:t>Local government function and effectiveness have been handicapped by delayed decentralization and empowerment. The absence of fiscal decentralization means local governments are dependent on the national budget for resources.  This in turn requires them to tow the party line of the government in power for survival. Since independence of Bangladesh, all governments have talked about decentralization and devolution of power which has not happened in effect. Recent amendment to Local Government Act giving upper hand to local MPs is resented by many.</w:t>
      </w:r>
      <w:r w:rsidR="00FD4DA9" w:rsidRPr="002B17C3">
        <w:t xml:space="preserve"> This study examine</w:t>
      </w:r>
      <w:r w:rsidR="000C5E62">
        <w:t>s</w:t>
      </w:r>
      <w:r w:rsidR="00FD4DA9" w:rsidRPr="002B17C3">
        <w:t xml:space="preserve"> how lack of focused attention as well as a strong political commitment to boldly proceed with the long awaited </w:t>
      </w:r>
      <w:r w:rsidR="00FD4DA9" w:rsidRPr="002B17C3">
        <w:rPr>
          <w:rStyle w:val="yiv5597070818"/>
          <w:color w:val="000000"/>
        </w:rPr>
        <w:t xml:space="preserve">decentralization and devolution of government powers to local levels has impacted on growth and poverty reduction in Bangladesh. It is argued that for structural transformation towards a developed society by 2041, measures are needed to revitalize and strengthen the existing local government institutions especially the </w:t>
      </w:r>
      <w:r w:rsidR="00FD4DA9" w:rsidRPr="002B17C3">
        <w:rPr>
          <w:rStyle w:val="yiv5597070818"/>
          <w:i/>
          <w:color w:val="000000"/>
        </w:rPr>
        <w:t>union Parishad</w:t>
      </w:r>
      <w:r w:rsidR="00FD4DA9" w:rsidRPr="002B17C3">
        <w:rPr>
          <w:rStyle w:val="yiv5597070818"/>
          <w:color w:val="000000"/>
        </w:rPr>
        <w:t xml:space="preserve">, the </w:t>
      </w:r>
      <w:r w:rsidR="00FD4DA9" w:rsidRPr="002B17C3">
        <w:rPr>
          <w:rStyle w:val="yiv5597070818"/>
          <w:i/>
          <w:color w:val="000000"/>
        </w:rPr>
        <w:t>Upazilla Parishad</w:t>
      </w:r>
      <w:r w:rsidR="00FD4DA9" w:rsidRPr="002B17C3">
        <w:rPr>
          <w:rStyle w:val="yiv5597070818"/>
          <w:color w:val="000000"/>
        </w:rPr>
        <w:t xml:space="preserve"> and the </w:t>
      </w:r>
      <w:r w:rsidR="00FD4DA9" w:rsidRPr="002B17C3">
        <w:rPr>
          <w:rStyle w:val="yiv5597070818"/>
          <w:i/>
          <w:color w:val="000000"/>
        </w:rPr>
        <w:t>Zilla Parishad</w:t>
      </w:r>
      <w:r w:rsidR="00FD4DA9" w:rsidRPr="002B17C3">
        <w:rPr>
          <w:rStyle w:val="yiv5597070818"/>
          <w:color w:val="000000"/>
        </w:rPr>
        <w:t>.</w:t>
      </w:r>
      <w:r w:rsidR="00FD4DA9" w:rsidRPr="002B17C3">
        <w:t xml:space="preserve"> Decentralization of governmental powers at union, upazilla and zilla levels of the local governments has been attempted by successive regimes since the colonial period</w:t>
      </w:r>
      <w:r w:rsidR="000C5E62">
        <w:t xml:space="preserve"> without meaningful transfer of power or functions. </w:t>
      </w:r>
      <w:r w:rsidR="00FD4DA9" w:rsidRPr="002B17C3">
        <w:t>History shows, whatever measures have been taken to further decentralize the government, have only resulted in still greater centralization and concentration of powers</w:t>
      </w:r>
      <w:r w:rsidR="009473EF" w:rsidRPr="002B17C3">
        <w:t xml:space="preserve">. According to Khalid Shams (2015), “If democratization is to strike roots, that will allow people, in particular women who make up half of the population, to effectively participate in decision making, existing local government institutions need to be </w:t>
      </w:r>
      <w:r w:rsidR="009473EF" w:rsidRPr="002B17C3">
        <w:lastRenderedPageBreak/>
        <w:t xml:space="preserve">revived. There is no other way to break the current logjam, but to generate necessary political will and create a broad consensus to achieve this goal.” Is working through provinces an answer </w:t>
      </w:r>
      <w:r w:rsidR="00083574">
        <w:t xml:space="preserve">to </w:t>
      </w:r>
      <w:r w:rsidR="009473EF" w:rsidRPr="002B17C3">
        <w:t xml:space="preserve">devolution as in Cambodia, the Philippines, Sri Lanka and Thailand? </w:t>
      </w:r>
    </w:p>
    <w:p w:rsidR="004205C0" w:rsidRPr="002B17C3" w:rsidRDefault="00850797" w:rsidP="00903CAF">
      <w:pPr>
        <w:spacing w:before="0" w:after="200" w:line="276" w:lineRule="auto"/>
        <w:rPr>
          <w:b/>
        </w:rPr>
      </w:pPr>
      <w:r w:rsidRPr="002B17C3">
        <w:t xml:space="preserve">While the absence of an effective local government system adversely affects the performance of public administration in general, this gap is felt most acutely in urban governance and quality of city life.  As Bangladesh is making progress its economic structure is changing with rapid decline in agriculture and expansion of manufacturing and services.  This change economic structure has major spatial dimensions reflected in rising concentration of activities in urban centres and concomitant intensity of urbanization.  This growing urbanization is a natural factor of development progress and cannot be stopped.  The challenge for policy is how best to manage this. Choices involve: (1) heavy concentration of urbanization in a few city </w:t>
      </w:r>
      <w:r w:rsidR="000C5E62" w:rsidRPr="002B17C3">
        <w:t>centers; (</w:t>
      </w:r>
      <w:r w:rsidRPr="002B17C3">
        <w:t xml:space="preserve">2) spreading urbanization to a larger number of city </w:t>
      </w:r>
      <w:r w:rsidR="000C5E62" w:rsidRPr="002B17C3">
        <w:t>centers; (</w:t>
      </w:r>
      <w:r w:rsidRPr="002B17C3">
        <w:t>3) slowing the pace of city concentration by building connectivity of rural economies to city economies (the sub-urban development concept); and (4</w:t>
      </w:r>
      <w:r w:rsidR="000C5E62" w:rsidRPr="002B17C3">
        <w:t>) some</w:t>
      </w:r>
      <w:r w:rsidRPr="002B17C3">
        <w:t xml:space="preserve"> combination of these.</w:t>
      </w:r>
    </w:p>
    <w:p w:rsidR="00850797" w:rsidRPr="00C75BC9" w:rsidRDefault="00850797" w:rsidP="00903CAF">
      <w:pPr>
        <w:spacing w:before="0" w:after="200" w:line="276" w:lineRule="auto"/>
      </w:pPr>
      <w:r w:rsidRPr="002B17C3">
        <w:t xml:space="preserve">The failure of urban governance is fast becoming a major constraint to growth and poverty reduction. The severe traffic congestion is taking a huge toll in eating up valuable time of senior business executives, </w:t>
      </w:r>
      <w:r w:rsidRPr="00C75BC9">
        <w:t>thereby lowering their productivity and increasing cost.  There is a similar loss of productivity for staff and employees of public and private sectors, including those involved with policy making and implementation. On the human front, the health hazards of water and air pollution owing to environmental degradation from poor solid waste management, poor sanitation and poor drainage is enormous.  On the poverty front, the heavy concentration of slums with zero or negligible access to basic public services is causing the urban poor to live in sub-human conditions with little recourse to public support.</w:t>
      </w:r>
    </w:p>
    <w:p w:rsidR="00C75BC9" w:rsidRDefault="00C75BC9" w:rsidP="00903CAF">
      <w:pPr>
        <w:spacing w:before="0" w:after="200" w:line="276" w:lineRule="auto"/>
      </w:pPr>
      <w:r w:rsidRPr="00C75BC9">
        <w:t>Among Asian countries Cambodia has pursued D &amp; D policy aggressively through a series of laws and sub-decrees gradually transferring power and resources to provinces, districts, municipalities, Commune/Sankat. The Commune/Sankat government is the lowest tier of Cambodian government. At each level there is a development fund with transfers from the annual national revenue to finance development and investment plans at each level under autonomous guidance of the local government. Laws and policies are in place to transfer resources and power to SNA promoting their autonomy to develop plans, manage their own resources and better coordinate planning with other tiers of administration. Line Ministries are assessing which functions to transfer to Sub-National Administrations, either permanently or on a pilot basis. The process has been under way since 2001. Given the complexity and inherent tension among actors the progress is likely to be slow</w:t>
      </w:r>
      <w:r>
        <w:t>. Cambodia is seeking the right balance between Decentralization and Deconcentration.</w:t>
      </w:r>
    </w:p>
    <w:p w:rsidR="00861C4C" w:rsidRPr="002E7449" w:rsidRDefault="00861C4C" w:rsidP="00861C4C">
      <w:pPr>
        <w:spacing w:after="200" w:line="276" w:lineRule="auto"/>
      </w:pPr>
      <w:r w:rsidRPr="002E7449">
        <w:t>The World Bank has a major supporter of the Cambodian D &amp; D program. In a recent report, the Bank has outlined some of the difficulties.</w:t>
      </w:r>
    </w:p>
    <w:p w:rsidR="00861C4C" w:rsidRDefault="00861C4C" w:rsidP="00861C4C">
      <w:pPr>
        <w:spacing w:before="0" w:after="200" w:line="276" w:lineRule="auto"/>
        <w:ind w:left="720"/>
      </w:pPr>
      <w:proofErr w:type="gramStart"/>
      <w:r w:rsidRPr="002E7449">
        <w:lastRenderedPageBreak/>
        <w:t>”Some</w:t>
      </w:r>
      <w:proofErr w:type="gramEnd"/>
      <w:r w:rsidRPr="002E7449">
        <w:t xml:space="preserve"> ministries have completed their functional mapping exercises and are making decisions about which functions to transfer to Sub-National Administrations, either permanently or on a pilot basis. For examples, the Ministry of Environment transferred functions and resources on waste management and rubbish collections to SNAs while the Ministry of Education Youth and Sport has planned to transfer functions on community kindergarten and community students. Whereas the Commune Councils have limited responsibilities and resources, the complexities of coordinating and transferring authorities from central line ministries to sub-national bodies requires a careful and phased approach.” (World Bank 2015)</w:t>
      </w:r>
    </w:p>
    <w:p w:rsidR="00887B7A" w:rsidRDefault="00E4465D" w:rsidP="00E4465D">
      <w:pPr>
        <w:spacing w:before="0" w:after="200" w:line="276" w:lineRule="auto"/>
        <w:rPr>
          <w:color w:val="333333"/>
          <w:lang w:val="en"/>
        </w:rPr>
      </w:pPr>
      <w:r w:rsidRPr="00284D15">
        <w:t>A 2011 evaluation by the Asian Development Bank (</w:t>
      </w:r>
      <w:proofErr w:type="spellStart"/>
      <w:r w:rsidRPr="00284D15">
        <w:t>Niazi</w:t>
      </w:r>
      <w:proofErr w:type="spellEnd"/>
      <w:r w:rsidRPr="00284D15">
        <w:t xml:space="preserve"> 2011) highlights complexities of the Cambodian D &amp; D reforms. The Bank </w:t>
      </w:r>
      <w:r w:rsidRPr="00284D15">
        <w:rPr>
          <w:color w:val="333333"/>
          <w:lang w:val="en"/>
        </w:rPr>
        <w:t>elaborates on the large cast of complex, and sometimes competing, institutions and the challenges of setting up an equitable and transparent intergovernmental financing system. The study suggests some critical steps for successful implementation of the reforms, including the need to develop a clear reform policy framework, obtain better coordination among government agencies and between the government and development partners, clarify uncertainties in the assignment of functions between tiers of government, design a robust system on intergovernmental financing, and develop capacities to implement the reforms.</w:t>
      </w:r>
      <w:r w:rsidR="00591D7C">
        <w:rPr>
          <w:color w:val="333333"/>
          <w:lang w:val="en"/>
        </w:rPr>
        <w:t xml:space="preserve"> ADB and World Bank observations on D &amp; D reforms are very pertinent for Bangladesh.</w:t>
      </w:r>
    </w:p>
    <w:p w:rsidR="00887B7A" w:rsidRDefault="00887B7A" w:rsidP="00E4465D">
      <w:pPr>
        <w:spacing w:before="0" w:after="200" w:line="276" w:lineRule="auto"/>
        <w:rPr>
          <w:lang w:val="en"/>
        </w:rPr>
      </w:pPr>
      <w:r>
        <w:rPr>
          <w:lang w:val="en"/>
        </w:rPr>
        <w:t>Some of the other country examples of D &amp; D are provided by the World Bank (Table 12).</w:t>
      </w:r>
      <w:r>
        <w:rPr>
          <w:rStyle w:val="FootnoteReference"/>
          <w:lang w:val="en"/>
        </w:rPr>
        <w:footnoteReference w:id="13"/>
      </w:r>
      <w:r w:rsidR="00BA313B">
        <w:rPr>
          <w:lang w:val="en"/>
        </w:rPr>
        <w:t xml:space="preserve">World Bank Country Brief on India (2015) states the following </w:t>
      </w:r>
    </w:p>
    <w:p w:rsidR="00BA313B" w:rsidRPr="00BA313B" w:rsidRDefault="00BA313B" w:rsidP="00BA313B">
      <w:pPr>
        <w:ind w:left="720"/>
        <w:rPr>
          <w:sz w:val="20"/>
          <w:szCs w:val="20"/>
          <w:lang w:val="en"/>
        </w:rPr>
      </w:pPr>
      <w:r>
        <w:rPr>
          <w:lang w:val="en"/>
        </w:rPr>
        <w:t>“</w:t>
      </w:r>
      <w:r w:rsidRPr="00BA313B">
        <w:rPr>
          <w:sz w:val="20"/>
          <w:szCs w:val="20"/>
          <w:lang w:val="en"/>
        </w:rPr>
        <w:t xml:space="preserve">The 73rd and 74th Amendments formally introduced a basic framework for a minimum level of decentralization and democratic local governance in rural and urban areas across all states in India. After ratification by more than half of the State Assemblies, the Constitution (73rd Amendment) Act of 1992 (73rd Amendment), Constitution (74th Amendment) Act of 1992 (74th Amendment) established mandatory provisions for decentralization of local governments in India. While the 73rd Amendment provides provisions for rural local bodies, the 74th Amendment deals with primarily urban local bodies.  </w:t>
      </w:r>
    </w:p>
    <w:p w:rsidR="00BA313B" w:rsidRPr="00BA313B" w:rsidRDefault="00BA313B" w:rsidP="00BA313B">
      <w:pPr>
        <w:ind w:left="720"/>
        <w:rPr>
          <w:sz w:val="20"/>
          <w:szCs w:val="20"/>
          <w:lang w:val="en"/>
        </w:rPr>
      </w:pPr>
      <w:r w:rsidRPr="00BA313B">
        <w:rPr>
          <w:sz w:val="20"/>
          <w:szCs w:val="20"/>
          <w:lang w:val="en"/>
        </w:rPr>
        <w:t xml:space="preserve">Key mandatory provisions of the 73rd Amendments include: 1) the creation of a three-tier local government structure, Panchayat Raj Institution (PRI); 2) regular PRI elections with seat reservation for Scheduled Castes/Tribes and women; 3) establishment of Gram Sabha (village assembly) to exert control over local government; and 4) periodic auditing of local governments’ accounts. Similarly, the 74th Amendment also provides for a three tier municipal system in the urban centers and requires the establishment of Ward Committees in municipalities.  </w:t>
      </w:r>
    </w:p>
    <w:p w:rsidR="00BA313B" w:rsidRPr="00BA313B" w:rsidRDefault="00BA313B" w:rsidP="00BA313B">
      <w:pPr>
        <w:ind w:left="720"/>
        <w:rPr>
          <w:sz w:val="20"/>
          <w:szCs w:val="20"/>
          <w:lang w:val="en"/>
        </w:rPr>
      </w:pPr>
      <w:r w:rsidRPr="00BA313B">
        <w:rPr>
          <w:sz w:val="20"/>
          <w:szCs w:val="20"/>
          <w:lang w:val="en"/>
        </w:rPr>
        <w:t xml:space="preserve">For the Adivasi (tribal people) and Scheduled Areas that were not covered in the 73rd or 74th Amendments, the Panchayats (Extension to the Scheduled Areas) Act of 1996 (PESA) was enacted in December 1996 to provide the extension of the provisions of Part IX of the Constitution relating to the Panchayats. The Amendments give PRIs an important role in shaping local development with the goal of integrating the poorest and most marginalized into the mainstream decision-making process. These Amendments require having a quota of panchayat members and chairperson positions for Scheduled Castes/Tribes and women (no less than one-third of the total number of seats). This enables the </w:t>
      </w:r>
      <w:r w:rsidRPr="00BA313B">
        <w:rPr>
          <w:sz w:val="20"/>
          <w:szCs w:val="20"/>
          <w:lang w:val="en"/>
        </w:rPr>
        <w:lastRenderedPageBreak/>
        <w:t xml:space="preserve">marginalized individuals and groups to voice their problems and join in decision-making on matters affecting their lives.  </w:t>
      </w:r>
    </w:p>
    <w:p w:rsidR="00BA313B" w:rsidRPr="00BA313B" w:rsidRDefault="00BA313B" w:rsidP="00BA313B">
      <w:pPr>
        <w:ind w:left="720"/>
        <w:rPr>
          <w:sz w:val="20"/>
          <w:szCs w:val="20"/>
          <w:lang w:val="en"/>
        </w:rPr>
      </w:pPr>
      <w:r w:rsidRPr="00BA313B">
        <w:rPr>
          <w:sz w:val="20"/>
          <w:szCs w:val="20"/>
          <w:lang w:val="en"/>
        </w:rPr>
        <w:t xml:space="preserve">The three-tier rural local government structure consists of Gram Panchayat (village council), Panchayat Samiti (intermediary or block), and Zilla Parishad (district council) while three categories of urban local bodies include Nagar Panchayat (area council, city council), Nagar </w:t>
      </w:r>
      <w:proofErr w:type="spellStart"/>
      <w:r w:rsidRPr="00BA313B">
        <w:rPr>
          <w:sz w:val="20"/>
          <w:szCs w:val="20"/>
          <w:lang w:val="en"/>
        </w:rPr>
        <w:t>Palika</w:t>
      </w:r>
      <w:proofErr w:type="spellEnd"/>
      <w:r w:rsidRPr="00BA313B">
        <w:rPr>
          <w:sz w:val="20"/>
          <w:szCs w:val="20"/>
          <w:lang w:val="en"/>
        </w:rPr>
        <w:t xml:space="preserve"> (municipality), and </w:t>
      </w:r>
      <w:proofErr w:type="spellStart"/>
      <w:r w:rsidRPr="00BA313B">
        <w:rPr>
          <w:sz w:val="20"/>
          <w:szCs w:val="20"/>
          <w:lang w:val="en"/>
        </w:rPr>
        <w:t>Mahanagar</w:t>
      </w:r>
      <w:proofErr w:type="spellEnd"/>
      <w:r w:rsidRPr="00BA313B">
        <w:rPr>
          <w:sz w:val="20"/>
          <w:szCs w:val="20"/>
          <w:lang w:val="en"/>
        </w:rPr>
        <w:t xml:space="preserve"> Nigam (municipal corporation). Each tier prepares plans for its areas of responsibility as defined through Activity Mapping. These plans along with plans of municipalities are consolidated by the District Planning Committees (DPC) as mandated in the Constitution.  </w:t>
      </w:r>
    </w:p>
    <w:p w:rsidR="001D2A6E" w:rsidRDefault="00BA313B" w:rsidP="00BA313B">
      <w:pPr>
        <w:ind w:left="720"/>
        <w:rPr>
          <w:sz w:val="20"/>
          <w:szCs w:val="20"/>
          <w:lang w:val="en"/>
        </w:rPr>
      </w:pPr>
      <w:r w:rsidRPr="00BA313B">
        <w:rPr>
          <w:sz w:val="20"/>
          <w:szCs w:val="20"/>
          <w:lang w:val="en"/>
        </w:rPr>
        <w:t>The 73rd and 74th Amendments left issues of design and implementation of sectoral, administrative and fiscal devolutions to the States. Many state governments have proceeded incrementally to strengthen the PRI system set out in the Amendments.  We describe three illustrative cases below where states are working on strengthening their PRI systems.”</w:t>
      </w:r>
    </w:p>
    <w:p w:rsidR="00CD32BF" w:rsidRDefault="001D2A6E" w:rsidP="001D2A6E">
      <w:pPr>
        <w:spacing w:before="0" w:after="200" w:line="276" w:lineRule="auto"/>
        <w:rPr>
          <w:lang w:val="en"/>
        </w:rPr>
      </w:pPr>
      <w:r w:rsidRPr="001D2A6E">
        <w:rPr>
          <w:lang w:val="en"/>
        </w:rPr>
        <w:t xml:space="preserve">According </w:t>
      </w:r>
      <w:r w:rsidR="00617148">
        <w:rPr>
          <w:lang w:val="en"/>
        </w:rPr>
        <w:t xml:space="preserve">to the World Bank, </w:t>
      </w:r>
      <w:r w:rsidR="00617148" w:rsidRPr="00617148">
        <w:rPr>
          <w:lang w:val="en"/>
        </w:rPr>
        <w:t xml:space="preserve">Kerala has devolved more responsibilities and resources to local governments than any other states in India. More particularly, in addition to their responsibilities for typical local services such as water, roads and sanitation, local governments in Kerala have been given (limited) functions in respect to health and education which are found in few other states. </w:t>
      </w:r>
      <w:r w:rsidR="00617148">
        <w:rPr>
          <w:lang w:val="en"/>
        </w:rPr>
        <w:t xml:space="preserve">There is much Bangladesh can take from Cambodian and Indian experience with D &amp; D reforms. </w:t>
      </w:r>
    </w:p>
    <w:p w:rsidR="00887B7A" w:rsidRPr="00213086" w:rsidRDefault="00887B7A" w:rsidP="00887B7A">
      <w:pPr>
        <w:spacing w:after="0" w:line="276" w:lineRule="auto"/>
        <w:rPr>
          <w:b/>
        </w:rPr>
      </w:pPr>
      <w:r w:rsidRPr="00213086">
        <w:rPr>
          <w:b/>
        </w:rPr>
        <w:t>Table 12: The overview of the country case studies</w:t>
      </w:r>
      <w:r w:rsidR="002C7DC6">
        <w:rPr>
          <w:b/>
        </w:rPr>
        <w:t xml:space="preserve"> on Decentralization and Deconcontration (D &amp; D)</w:t>
      </w:r>
    </w:p>
    <w:tbl>
      <w:tblPr>
        <w:tblStyle w:val="TableGrid"/>
        <w:tblW w:w="0" w:type="auto"/>
        <w:tblLook w:val="04A0" w:firstRow="1" w:lastRow="0" w:firstColumn="1" w:lastColumn="0" w:noHBand="0" w:noVBand="1"/>
      </w:tblPr>
      <w:tblGrid>
        <w:gridCol w:w="1615"/>
        <w:gridCol w:w="3117"/>
        <w:gridCol w:w="4533"/>
      </w:tblGrid>
      <w:tr w:rsidR="00887B7A" w:rsidRPr="009E4C8E" w:rsidTr="009E0506">
        <w:trPr>
          <w:tblHeader/>
        </w:trPr>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Country</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Topic areas</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Laws/Policies/Regulations Manuals/Guidelines</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Afghanistan</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Institutionalization of Community Development Councils, created under NSP</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Community Development Council </w:t>
            </w:r>
            <w:proofErr w:type="spellStart"/>
            <w:r w:rsidRPr="00887B7A">
              <w:rPr>
                <w:rFonts w:ascii="Times New Roman" w:hAnsi="Times New Roman" w:cs="Times New Roman"/>
                <w:b w:val="0"/>
                <w:sz w:val="18"/>
                <w:szCs w:val="18"/>
              </w:rPr>
              <w:t>ByLaw</w:t>
            </w:r>
            <w:proofErr w:type="spellEnd"/>
            <w:r w:rsidRPr="00887B7A">
              <w:rPr>
                <w:rFonts w:ascii="Times New Roman" w:hAnsi="Times New Roman" w:cs="Times New Roman"/>
                <w:b w:val="0"/>
                <w:sz w:val="18"/>
                <w:szCs w:val="18"/>
              </w:rPr>
              <w:t xml:space="preserve"> (November 2006)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Sub-national Governance Policy (2010)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Policy for Improving Governance and Development in Districts and Villages (December 2013)</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Benin</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Transfer of public funds to communities; community-managed procurement; participatory planning</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The Law 2005-07 amending the Law 2001-07 on Public Works (</w:t>
            </w:r>
            <w:proofErr w:type="spellStart"/>
            <w:r w:rsidRPr="00887B7A">
              <w:rPr>
                <w:rFonts w:ascii="Times New Roman" w:hAnsi="Times New Roman" w:cs="Times New Roman"/>
                <w:b w:val="0"/>
                <w:sz w:val="18"/>
                <w:szCs w:val="18"/>
              </w:rPr>
              <w:t>Loi</w:t>
            </w:r>
            <w:proofErr w:type="spellEnd"/>
            <w:r w:rsidRPr="00887B7A">
              <w:rPr>
                <w:rFonts w:ascii="Times New Roman" w:hAnsi="Times New Roman" w:cs="Times New Roman"/>
                <w:b w:val="0"/>
                <w:sz w:val="18"/>
                <w:szCs w:val="18"/>
              </w:rPr>
              <w:t xml:space="preserve"> 2005-07 </w:t>
            </w:r>
            <w:proofErr w:type="spellStart"/>
            <w:r w:rsidRPr="00887B7A">
              <w:rPr>
                <w:rFonts w:ascii="Times New Roman" w:hAnsi="Times New Roman" w:cs="Times New Roman"/>
                <w:b w:val="0"/>
                <w:sz w:val="18"/>
                <w:szCs w:val="18"/>
              </w:rPr>
              <w:t>modifiant</w:t>
            </w:r>
            <w:proofErr w:type="spellEnd"/>
            <w:r w:rsidRPr="00887B7A">
              <w:rPr>
                <w:rFonts w:ascii="Times New Roman" w:hAnsi="Times New Roman" w:cs="Times New Roman"/>
                <w:b w:val="0"/>
                <w:sz w:val="18"/>
                <w:szCs w:val="18"/>
              </w:rPr>
              <w:t xml:space="preserve"> et </w:t>
            </w:r>
            <w:proofErr w:type="spellStart"/>
            <w:r w:rsidRPr="00887B7A">
              <w:rPr>
                <w:rFonts w:ascii="Times New Roman" w:hAnsi="Times New Roman" w:cs="Times New Roman"/>
                <w:b w:val="0"/>
                <w:sz w:val="18"/>
                <w:szCs w:val="18"/>
              </w:rPr>
              <w:t>complétant</w:t>
            </w:r>
            <w:proofErr w:type="spellEnd"/>
            <w:r w:rsidRPr="00887B7A">
              <w:rPr>
                <w:rFonts w:ascii="Times New Roman" w:hAnsi="Times New Roman" w:cs="Times New Roman"/>
                <w:b w:val="0"/>
                <w:sz w:val="18"/>
                <w:szCs w:val="18"/>
              </w:rPr>
              <w:t xml:space="preserve"> la </w:t>
            </w:r>
            <w:proofErr w:type="spellStart"/>
            <w:r w:rsidRPr="00887B7A">
              <w:rPr>
                <w:rFonts w:ascii="Times New Roman" w:hAnsi="Times New Roman" w:cs="Times New Roman"/>
                <w:b w:val="0"/>
                <w:sz w:val="18"/>
                <w:szCs w:val="18"/>
              </w:rPr>
              <w:t>Loi</w:t>
            </w:r>
            <w:proofErr w:type="spellEnd"/>
            <w:r w:rsidRPr="00887B7A">
              <w:rPr>
                <w:rFonts w:ascii="Times New Roman" w:hAnsi="Times New Roman" w:cs="Times New Roman"/>
                <w:b w:val="0"/>
                <w:sz w:val="18"/>
                <w:szCs w:val="18"/>
              </w:rPr>
              <w:t xml:space="preserve"> 2001-07 </w:t>
            </w:r>
            <w:proofErr w:type="spellStart"/>
            <w:r w:rsidRPr="00887B7A">
              <w:rPr>
                <w:rFonts w:ascii="Times New Roman" w:hAnsi="Times New Roman" w:cs="Times New Roman"/>
                <w:b w:val="0"/>
                <w:sz w:val="18"/>
                <w:szCs w:val="18"/>
              </w:rPr>
              <w:t>portant</w:t>
            </w:r>
            <w:proofErr w:type="spellEnd"/>
            <w:r w:rsidRPr="00887B7A">
              <w:rPr>
                <w:rFonts w:ascii="Times New Roman" w:hAnsi="Times New Roman" w:cs="Times New Roman"/>
                <w:b w:val="0"/>
                <w:sz w:val="18"/>
                <w:szCs w:val="18"/>
              </w:rPr>
              <w:t xml:space="preserve"> </w:t>
            </w:r>
            <w:proofErr w:type="spellStart"/>
            <w:r w:rsidRPr="00887B7A">
              <w:rPr>
                <w:rFonts w:ascii="Times New Roman" w:hAnsi="Times New Roman" w:cs="Times New Roman"/>
                <w:b w:val="0"/>
                <w:sz w:val="18"/>
                <w:szCs w:val="18"/>
              </w:rPr>
              <w:t>maîtrise</w:t>
            </w:r>
            <w:proofErr w:type="spellEnd"/>
            <w:r w:rsidRPr="00887B7A">
              <w:rPr>
                <w:rFonts w:ascii="Times New Roman" w:hAnsi="Times New Roman" w:cs="Times New Roman"/>
                <w:b w:val="0"/>
                <w:sz w:val="18"/>
                <w:szCs w:val="18"/>
              </w:rPr>
              <w:t xml:space="preserve"> </w:t>
            </w:r>
            <w:proofErr w:type="spellStart"/>
            <w:r w:rsidRPr="00887B7A">
              <w:rPr>
                <w:rFonts w:ascii="Times New Roman" w:hAnsi="Times New Roman" w:cs="Times New Roman"/>
                <w:b w:val="0"/>
                <w:sz w:val="18"/>
                <w:szCs w:val="18"/>
              </w:rPr>
              <w:t>d’ouvrage</w:t>
            </w:r>
            <w:proofErr w:type="spellEnd"/>
            <w:r w:rsidRPr="00887B7A">
              <w:rPr>
                <w:rFonts w:ascii="Times New Roman" w:hAnsi="Times New Roman" w:cs="Times New Roman"/>
                <w:b w:val="0"/>
                <w:sz w:val="18"/>
                <w:szCs w:val="18"/>
              </w:rPr>
              <w:t xml:space="preserve"> public) (April 2005) – Available in French (April 2005)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Manual of Procedures of the Commune Development Support Fund (Manuel Fonds </w:t>
            </w:r>
            <w:proofErr w:type="spellStart"/>
            <w:r w:rsidRPr="00887B7A">
              <w:rPr>
                <w:rFonts w:ascii="Times New Roman" w:hAnsi="Times New Roman" w:cs="Times New Roman"/>
                <w:b w:val="0"/>
                <w:sz w:val="18"/>
                <w:szCs w:val="18"/>
              </w:rPr>
              <w:t>d’Appui</w:t>
            </w:r>
            <w:proofErr w:type="spellEnd"/>
            <w:r w:rsidRPr="00887B7A">
              <w:rPr>
                <w:rFonts w:ascii="Times New Roman" w:hAnsi="Times New Roman" w:cs="Times New Roman"/>
                <w:b w:val="0"/>
                <w:sz w:val="18"/>
                <w:szCs w:val="18"/>
              </w:rPr>
              <w:t xml:space="preserve"> au </w:t>
            </w:r>
            <w:proofErr w:type="spellStart"/>
            <w:r w:rsidRPr="00887B7A">
              <w:rPr>
                <w:rFonts w:ascii="Times New Roman" w:hAnsi="Times New Roman" w:cs="Times New Roman"/>
                <w:b w:val="0"/>
                <w:sz w:val="18"/>
                <w:szCs w:val="18"/>
              </w:rPr>
              <w:t>Développement</w:t>
            </w:r>
            <w:proofErr w:type="spellEnd"/>
            <w:r w:rsidRPr="00887B7A">
              <w:rPr>
                <w:rFonts w:ascii="Times New Roman" w:hAnsi="Times New Roman" w:cs="Times New Roman"/>
                <w:b w:val="0"/>
                <w:sz w:val="18"/>
                <w:szCs w:val="18"/>
              </w:rPr>
              <w:t xml:space="preserve"> des Communes) (November 2008) – Available in French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National Procurement Code (Code des </w:t>
            </w:r>
            <w:proofErr w:type="spellStart"/>
            <w:r w:rsidRPr="00887B7A">
              <w:rPr>
                <w:rFonts w:ascii="Times New Roman" w:hAnsi="Times New Roman" w:cs="Times New Roman"/>
                <w:b w:val="0"/>
                <w:sz w:val="18"/>
                <w:szCs w:val="18"/>
              </w:rPr>
              <w:t>marchés</w:t>
            </w:r>
            <w:proofErr w:type="spellEnd"/>
            <w:r w:rsidRPr="00887B7A">
              <w:rPr>
                <w:rFonts w:ascii="Times New Roman" w:hAnsi="Times New Roman" w:cs="Times New Roman"/>
                <w:b w:val="0"/>
                <w:sz w:val="18"/>
                <w:szCs w:val="18"/>
              </w:rPr>
              <w:t xml:space="preserve"> publics) (August 2009) – Available in French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National Guidelines on Local Development Plan (Guide </w:t>
            </w:r>
            <w:proofErr w:type="spellStart"/>
            <w:r w:rsidRPr="00887B7A">
              <w:rPr>
                <w:rFonts w:ascii="Times New Roman" w:hAnsi="Times New Roman" w:cs="Times New Roman"/>
                <w:b w:val="0"/>
                <w:sz w:val="18"/>
                <w:szCs w:val="18"/>
              </w:rPr>
              <w:t>d’Elaboration</w:t>
            </w:r>
            <w:proofErr w:type="spellEnd"/>
            <w:r w:rsidRPr="00887B7A">
              <w:rPr>
                <w:rFonts w:ascii="Times New Roman" w:hAnsi="Times New Roman" w:cs="Times New Roman"/>
                <w:b w:val="0"/>
                <w:sz w:val="18"/>
                <w:szCs w:val="18"/>
              </w:rPr>
              <w:t xml:space="preserve"> du Plan de </w:t>
            </w:r>
            <w:proofErr w:type="spellStart"/>
            <w:r w:rsidRPr="00887B7A">
              <w:rPr>
                <w:rFonts w:ascii="Times New Roman" w:hAnsi="Times New Roman" w:cs="Times New Roman"/>
                <w:b w:val="0"/>
                <w:sz w:val="18"/>
                <w:szCs w:val="18"/>
              </w:rPr>
              <w:t>Développement</w:t>
            </w:r>
            <w:proofErr w:type="spellEnd"/>
            <w:r w:rsidRPr="00887B7A">
              <w:rPr>
                <w:rFonts w:ascii="Times New Roman" w:hAnsi="Times New Roman" w:cs="Times New Roman"/>
                <w:b w:val="0"/>
                <w:sz w:val="18"/>
                <w:szCs w:val="18"/>
              </w:rPr>
              <w:t xml:space="preserve"> Communal) (October 2009) – Available in French</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National Poverty Reduction Strategy for 2011-2015 (</w:t>
            </w:r>
            <w:proofErr w:type="spellStart"/>
            <w:r w:rsidRPr="00887B7A">
              <w:rPr>
                <w:rFonts w:ascii="Times New Roman" w:hAnsi="Times New Roman" w:cs="Times New Roman"/>
                <w:b w:val="0"/>
                <w:sz w:val="18"/>
                <w:szCs w:val="18"/>
              </w:rPr>
              <w:t>Stratégie</w:t>
            </w:r>
            <w:proofErr w:type="spellEnd"/>
            <w:r w:rsidRPr="00887B7A">
              <w:rPr>
                <w:rFonts w:ascii="Times New Roman" w:hAnsi="Times New Roman" w:cs="Times New Roman"/>
                <w:b w:val="0"/>
                <w:sz w:val="18"/>
                <w:szCs w:val="18"/>
              </w:rPr>
              <w:t xml:space="preserve"> de </w:t>
            </w:r>
            <w:proofErr w:type="spellStart"/>
            <w:r w:rsidRPr="00887B7A">
              <w:rPr>
                <w:rFonts w:ascii="Times New Roman" w:hAnsi="Times New Roman" w:cs="Times New Roman"/>
                <w:b w:val="0"/>
                <w:sz w:val="18"/>
                <w:szCs w:val="18"/>
              </w:rPr>
              <w:t>Croissance</w:t>
            </w:r>
            <w:proofErr w:type="spellEnd"/>
            <w:r w:rsidRPr="00887B7A">
              <w:rPr>
                <w:rFonts w:ascii="Times New Roman" w:hAnsi="Times New Roman" w:cs="Times New Roman"/>
                <w:b w:val="0"/>
                <w:sz w:val="18"/>
                <w:szCs w:val="18"/>
              </w:rPr>
              <w:t xml:space="preserve"> pour la </w:t>
            </w:r>
            <w:proofErr w:type="spellStart"/>
            <w:r w:rsidRPr="00887B7A">
              <w:rPr>
                <w:rFonts w:ascii="Times New Roman" w:hAnsi="Times New Roman" w:cs="Times New Roman"/>
                <w:b w:val="0"/>
                <w:sz w:val="18"/>
                <w:szCs w:val="18"/>
              </w:rPr>
              <w:t>Réduction</w:t>
            </w:r>
            <w:proofErr w:type="spellEnd"/>
            <w:r w:rsidRPr="00887B7A">
              <w:rPr>
                <w:rFonts w:ascii="Times New Roman" w:hAnsi="Times New Roman" w:cs="Times New Roman"/>
                <w:b w:val="0"/>
                <w:sz w:val="18"/>
                <w:szCs w:val="18"/>
              </w:rPr>
              <w:t xml:space="preserve"> de la </w:t>
            </w:r>
            <w:proofErr w:type="spellStart"/>
            <w:r w:rsidRPr="00887B7A">
              <w:rPr>
                <w:rFonts w:ascii="Times New Roman" w:hAnsi="Times New Roman" w:cs="Times New Roman"/>
                <w:b w:val="0"/>
                <w:sz w:val="18"/>
                <w:szCs w:val="18"/>
              </w:rPr>
              <w:t>Pauvreté</w:t>
            </w:r>
            <w:proofErr w:type="spellEnd"/>
            <w:r w:rsidRPr="00887B7A">
              <w:rPr>
                <w:rFonts w:ascii="Times New Roman" w:hAnsi="Times New Roman" w:cs="Times New Roman"/>
                <w:b w:val="0"/>
                <w:sz w:val="18"/>
                <w:szCs w:val="18"/>
              </w:rPr>
              <w:t>: SCRP3) (December 2010) – Available in French and English</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Cambodia</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Transfer of powers, functions and resources to subnational government; community-managed funds; social accountability; citizen engagement; CSO/NGO partnership</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Law on Administration Management of Commune/Sangkat (March 2001)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Law on the Election of the Commune/Sangkat Council (March 2001)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Sub-decree on the Establishment of the “Communes/</w:t>
            </w:r>
            <w:proofErr w:type="spellStart"/>
            <w:r w:rsidRPr="00887B7A">
              <w:rPr>
                <w:rFonts w:ascii="Times New Roman" w:hAnsi="Times New Roman" w:cs="Times New Roman"/>
                <w:b w:val="0"/>
                <w:sz w:val="18"/>
                <w:szCs w:val="18"/>
              </w:rPr>
              <w:t>Sagkats</w:t>
            </w:r>
            <w:proofErr w:type="spellEnd"/>
            <w:r w:rsidRPr="00887B7A">
              <w:rPr>
                <w:rFonts w:ascii="Times New Roman" w:hAnsi="Times New Roman" w:cs="Times New Roman"/>
                <w:b w:val="0"/>
                <w:sz w:val="18"/>
                <w:szCs w:val="18"/>
              </w:rPr>
              <w:t xml:space="preserve"> Fund” (February 2002)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lastRenderedPageBreak/>
              <w:t xml:space="preserve">Sub-decree on Decentralization of Powers, Roles and Duties to Commune/Sangkat Councils (April 2002)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Strategic Framework for Decentralization and Deconcentration Reforms (June 2005)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Law on Administrative Management of the Capital, Provinces, Municipalities, Districts and Khans (May 2008)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Law on the Election of the Capital, Provinces, Municipalities, Districts and Khans (May 2008)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National Program for Sub-National Democratic Development (NP-SNDD): 2010-2019 (May 2010)</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First Three Years Implementation Plan (2011-2013) of NP-SNDD (IP3) (November 2010)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Law on Financial Regime and Property Management of Sub-National Administrations (May 2011)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Strategic Plan for Social Accountability in Sub-National Democratic Development (July 2013)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Implementation Plan for Social Accountability Framework (April 2014)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Operational Guideline for NGO Partners: Implementation of the Social Accountability Framework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Three Year Implementation Plan, Phase II (2015-2017) of NP-SNDD (IP3-II) (December 2014</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lastRenderedPageBreak/>
              <w:t>Ghana</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Transfer of power, functions and resources to district level governments; community participation; intergovernmental fiscal framework</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The 1992 Fourth Republican Constitution (January 1993)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Local Government Act, 1993 (Act 462) (December 1993)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District Assemblies Common Fund Act, 1993 (Act 455) (July 1993)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National Development Planning (System) Act, 1994 (Act 480) (August 1994)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Local Government (Urban, Zonal and Town Councils and Unit Committees) Establishment Instrument, 1994 (Legislative Instrument 1589) (1994) –  Not available online.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Local Government Service Act, 2003 (Act 656) (December 2003)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Local Government Instrument, 2009 (Legislative Instrument 1961) (February 2010)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Decentralization Policy Framework: Accelerating Decentralization and Local Governance for National Development (April 2010)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Ghana National Decentralization Action Plan: Accelerating Decentralization and Local Governance for National Development (June 2010)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Intergovernmental Fiscal Framework (February 2014) – Not available online.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Intergovernmental Fiscal Framework Action Plan (February 2014)</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India</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Creation of a three tier local government structure; transfer of functions and resources to local governments; establishment of Gram Sabha (village assembly); community participation</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The Constitution (73</w:t>
            </w:r>
            <w:r w:rsidRPr="00887B7A">
              <w:rPr>
                <w:rFonts w:ascii="Times New Roman" w:hAnsi="Times New Roman" w:cs="Times New Roman"/>
                <w:b w:val="0"/>
                <w:sz w:val="18"/>
                <w:szCs w:val="18"/>
                <w:vertAlign w:val="superscript"/>
              </w:rPr>
              <w:t>rd</w:t>
            </w:r>
            <w:r w:rsidRPr="00887B7A">
              <w:rPr>
                <w:rFonts w:ascii="Times New Roman" w:hAnsi="Times New Roman" w:cs="Times New Roman"/>
                <w:b w:val="0"/>
                <w:sz w:val="18"/>
                <w:szCs w:val="18"/>
              </w:rPr>
              <w:t xml:space="preserve"> amendment)</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Act, 1992 (April 1993)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The Constitution (74th Amendment) Act, 1992 (June 1993)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Panchayat Raj (Extension to Scheduled Areas) Act of 1996 (December 1996)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Kerala Panchayat Raj Act, 1994 (April 1994)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Kerala Municipality Act, 1994 (May 1994)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lastRenderedPageBreak/>
              <w:t xml:space="preserve">West Bengal Panchayati Raj Act, 1973 (1973)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Karnataka Panchayat Raj Act, 1993 (May 1993</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lastRenderedPageBreak/>
              <w:t>Indonesia</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Provision of the legal status to villages; transfer of funds to village-managed accounts; participatory village planning; social accountability</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Law No. 32 of 2004 on Regional Autonomy (October 2004)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The Village Law – Law No.6/2014 (January 2014)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Government Regulation No. 43/2014 on the Implementation of the Village Law (June 2014)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Government Regulation No. 60/2014 on Village Grants (July 2014) – Amended by Government Regulation No. 22/2015 (May 2015</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Kenya</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Creation of subnational government system (county governments); devolved government; community participation; grievance redress mechanisms; local government-managed funds</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The Constitution of Kenya, 2010 (August 2010)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Urban Areas and Cities Act (August 2011)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Transition to Devolved Government Act (March 2012</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County Governments Act (July 2012)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Public Finance Management Act (July 2012</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Philippines</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Establishment of local government system (Local Government Units: LGUs); transfer of powers, functions and resources to LGUs; establishment of local development councils</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Local Government Code of 1991/Republic Act No. 7160 (October 1991)</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Senegal</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Establishment of the rural communities as local authorities; transfer of powers and resources to communities; community participation</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Law 72-25 on the establishment of the rural communities as local authorities (April 1972)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Local Government Code (</w:t>
            </w:r>
            <w:proofErr w:type="spellStart"/>
            <w:r w:rsidRPr="00887B7A">
              <w:rPr>
                <w:rFonts w:ascii="Times New Roman" w:hAnsi="Times New Roman" w:cs="Times New Roman"/>
                <w:b w:val="0"/>
                <w:sz w:val="18"/>
                <w:szCs w:val="18"/>
              </w:rPr>
              <w:t>Loi</w:t>
            </w:r>
            <w:proofErr w:type="spellEnd"/>
            <w:r w:rsidRPr="00887B7A">
              <w:rPr>
                <w:rFonts w:ascii="Times New Roman" w:hAnsi="Times New Roman" w:cs="Times New Roman"/>
                <w:b w:val="0"/>
                <w:sz w:val="18"/>
                <w:szCs w:val="18"/>
              </w:rPr>
              <w:t xml:space="preserve"> n° 96-06 du 22 mars 1996 </w:t>
            </w:r>
            <w:proofErr w:type="spellStart"/>
            <w:r w:rsidRPr="00887B7A">
              <w:rPr>
                <w:rFonts w:ascii="Times New Roman" w:hAnsi="Times New Roman" w:cs="Times New Roman"/>
                <w:b w:val="0"/>
                <w:sz w:val="18"/>
                <w:szCs w:val="18"/>
              </w:rPr>
              <w:t>portant</w:t>
            </w:r>
            <w:proofErr w:type="spellEnd"/>
            <w:r w:rsidRPr="00887B7A">
              <w:rPr>
                <w:rFonts w:ascii="Times New Roman" w:hAnsi="Times New Roman" w:cs="Times New Roman"/>
                <w:b w:val="0"/>
                <w:sz w:val="18"/>
                <w:szCs w:val="18"/>
              </w:rPr>
              <w:t xml:space="preserve"> Code des </w:t>
            </w:r>
            <w:proofErr w:type="spellStart"/>
            <w:r w:rsidRPr="00887B7A">
              <w:rPr>
                <w:rFonts w:ascii="Times New Roman" w:hAnsi="Times New Roman" w:cs="Times New Roman"/>
                <w:b w:val="0"/>
                <w:sz w:val="18"/>
                <w:szCs w:val="18"/>
              </w:rPr>
              <w:t>Collectivités</w:t>
            </w:r>
            <w:proofErr w:type="spellEnd"/>
            <w:r w:rsidRPr="00887B7A">
              <w:rPr>
                <w:rFonts w:ascii="Times New Roman" w:hAnsi="Times New Roman" w:cs="Times New Roman"/>
                <w:b w:val="0"/>
                <w:sz w:val="18"/>
                <w:szCs w:val="18"/>
              </w:rPr>
              <w:t xml:space="preserve"> locales) (March 1996)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Law 96-07 on the transfer of powers to the regions, communes, and rural communities (</w:t>
            </w:r>
            <w:proofErr w:type="spellStart"/>
            <w:r w:rsidRPr="00887B7A">
              <w:rPr>
                <w:rFonts w:ascii="Times New Roman" w:hAnsi="Times New Roman" w:cs="Times New Roman"/>
                <w:b w:val="0"/>
                <w:sz w:val="18"/>
                <w:szCs w:val="18"/>
              </w:rPr>
              <w:t>Loi</w:t>
            </w:r>
            <w:proofErr w:type="spellEnd"/>
            <w:r w:rsidRPr="00887B7A">
              <w:rPr>
                <w:rFonts w:ascii="Times New Roman" w:hAnsi="Times New Roman" w:cs="Times New Roman"/>
                <w:b w:val="0"/>
                <w:sz w:val="18"/>
                <w:szCs w:val="18"/>
              </w:rPr>
              <w:t xml:space="preserve"> n° 96-07) (March 1996)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2001 Constitution (January 2001)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National Local Development Program (</w:t>
            </w:r>
            <w:proofErr w:type="spellStart"/>
            <w:r w:rsidRPr="00887B7A">
              <w:rPr>
                <w:rFonts w:ascii="Times New Roman" w:hAnsi="Times New Roman" w:cs="Times New Roman"/>
                <w:b w:val="0"/>
                <w:sz w:val="18"/>
                <w:szCs w:val="18"/>
              </w:rPr>
              <w:t>Programme</w:t>
            </w:r>
            <w:proofErr w:type="spellEnd"/>
            <w:r w:rsidRPr="00887B7A">
              <w:rPr>
                <w:rFonts w:ascii="Times New Roman" w:hAnsi="Times New Roman" w:cs="Times New Roman"/>
                <w:b w:val="0"/>
                <w:sz w:val="18"/>
                <w:szCs w:val="18"/>
              </w:rPr>
              <w:t xml:space="preserve"> National de </w:t>
            </w:r>
            <w:proofErr w:type="spellStart"/>
            <w:r w:rsidRPr="00887B7A">
              <w:rPr>
                <w:rFonts w:ascii="Times New Roman" w:hAnsi="Times New Roman" w:cs="Times New Roman"/>
                <w:b w:val="0"/>
                <w:sz w:val="18"/>
                <w:szCs w:val="18"/>
              </w:rPr>
              <w:t>Développement</w:t>
            </w:r>
            <w:proofErr w:type="spellEnd"/>
            <w:r w:rsidRPr="00887B7A">
              <w:rPr>
                <w:rFonts w:ascii="Times New Roman" w:hAnsi="Times New Roman" w:cs="Times New Roman"/>
                <w:b w:val="0"/>
                <w:sz w:val="18"/>
                <w:szCs w:val="18"/>
              </w:rPr>
              <w:t xml:space="preserve"> Local: PNDL) (September 2006)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Act III of the Decentralization (</w:t>
            </w:r>
            <w:proofErr w:type="spellStart"/>
            <w:r w:rsidRPr="00887B7A">
              <w:rPr>
                <w:rFonts w:ascii="Times New Roman" w:hAnsi="Times New Roman" w:cs="Times New Roman"/>
                <w:b w:val="0"/>
                <w:sz w:val="18"/>
                <w:szCs w:val="18"/>
              </w:rPr>
              <w:t>Acte</w:t>
            </w:r>
            <w:proofErr w:type="spellEnd"/>
            <w:r w:rsidRPr="00887B7A">
              <w:rPr>
                <w:rFonts w:ascii="Times New Roman" w:hAnsi="Times New Roman" w:cs="Times New Roman"/>
                <w:b w:val="0"/>
                <w:sz w:val="18"/>
                <w:szCs w:val="18"/>
              </w:rPr>
              <w:t xml:space="preserve"> III de la decentralization) (December 2013</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General Code of Local Government (Code </w:t>
            </w:r>
            <w:proofErr w:type="spellStart"/>
            <w:r w:rsidRPr="00887B7A">
              <w:rPr>
                <w:rFonts w:ascii="Times New Roman" w:hAnsi="Times New Roman" w:cs="Times New Roman"/>
                <w:b w:val="0"/>
                <w:sz w:val="18"/>
                <w:szCs w:val="18"/>
              </w:rPr>
              <w:t>Général</w:t>
            </w:r>
            <w:proofErr w:type="spellEnd"/>
            <w:r w:rsidRPr="00887B7A">
              <w:rPr>
                <w:rFonts w:ascii="Times New Roman" w:hAnsi="Times New Roman" w:cs="Times New Roman"/>
                <w:b w:val="0"/>
                <w:sz w:val="18"/>
                <w:szCs w:val="18"/>
              </w:rPr>
              <w:t xml:space="preserve"> des </w:t>
            </w:r>
            <w:proofErr w:type="spellStart"/>
            <w:r w:rsidRPr="00887B7A">
              <w:rPr>
                <w:rFonts w:ascii="Times New Roman" w:hAnsi="Times New Roman" w:cs="Times New Roman"/>
                <w:b w:val="0"/>
                <w:sz w:val="18"/>
                <w:szCs w:val="18"/>
              </w:rPr>
              <w:t>Collectivités</w:t>
            </w:r>
            <w:proofErr w:type="spellEnd"/>
            <w:r w:rsidRPr="00887B7A">
              <w:rPr>
                <w:rFonts w:ascii="Times New Roman" w:hAnsi="Times New Roman" w:cs="Times New Roman"/>
                <w:b w:val="0"/>
                <w:sz w:val="18"/>
                <w:szCs w:val="18"/>
              </w:rPr>
              <w:t xml:space="preserve"> Locales) (December 2013)</w:t>
            </w:r>
          </w:p>
        </w:tc>
      </w:tr>
      <w:tr w:rsidR="00887B7A" w:rsidRPr="009E4C8E" w:rsidTr="009E0506">
        <w:tc>
          <w:tcPr>
            <w:tcW w:w="1615"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Timor-Leste</w:t>
            </w:r>
          </w:p>
        </w:tc>
        <w:tc>
          <w:tcPr>
            <w:tcW w:w="3117"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Establishment of </w:t>
            </w:r>
            <w:proofErr w:type="spellStart"/>
            <w:r w:rsidRPr="00887B7A">
              <w:rPr>
                <w:rFonts w:ascii="Times New Roman" w:hAnsi="Times New Roman" w:cs="Times New Roman"/>
                <w:b w:val="0"/>
                <w:sz w:val="18"/>
                <w:szCs w:val="18"/>
              </w:rPr>
              <w:t>suco</w:t>
            </w:r>
            <w:proofErr w:type="spellEnd"/>
            <w:r w:rsidRPr="00887B7A">
              <w:rPr>
                <w:rFonts w:ascii="Times New Roman" w:hAnsi="Times New Roman" w:cs="Times New Roman"/>
                <w:b w:val="0"/>
                <w:sz w:val="18"/>
                <w:szCs w:val="18"/>
              </w:rPr>
              <w:t xml:space="preserve"> (village) councils; participatory local planning</w:t>
            </w:r>
          </w:p>
        </w:tc>
        <w:tc>
          <w:tcPr>
            <w:tcW w:w="4533" w:type="dxa"/>
          </w:tcPr>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Constitution of the republic</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Republic of Timor-Leste (March 2002)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Decree Law No. 2/2004 on the Election of </w:t>
            </w:r>
            <w:proofErr w:type="spellStart"/>
            <w:r w:rsidRPr="00887B7A">
              <w:rPr>
                <w:rFonts w:ascii="Times New Roman" w:hAnsi="Times New Roman" w:cs="Times New Roman"/>
                <w:b w:val="0"/>
                <w:sz w:val="18"/>
                <w:szCs w:val="18"/>
              </w:rPr>
              <w:t>Suco</w:t>
            </w:r>
            <w:proofErr w:type="spellEnd"/>
            <w:r w:rsidRPr="00887B7A">
              <w:rPr>
                <w:rFonts w:ascii="Times New Roman" w:hAnsi="Times New Roman" w:cs="Times New Roman"/>
                <w:b w:val="0"/>
                <w:sz w:val="18"/>
                <w:szCs w:val="18"/>
              </w:rPr>
              <w:t xml:space="preserve"> Chiefs and </w:t>
            </w:r>
            <w:proofErr w:type="spellStart"/>
            <w:r w:rsidRPr="00887B7A">
              <w:rPr>
                <w:rFonts w:ascii="Times New Roman" w:hAnsi="Times New Roman" w:cs="Times New Roman"/>
                <w:b w:val="0"/>
                <w:sz w:val="18"/>
                <w:szCs w:val="18"/>
              </w:rPr>
              <w:t>Suco</w:t>
            </w:r>
            <w:proofErr w:type="spellEnd"/>
            <w:r w:rsidRPr="00887B7A">
              <w:rPr>
                <w:rFonts w:ascii="Times New Roman" w:hAnsi="Times New Roman" w:cs="Times New Roman"/>
                <w:b w:val="0"/>
                <w:sz w:val="18"/>
                <w:szCs w:val="18"/>
              </w:rPr>
              <w:t xml:space="preserve"> Councils (February 2002) – Revoked by Decree Law No. 3/2009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Decree Law No. 5/2004 on Community Authorities (April 2004)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Decree Law No. 3/2009 on Community Leadership and Their </w:t>
            </w:r>
            <w:r w:rsidR="00CD32BF" w:rsidRPr="00887B7A">
              <w:rPr>
                <w:rFonts w:ascii="Times New Roman" w:hAnsi="Times New Roman" w:cs="Times New Roman"/>
                <w:b w:val="0"/>
                <w:sz w:val="18"/>
                <w:szCs w:val="18"/>
              </w:rPr>
              <w:t>Election (</w:t>
            </w:r>
            <w:r w:rsidRPr="00887B7A">
              <w:rPr>
                <w:rFonts w:ascii="Times New Roman" w:hAnsi="Times New Roman" w:cs="Times New Roman"/>
                <w:b w:val="0"/>
                <w:sz w:val="18"/>
                <w:szCs w:val="18"/>
              </w:rPr>
              <w:t xml:space="preserve">July 2009)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Decree Law No. 4/2012 on the Integrated District Development Planning (February 2012)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Decree Law No. 8/2013 on the set up of PNDS (June 2013)  </w:t>
            </w:r>
          </w:p>
          <w:p w:rsidR="00887B7A" w:rsidRPr="00887B7A" w:rsidRDefault="00887B7A" w:rsidP="009E0506">
            <w:pPr>
              <w:spacing w:line="276" w:lineRule="auto"/>
              <w:rPr>
                <w:rFonts w:ascii="Times New Roman" w:hAnsi="Times New Roman" w:cs="Times New Roman"/>
                <w:b w:val="0"/>
                <w:sz w:val="18"/>
                <w:szCs w:val="18"/>
              </w:rPr>
            </w:pPr>
            <w:r w:rsidRPr="00887B7A">
              <w:rPr>
                <w:rFonts w:ascii="Times New Roman" w:hAnsi="Times New Roman" w:cs="Times New Roman"/>
                <w:b w:val="0"/>
                <w:sz w:val="18"/>
                <w:szCs w:val="18"/>
              </w:rPr>
              <w:t xml:space="preserve">Decree Law No. 4/2014 on the </w:t>
            </w:r>
            <w:proofErr w:type="spellStart"/>
            <w:r w:rsidRPr="00887B7A">
              <w:rPr>
                <w:rFonts w:ascii="Times New Roman" w:hAnsi="Times New Roman" w:cs="Times New Roman"/>
                <w:b w:val="0"/>
                <w:sz w:val="18"/>
                <w:szCs w:val="18"/>
              </w:rPr>
              <w:t>PreDeconcentration</w:t>
            </w:r>
            <w:proofErr w:type="spellEnd"/>
            <w:r w:rsidRPr="00887B7A">
              <w:rPr>
                <w:rFonts w:ascii="Times New Roman" w:hAnsi="Times New Roman" w:cs="Times New Roman"/>
                <w:b w:val="0"/>
                <w:sz w:val="18"/>
                <w:szCs w:val="18"/>
              </w:rPr>
              <w:t xml:space="preserve"> Structure (January 2014</w:t>
            </w:r>
          </w:p>
        </w:tc>
      </w:tr>
    </w:tbl>
    <w:p w:rsidR="00E4465D" w:rsidRDefault="00887B7A" w:rsidP="00E4465D">
      <w:pPr>
        <w:spacing w:before="0" w:after="200" w:line="276" w:lineRule="auto"/>
        <w:rPr>
          <w:color w:val="333333"/>
          <w:sz w:val="18"/>
          <w:szCs w:val="18"/>
          <w:lang w:val="en"/>
        </w:rPr>
      </w:pPr>
      <w:r w:rsidRPr="00887B7A">
        <w:rPr>
          <w:color w:val="333333"/>
          <w:sz w:val="18"/>
          <w:szCs w:val="18"/>
          <w:lang w:val="en"/>
        </w:rPr>
        <w:t xml:space="preserve">Source: World Bank. </w:t>
      </w:r>
      <w:hyperlink r:id="rId135" w:history="1">
        <w:r w:rsidRPr="00887B7A">
          <w:rPr>
            <w:rStyle w:val="Hyperlink"/>
            <w:sz w:val="18"/>
            <w:szCs w:val="18"/>
            <w:lang w:val="en"/>
          </w:rPr>
          <w:t>http://siteresources.worldbank.org/EXTCDD/Resources/430160-1435154813801/Website_CDD_Institutionalization_Study_Table_Final.pdf</w:t>
        </w:r>
      </w:hyperlink>
      <w:r w:rsidRPr="00887B7A">
        <w:rPr>
          <w:color w:val="333333"/>
          <w:sz w:val="18"/>
          <w:szCs w:val="18"/>
          <w:lang w:val="en"/>
        </w:rPr>
        <w:t xml:space="preserve">  </w:t>
      </w:r>
      <w:r w:rsidR="00591D7C" w:rsidRPr="00887B7A">
        <w:rPr>
          <w:color w:val="333333"/>
          <w:sz w:val="18"/>
          <w:szCs w:val="18"/>
          <w:lang w:val="en"/>
        </w:rPr>
        <w:t xml:space="preserve"> </w:t>
      </w:r>
    </w:p>
    <w:p w:rsidR="00CD32BF" w:rsidRPr="00887B7A" w:rsidRDefault="00CD32BF" w:rsidP="00E4465D">
      <w:pPr>
        <w:spacing w:before="0" w:after="200" w:line="276" w:lineRule="auto"/>
        <w:rPr>
          <w:sz w:val="18"/>
          <w:szCs w:val="18"/>
        </w:rPr>
      </w:pPr>
    </w:p>
    <w:p w:rsidR="0069068E" w:rsidRPr="00A15490" w:rsidRDefault="0069068E" w:rsidP="00397FED">
      <w:pPr>
        <w:pStyle w:val="ListParagraph"/>
        <w:numPr>
          <w:ilvl w:val="0"/>
          <w:numId w:val="1"/>
        </w:numPr>
        <w:spacing w:before="0" w:after="200" w:line="276" w:lineRule="auto"/>
        <w:contextualSpacing w:val="0"/>
        <w:rPr>
          <w:rFonts w:ascii="Times New Roman" w:hAnsi="Times New Roman" w:cs="Times New Roman"/>
          <w:b/>
          <w:caps/>
          <w:color w:val="0070C0"/>
        </w:rPr>
      </w:pPr>
      <w:r w:rsidRPr="00A15490">
        <w:rPr>
          <w:rFonts w:ascii="Times New Roman" w:hAnsi="Times New Roman" w:cs="Times New Roman"/>
          <w:b/>
          <w:caps/>
          <w:color w:val="0070C0"/>
        </w:rPr>
        <w:lastRenderedPageBreak/>
        <w:t>Other Issues</w:t>
      </w:r>
      <w:r w:rsidR="00A15490" w:rsidRPr="00A15490">
        <w:rPr>
          <w:rFonts w:ascii="Times New Roman" w:hAnsi="Times New Roman" w:cs="Times New Roman"/>
          <w:b/>
          <w:caps/>
          <w:color w:val="0070C0"/>
        </w:rPr>
        <w:t xml:space="preserve"> and challenges</w:t>
      </w:r>
    </w:p>
    <w:p w:rsidR="00F8233D" w:rsidRDefault="00F8233D" w:rsidP="00903CAF">
      <w:pPr>
        <w:spacing w:before="0" w:after="200" w:line="276" w:lineRule="auto"/>
      </w:pPr>
      <w:r w:rsidRPr="00FF2844">
        <w:t xml:space="preserve">There are </w:t>
      </w:r>
      <w:r w:rsidRPr="009E0506">
        <w:t>other institutional issues</w:t>
      </w:r>
      <w:r w:rsidRPr="00FF2844">
        <w:t xml:space="preserve"> relevant for sustainable, inclusive and accelerated development</w:t>
      </w:r>
      <w:r w:rsidR="009E0506">
        <w:t xml:space="preserve"> of Bangladesh</w:t>
      </w:r>
      <w:r w:rsidRPr="00FF2844">
        <w:t>. These include s</w:t>
      </w:r>
      <w:r w:rsidRPr="00FF2844">
        <w:rPr>
          <w:color w:val="000000" w:themeColor="text1"/>
        </w:rPr>
        <w:t>trengthening economic institutions focused on budget management; public resource mobilization; fiscal decentralization. Deepening of financial inclusion and financial governance are critical concerns given banking scandals of monumental proportion. The question is how can one bolster ethics in banking. Clearly laid out principles for civil service reforms; establishing strong and accountable local governments; and strengthening the Anti-</w:t>
      </w:r>
      <w:r w:rsidR="00A22C8E" w:rsidRPr="00FF2844">
        <w:rPr>
          <w:color w:val="000000" w:themeColor="text1"/>
        </w:rPr>
        <w:t>Corruption</w:t>
      </w:r>
      <w:r w:rsidRPr="00FF2844">
        <w:rPr>
          <w:color w:val="000000" w:themeColor="text1"/>
        </w:rPr>
        <w:t xml:space="preserve"> Commission (ACC) will foster growth and make SPPB targets more attainable. There are three other critical areas of action under SPPB: (</w:t>
      </w:r>
      <w:proofErr w:type="spellStart"/>
      <w:r w:rsidRPr="00FF2844">
        <w:rPr>
          <w:color w:val="000000" w:themeColor="text1"/>
        </w:rPr>
        <w:t>i</w:t>
      </w:r>
      <w:proofErr w:type="spellEnd"/>
      <w:r w:rsidRPr="00FF2844">
        <w:rPr>
          <w:color w:val="000000" w:themeColor="text1"/>
        </w:rPr>
        <w:t>) effective system of checks and balances between the executive, legislative and the judiciary, (ii) strengthening of the election commission, and (iii) strengthening of the civil society institutions to play their proper development role in the context of a sound enabling environment. The 2041 targets are: (</w:t>
      </w:r>
      <w:proofErr w:type="spellStart"/>
      <w:r w:rsidRPr="00FF2844">
        <w:rPr>
          <w:color w:val="000000" w:themeColor="text1"/>
        </w:rPr>
        <w:t>i</w:t>
      </w:r>
      <w:proofErr w:type="spellEnd"/>
      <w:r w:rsidRPr="00FF2844">
        <w:rPr>
          <w:color w:val="000000" w:themeColor="text1"/>
        </w:rPr>
        <w:t>) fiscally empowered local government, (ii) reforming the Planning Commission to focus on strategies and policies rather than projects, (iii) tax policy reform and strengthening of tax administration for revenue mobilization, (iv) trade policy reform for competitiveness and export promotion, (v) clean banking, (vi) strong and independent EC and ACC and (vii) a strong civil society.</w:t>
      </w:r>
    </w:p>
    <w:p w:rsidR="0020777C" w:rsidRPr="00A15490" w:rsidRDefault="0069068E" w:rsidP="00903CAF">
      <w:pPr>
        <w:spacing w:before="0" w:after="200" w:line="276" w:lineRule="auto"/>
      </w:pPr>
      <w:r w:rsidRPr="002B17C3">
        <w:t xml:space="preserve">Among other issues particular attention </w:t>
      </w:r>
      <w:r w:rsidR="009E0506">
        <w:t xml:space="preserve">should </w:t>
      </w:r>
      <w:r w:rsidRPr="002B17C3">
        <w:t>be given to capacity building drawing on the framework in Figure 6.</w:t>
      </w:r>
      <w:r w:rsidR="0020777C" w:rsidRPr="002B17C3">
        <w:t xml:space="preserve"> More specifically this study will reflect on the issues highlighted by </w:t>
      </w:r>
      <w:r w:rsidR="0020777C" w:rsidRPr="00A15490">
        <w:t>Ahmed, Alamgir and Mujeri (2016):</w:t>
      </w:r>
    </w:p>
    <w:p w:rsidR="0020777C" w:rsidRPr="00A15490" w:rsidRDefault="0020777C" w:rsidP="0075498E">
      <w:pPr>
        <w:pStyle w:val="NormalWeb"/>
        <w:numPr>
          <w:ilvl w:val="0"/>
          <w:numId w:val="3"/>
        </w:numPr>
        <w:shd w:val="clear" w:color="auto" w:fill="FFFFFF"/>
        <w:spacing w:before="0" w:beforeAutospacing="0" w:after="200" w:afterAutospacing="0"/>
        <w:jc w:val="both"/>
        <w:rPr>
          <w:b w:val="0"/>
          <w:color w:val="000000" w:themeColor="text1"/>
        </w:rPr>
      </w:pPr>
      <w:r w:rsidRPr="00A15490">
        <w:rPr>
          <w:b w:val="0"/>
          <w:color w:val="000000" w:themeColor="text1"/>
        </w:rPr>
        <w:t>Strengthening economic institutions focused on budget management; public resource mobilization; fiscal decentralization.</w:t>
      </w:r>
      <w:r w:rsidR="00E06C29">
        <w:rPr>
          <w:b w:val="0"/>
          <w:color w:val="000000" w:themeColor="text1"/>
        </w:rPr>
        <w:t xml:space="preserve"> The starting point could be principles developed by Ahmed (2016) for fiscal policy for middle-income Bangladesh.</w:t>
      </w:r>
    </w:p>
    <w:p w:rsidR="0020777C" w:rsidRPr="00A15490" w:rsidRDefault="0020777C" w:rsidP="0075498E">
      <w:pPr>
        <w:pStyle w:val="NormalWeb"/>
        <w:numPr>
          <w:ilvl w:val="0"/>
          <w:numId w:val="3"/>
        </w:numPr>
        <w:shd w:val="clear" w:color="auto" w:fill="FFFFFF"/>
        <w:spacing w:before="0" w:beforeAutospacing="0" w:after="200" w:afterAutospacing="0"/>
        <w:jc w:val="both"/>
        <w:rPr>
          <w:b w:val="0"/>
          <w:color w:val="000000" w:themeColor="text1"/>
        </w:rPr>
      </w:pPr>
      <w:r w:rsidRPr="00A15490">
        <w:rPr>
          <w:b w:val="0"/>
          <w:color w:val="000000" w:themeColor="text1"/>
        </w:rPr>
        <w:t>Strengthening financial institutions with priority given to greater independence to the Bangladesh Bank; reforming public banks; strengthening supervision and portfolio of private banks; addressing the issue of non-repayment of loans by influential borrowers; strengthening the SEC; developing the capital markets; and further deepening financial inclusion (MFS and MFIs).</w:t>
      </w:r>
      <w:r w:rsidR="00E06C29">
        <w:rPr>
          <w:b w:val="0"/>
          <w:color w:val="000000" w:themeColor="text1"/>
        </w:rPr>
        <w:t xml:space="preserve"> The starting point could be recent contributions by Alamgir (2015b) and Rahman </w:t>
      </w:r>
      <w:r w:rsidR="00CA7138">
        <w:rPr>
          <w:b w:val="0"/>
          <w:color w:val="000000" w:themeColor="text1"/>
        </w:rPr>
        <w:t>(2015 and 2016).</w:t>
      </w:r>
    </w:p>
    <w:p w:rsidR="0020777C" w:rsidRPr="00A15490" w:rsidRDefault="0020777C" w:rsidP="0075498E">
      <w:pPr>
        <w:pStyle w:val="NormalWeb"/>
        <w:numPr>
          <w:ilvl w:val="0"/>
          <w:numId w:val="3"/>
        </w:numPr>
        <w:shd w:val="clear" w:color="auto" w:fill="FFFFFF"/>
        <w:spacing w:before="0" w:beforeAutospacing="0" w:after="200" w:afterAutospacing="0"/>
        <w:jc w:val="both"/>
        <w:rPr>
          <w:b w:val="0"/>
          <w:color w:val="000000" w:themeColor="text1"/>
        </w:rPr>
      </w:pPr>
      <w:r w:rsidRPr="00A15490">
        <w:rPr>
          <w:b w:val="0"/>
          <w:color w:val="000000" w:themeColor="text1"/>
        </w:rPr>
        <w:t>Strengthening the public administration capacity through civil service reforms; establishing strong and accountable local governments; and strengthening the ACC.</w:t>
      </w:r>
      <w:r w:rsidR="00C91986">
        <w:rPr>
          <w:b w:val="0"/>
          <w:color w:val="000000" w:themeColor="text1"/>
        </w:rPr>
        <w:t xml:space="preserve"> The starting point could be the analysis and recommendations in Shams (2015).</w:t>
      </w:r>
    </w:p>
    <w:p w:rsidR="002A46E0" w:rsidRPr="00C91986" w:rsidRDefault="0020777C" w:rsidP="0075498E">
      <w:pPr>
        <w:pStyle w:val="NormalWeb"/>
        <w:numPr>
          <w:ilvl w:val="0"/>
          <w:numId w:val="3"/>
        </w:numPr>
        <w:shd w:val="clear" w:color="auto" w:fill="FFFFFF"/>
        <w:spacing w:before="0" w:beforeAutospacing="0" w:after="200" w:afterAutospacing="0"/>
        <w:jc w:val="both"/>
        <w:rPr>
          <w:b w:val="0"/>
          <w:color w:val="000000" w:themeColor="text1"/>
        </w:rPr>
      </w:pPr>
      <w:r w:rsidRPr="00A15490">
        <w:rPr>
          <w:b w:val="0"/>
          <w:color w:val="000000" w:themeColor="text1"/>
        </w:rPr>
        <w:t xml:space="preserve">Strengthening political institutions with priority given to establishing a more accountable governance system through the proper separation of power where there is an effective system of checks and balances between the operations of the three tiers of the government: executive, legislative and the judiciary; strengthening the election commission to enable a </w:t>
      </w:r>
      <w:r w:rsidRPr="00A15490">
        <w:rPr>
          <w:b w:val="0"/>
          <w:color w:val="000000" w:themeColor="text1"/>
        </w:rPr>
        <w:lastRenderedPageBreak/>
        <w:t>truly pluralistic parliamentary democracy; developing an enabling environment for opposition parties to fully participate in parliamentary proceedings; establishing the rule of law for all; strengthening law enforcement agencies; and creating a strong and independent judiciary to arbitrate on all legal and constitutional issues irrespective of interest group pressures and lobbies.</w:t>
      </w:r>
      <w:r w:rsidR="00C91986">
        <w:rPr>
          <w:b w:val="0"/>
          <w:color w:val="000000" w:themeColor="text1"/>
        </w:rPr>
        <w:t xml:space="preserve"> The starting point could be the analysis and recommendations in </w:t>
      </w:r>
      <w:r w:rsidR="00C91986" w:rsidRPr="00C91986">
        <w:rPr>
          <w:b w:val="0"/>
        </w:rPr>
        <w:t>Ahmed, Alamgir and Mujeri (2016)</w:t>
      </w:r>
      <w:r w:rsidR="00C91986">
        <w:rPr>
          <w:b w:val="0"/>
        </w:rPr>
        <w:t>.</w:t>
      </w:r>
      <w:r w:rsidRPr="00C91986">
        <w:rPr>
          <w:b w:val="0"/>
          <w:color w:val="000000" w:themeColor="text1"/>
        </w:rPr>
        <w:t xml:space="preserve">   </w:t>
      </w:r>
    </w:p>
    <w:p w:rsidR="0069068E" w:rsidRDefault="0020777C" w:rsidP="0075498E">
      <w:pPr>
        <w:pStyle w:val="NormalWeb"/>
        <w:numPr>
          <w:ilvl w:val="0"/>
          <w:numId w:val="3"/>
        </w:numPr>
        <w:shd w:val="clear" w:color="auto" w:fill="FFFFFF"/>
        <w:spacing w:before="0" w:beforeAutospacing="0" w:after="200" w:afterAutospacing="0"/>
        <w:jc w:val="both"/>
        <w:rPr>
          <w:b w:val="0"/>
          <w:color w:val="000000" w:themeColor="text1"/>
        </w:rPr>
      </w:pPr>
      <w:r w:rsidRPr="00A15490">
        <w:rPr>
          <w:b w:val="0"/>
          <w:color w:val="000000" w:themeColor="text1"/>
        </w:rPr>
        <w:t>Strengthening civil society institutions to play their proper development role in the context of a sound enabling environment that is truly enabling rather than control oriented but also provides for transparent and accountable rules of financing and engagement.</w:t>
      </w:r>
      <w:r w:rsidR="00C91986">
        <w:rPr>
          <w:b w:val="0"/>
          <w:color w:val="000000" w:themeColor="text1"/>
        </w:rPr>
        <w:t xml:space="preserve"> The starting point could be the analysis and recommendations in </w:t>
      </w:r>
      <w:r w:rsidR="00C91986" w:rsidRPr="00C91986">
        <w:rPr>
          <w:b w:val="0"/>
        </w:rPr>
        <w:t>Ahmed, Alamgir and Mujeri (2016)</w:t>
      </w:r>
      <w:r w:rsidR="00C91986">
        <w:rPr>
          <w:b w:val="0"/>
        </w:rPr>
        <w:t>.</w:t>
      </w:r>
    </w:p>
    <w:p w:rsidR="003734B5" w:rsidRPr="003734B5" w:rsidRDefault="00A15490" w:rsidP="00397FED">
      <w:pPr>
        <w:pStyle w:val="ListParagraph"/>
        <w:numPr>
          <w:ilvl w:val="0"/>
          <w:numId w:val="1"/>
        </w:numPr>
        <w:spacing w:before="0" w:after="200" w:line="276" w:lineRule="auto"/>
        <w:contextualSpacing w:val="0"/>
        <w:rPr>
          <w:rFonts w:ascii="Times New Roman" w:hAnsi="Times New Roman" w:cs="Times New Roman"/>
          <w:caps/>
        </w:rPr>
      </w:pPr>
      <w:r>
        <w:rPr>
          <w:rFonts w:ascii="Times New Roman" w:hAnsi="Times New Roman" w:cs="Times New Roman"/>
          <w:b/>
          <w:caps/>
          <w:color w:val="2B5A6F"/>
        </w:rPr>
        <w:t>2041 PERSPECTIVE PLAN VISION AND TARGETS FOR INSTITUTIONAL DEVELOPMENT</w:t>
      </w:r>
    </w:p>
    <w:p w:rsidR="004D7E6E" w:rsidRPr="002B6A3C" w:rsidRDefault="002B6A3C" w:rsidP="003734B5">
      <w:pPr>
        <w:spacing w:before="0" w:after="200" w:line="276" w:lineRule="auto"/>
        <w:rPr>
          <w:color w:val="000000"/>
        </w:rPr>
      </w:pPr>
      <w:r>
        <w:rPr>
          <w:color w:val="000000"/>
        </w:rPr>
        <w:t xml:space="preserve">The 2041 vision, benchmarks, milestones and targets are laid out in Table </w:t>
      </w:r>
      <w:r w:rsidR="00464C7D">
        <w:rPr>
          <w:color w:val="000000"/>
        </w:rPr>
        <w:t>13 and discussed briefly below.</w:t>
      </w:r>
    </w:p>
    <w:p w:rsidR="00391466" w:rsidRDefault="00391466" w:rsidP="003734B5">
      <w:pPr>
        <w:spacing w:before="0" w:after="200" w:line="276" w:lineRule="auto"/>
        <w:rPr>
          <w:b/>
          <w:color w:val="000000"/>
        </w:rPr>
      </w:pPr>
      <w:r>
        <w:rPr>
          <w:b/>
          <w:color w:val="000000"/>
        </w:rPr>
        <w:t>Vision</w:t>
      </w:r>
    </w:p>
    <w:p w:rsidR="00391466" w:rsidRPr="004D7E6E" w:rsidRDefault="00391466" w:rsidP="004D7E6E">
      <w:pPr>
        <w:pStyle w:val="ListParagraph"/>
        <w:numPr>
          <w:ilvl w:val="0"/>
          <w:numId w:val="56"/>
        </w:numPr>
        <w:spacing w:before="0" w:after="200" w:line="276" w:lineRule="auto"/>
        <w:rPr>
          <w:rFonts w:ascii="Times New Roman" w:hAnsi="Times New Roman" w:cs="Times New Roman"/>
          <w:color w:val="000000"/>
        </w:rPr>
      </w:pPr>
      <w:r w:rsidRPr="004D7E6E">
        <w:rPr>
          <w:rFonts w:ascii="Times New Roman" w:hAnsi="Times New Roman" w:cs="Times New Roman"/>
          <w:color w:val="000000"/>
        </w:rPr>
        <w:t>Bangladesh will be a developed country by 2041 with per capita income of $12,500 in today’s prices</w:t>
      </w:r>
    </w:p>
    <w:p w:rsidR="00391466" w:rsidRPr="004D7E6E" w:rsidRDefault="00391466" w:rsidP="004D7E6E">
      <w:pPr>
        <w:pStyle w:val="ListParagraph"/>
        <w:numPr>
          <w:ilvl w:val="0"/>
          <w:numId w:val="56"/>
        </w:numPr>
        <w:spacing w:before="0" w:after="200" w:line="276" w:lineRule="auto"/>
        <w:rPr>
          <w:rFonts w:ascii="Times New Roman" w:hAnsi="Times New Roman" w:cs="Times New Roman"/>
          <w:color w:val="000000"/>
        </w:rPr>
      </w:pPr>
      <w:r w:rsidRPr="004D7E6E">
        <w:rPr>
          <w:rFonts w:ascii="Times New Roman" w:hAnsi="Times New Roman" w:cs="Times New Roman"/>
          <w:color w:val="000000"/>
        </w:rPr>
        <w:t xml:space="preserve">There will be no hungry stomach ever in </w:t>
      </w:r>
      <w:r w:rsidRPr="004D7E6E">
        <w:rPr>
          <w:rFonts w:ascii="Times New Roman" w:hAnsi="Times New Roman" w:cs="Times New Roman"/>
          <w:i/>
          <w:color w:val="000000"/>
        </w:rPr>
        <w:t>Sonar Bangla</w:t>
      </w:r>
    </w:p>
    <w:p w:rsidR="004D7E6E" w:rsidRDefault="00464C7D" w:rsidP="003734B5">
      <w:pPr>
        <w:spacing w:before="0" w:after="200" w:line="276" w:lineRule="auto"/>
        <w:rPr>
          <w:color w:val="000000"/>
        </w:rPr>
      </w:pPr>
      <w:r>
        <w:rPr>
          <w:color w:val="000000"/>
        </w:rPr>
        <w:t xml:space="preserve">The vision statement tries to capture aspiration </w:t>
      </w:r>
      <w:r w:rsidR="00832DD4">
        <w:rPr>
          <w:color w:val="000000"/>
        </w:rPr>
        <w:t xml:space="preserve">of the people of Bangladesh which </w:t>
      </w:r>
      <w:r>
        <w:rPr>
          <w:color w:val="000000"/>
        </w:rPr>
        <w:t xml:space="preserve">is good and improving life, freedom from hunger and </w:t>
      </w:r>
      <w:r w:rsidR="00832DD4">
        <w:rPr>
          <w:color w:val="000000"/>
        </w:rPr>
        <w:t>peace.</w:t>
      </w:r>
    </w:p>
    <w:p w:rsidR="00832DD4" w:rsidRPr="00832DD4" w:rsidRDefault="00832DD4" w:rsidP="003734B5">
      <w:pPr>
        <w:spacing w:before="0" w:after="200" w:line="276" w:lineRule="auto"/>
        <w:rPr>
          <w:b/>
          <w:color w:val="000000"/>
        </w:rPr>
      </w:pPr>
      <w:r>
        <w:rPr>
          <w:b/>
          <w:color w:val="000000"/>
        </w:rPr>
        <w:t>Targets</w:t>
      </w:r>
    </w:p>
    <w:p w:rsidR="00AB3213" w:rsidRPr="00AB3213" w:rsidRDefault="00AB3213" w:rsidP="00AB3213">
      <w:pPr>
        <w:spacing w:before="0" w:after="200" w:line="276" w:lineRule="auto"/>
        <w:rPr>
          <w:color w:val="000000"/>
        </w:rPr>
      </w:pPr>
      <w:r>
        <w:rPr>
          <w:b/>
          <w:color w:val="000000"/>
        </w:rPr>
        <w:t xml:space="preserve">Planning. </w:t>
      </w:r>
      <w:r w:rsidRPr="00AB3213">
        <w:t>Plans are paper products with realization lagging far behind targets.</w:t>
      </w:r>
      <w:r>
        <w:t xml:space="preserve"> This is projected to change over SPPB. The indicator used is plan target achievement. From the current indifferent achievement at 50-60% realization</w:t>
      </w:r>
      <w:r w:rsidR="00200ADB">
        <w:t xml:space="preserve"> of projects and programs</w:t>
      </w:r>
      <w:r>
        <w:t xml:space="preserve">, achievement will move up to </w:t>
      </w:r>
      <w:r w:rsidR="00C14190">
        <w:t>70% by 2021, 80-90% by 2030 and 90-100% by 2041.</w:t>
      </w:r>
      <w:r>
        <w:t xml:space="preserve">  </w:t>
      </w:r>
    </w:p>
    <w:p w:rsidR="003734B5" w:rsidRPr="003734B5" w:rsidRDefault="00200ADB" w:rsidP="00275982">
      <w:pPr>
        <w:spacing w:before="0" w:after="200" w:line="276" w:lineRule="auto"/>
        <w:rPr>
          <w:color w:val="000000" w:themeColor="text1"/>
        </w:rPr>
      </w:pPr>
      <w:r w:rsidRPr="00200ADB">
        <w:rPr>
          <w:b/>
        </w:rPr>
        <w:t>Governance.</w:t>
      </w:r>
      <w:r>
        <w:t xml:space="preserve"> </w:t>
      </w:r>
      <w:r w:rsidR="000337F6" w:rsidRPr="000337F6">
        <w:t xml:space="preserve">Challenges to address are lacking strength, competency, effectiveness, </w:t>
      </w:r>
      <w:r w:rsidR="000337F6" w:rsidRPr="00275982">
        <w:t>transparency and accountability and struggling with the serious consequences of corruption.</w:t>
      </w:r>
      <w:r w:rsidR="000337F6" w:rsidRPr="00275982">
        <w:rPr>
          <w:color w:val="000000"/>
        </w:rPr>
        <w:t xml:space="preserve"> </w:t>
      </w:r>
      <w:r w:rsidR="005F70F1" w:rsidRPr="00275982">
        <w:rPr>
          <w:color w:val="000000"/>
        </w:rPr>
        <w:t xml:space="preserve">Indicator used is </w:t>
      </w:r>
      <w:r w:rsidR="00275982" w:rsidRPr="00275982">
        <w:t xml:space="preserve">World Bank governance effectiveness score 2015. </w:t>
      </w:r>
      <w:r w:rsidR="003734B5" w:rsidRPr="00275982">
        <w:rPr>
          <w:color w:val="000000"/>
        </w:rPr>
        <w:t>The framework for good governance which all stakeholders should be adhering to (Figure 4) will help identify policies and strategies to raise Bangladesh’s governance score from the range of -0.47 to -0.94 to 1.3 and above (today’s Malaysia).</w:t>
      </w:r>
      <w:r w:rsidR="003734B5" w:rsidRPr="00275982">
        <w:rPr>
          <w:color w:val="000000" w:themeColor="text1"/>
        </w:rPr>
        <w:t xml:space="preserve"> The framework should help analyze current situations, identify potential areas of improvement</w:t>
      </w:r>
      <w:r w:rsidR="003734B5" w:rsidRPr="003734B5">
        <w:rPr>
          <w:color w:val="000000" w:themeColor="text1"/>
        </w:rPr>
        <w:t>, assess feasibility and steps needed. The civil society can help holding government responsible for its use of public resources.</w:t>
      </w:r>
    </w:p>
    <w:p w:rsidR="009C7260" w:rsidRDefault="009C7260" w:rsidP="00482F2E">
      <w:pPr>
        <w:spacing w:before="0" w:after="200" w:line="276" w:lineRule="auto"/>
        <w:rPr>
          <w:color w:val="333333"/>
        </w:rPr>
      </w:pPr>
      <w:r>
        <w:rPr>
          <w:color w:val="000000" w:themeColor="text1"/>
        </w:rPr>
        <w:lastRenderedPageBreak/>
        <w:t>T</w:t>
      </w:r>
      <w:r w:rsidRPr="00283613">
        <w:rPr>
          <w:color w:val="000000" w:themeColor="text1"/>
        </w:rPr>
        <w:t>he governance target for 2041 is aggregate as well as component scores at the level of today’s developed countries. In terms of governance effectiveness, this will mean moving from current score of -0.73 to 1.5 or above by 2041which is in the range of today’s developed countries. Strategies to achieve target include (</w:t>
      </w:r>
      <w:proofErr w:type="spellStart"/>
      <w:r w:rsidRPr="00283613">
        <w:rPr>
          <w:color w:val="000000" w:themeColor="text1"/>
        </w:rPr>
        <w:t>i</w:t>
      </w:r>
      <w:proofErr w:type="spellEnd"/>
      <w:r w:rsidRPr="00283613">
        <w:rPr>
          <w:color w:val="000000" w:themeColor="text1"/>
        </w:rPr>
        <w:t>) a</w:t>
      </w:r>
      <w:r w:rsidRPr="00283613">
        <w:t xml:space="preserve">dhering to seven key principles of governance applied to 8 institutions of governance </w:t>
      </w:r>
      <w:r w:rsidRPr="00ED3298">
        <w:rPr>
          <w:color w:val="000000" w:themeColor="text1"/>
        </w:rPr>
        <w:t xml:space="preserve">(Figure 4), </w:t>
      </w:r>
      <w:r w:rsidRPr="00283613">
        <w:rPr>
          <w:color w:val="000000" w:themeColor="text1"/>
        </w:rPr>
        <w:t xml:space="preserve">(ii) reforming civil service and public financial management, and (iii) strengthening and empowering </w:t>
      </w:r>
      <w:r>
        <w:rPr>
          <w:color w:val="000000" w:themeColor="text1"/>
        </w:rPr>
        <w:t xml:space="preserve">the EC and the </w:t>
      </w:r>
      <w:r w:rsidRPr="00283613">
        <w:rPr>
          <w:color w:val="000000" w:themeColor="text1"/>
        </w:rPr>
        <w:t>ACC</w:t>
      </w:r>
      <w:r>
        <w:rPr>
          <w:color w:val="000000" w:themeColor="text1"/>
        </w:rPr>
        <w:t xml:space="preserve"> as both </w:t>
      </w:r>
      <w:r w:rsidRPr="00DB44AA">
        <w:rPr>
          <w:color w:val="000000" w:themeColor="text1"/>
        </w:rPr>
        <w:t>suffer from credibility crisis</w:t>
      </w:r>
      <w:r w:rsidRPr="00283613">
        <w:rPr>
          <w:color w:val="000000" w:themeColor="text1"/>
        </w:rPr>
        <w:t>.</w:t>
      </w:r>
    </w:p>
    <w:p w:rsidR="005F70F1" w:rsidRPr="005F70F1" w:rsidRDefault="005F70F1" w:rsidP="005F70F1">
      <w:pPr>
        <w:spacing w:before="0" w:after="200" w:line="276" w:lineRule="auto"/>
        <w:rPr>
          <w:color w:val="000000" w:themeColor="text1"/>
          <w:kern w:val="24"/>
        </w:rPr>
      </w:pPr>
      <w:r>
        <w:rPr>
          <w:b/>
          <w:color w:val="000000" w:themeColor="text1"/>
        </w:rPr>
        <w:t>Finance</w:t>
      </w:r>
      <w:r w:rsidR="00341159">
        <w:rPr>
          <w:b/>
          <w:color w:val="000000" w:themeColor="text1"/>
        </w:rPr>
        <w:t xml:space="preserve">. </w:t>
      </w:r>
      <w:r w:rsidRPr="005F70F1">
        <w:rPr>
          <w:color w:val="000000" w:themeColor="text1"/>
          <w:kern w:val="24"/>
        </w:rPr>
        <w:t xml:space="preserve">Domestic resource mobilization inadequate to meet financing needs of a growing economy; financial governance is weak; sub-optimal resource allocation; Foreign Direct Investment (FDI) is anemic; the financial sector is fragmented; and inadequate synergy between monetary and fiscal policy. </w:t>
      </w:r>
    </w:p>
    <w:p w:rsidR="005F70F1" w:rsidRPr="005F70F1" w:rsidRDefault="005F70F1" w:rsidP="005F70F1">
      <w:pPr>
        <w:spacing w:before="0" w:after="200" w:line="276" w:lineRule="auto"/>
        <w:rPr>
          <w:color w:val="000000" w:themeColor="text1"/>
        </w:rPr>
      </w:pPr>
      <w:r w:rsidRPr="005F70F1">
        <w:rPr>
          <w:color w:val="000000" w:themeColor="text1"/>
          <w:kern w:val="24"/>
        </w:rPr>
        <w:t xml:space="preserve">Three indicators are used to set targets. These are </w:t>
      </w:r>
      <w:r w:rsidRPr="005F70F1">
        <w:t>CPIA economic management cluster average (1=low to 6=high) 2015, Tax/GDP ratio and FDI</w:t>
      </w:r>
      <w:r>
        <w:t xml:space="preserve"> (US$ million).</w:t>
      </w:r>
    </w:p>
    <w:p w:rsidR="009C7260" w:rsidRDefault="009C7260" w:rsidP="005F70F1">
      <w:pPr>
        <w:spacing w:before="0" w:after="200" w:line="276" w:lineRule="auto"/>
        <w:rPr>
          <w:color w:val="000000" w:themeColor="text1"/>
        </w:rPr>
      </w:pPr>
      <w:r w:rsidRPr="005F70F1">
        <w:rPr>
          <w:color w:val="000000" w:themeColor="text1"/>
        </w:rPr>
        <w:t xml:space="preserve">In terms of </w:t>
      </w:r>
      <w:r w:rsidR="00275982">
        <w:rPr>
          <w:color w:val="000000" w:themeColor="text1"/>
        </w:rPr>
        <w:t xml:space="preserve">World Bank </w:t>
      </w:r>
      <w:r w:rsidRPr="005F70F1">
        <w:rPr>
          <w:color w:val="000000" w:themeColor="text1"/>
        </w:rPr>
        <w:t>CPIA economic management cluster average</w:t>
      </w:r>
      <w:r w:rsidR="00275982">
        <w:rPr>
          <w:color w:val="000000" w:themeColor="text1"/>
        </w:rPr>
        <w:t xml:space="preserve">, Bangladesh should be moving from the </w:t>
      </w:r>
      <w:r w:rsidRPr="005F70F1">
        <w:rPr>
          <w:color w:val="000000" w:themeColor="text1"/>
        </w:rPr>
        <w:t>current score of 3.83 to 5 or above by 2041</w:t>
      </w:r>
      <w:r w:rsidR="00275982">
        <w:rPr>
          <w:color w:val="000000" w:themeColor="text1"/>
        </w:rPr>
        <w:t>o</w:t>
      </w:r>
      <w:r w:rsidRPr="005F70F1">
        <w:rPr>
          <w:color w:val="000000" w:themeColor="text1"/>
        </w:rPr>
        <w:t>n a scale of 1 to 6.</w:t>
      </w:r>
    </w:p>
    <w:p w:rsidR="00815760" w:rsidRDefault="00815760" w:rsidP="005F70F1">
      <w:pPr>
        <w:spacing w:before="0" w:after="200" w:line="276" w:lineRule="auto"/>
      </w:pPr>
      <w:r w:rsidRPr="00341159">
        <w:t xml:space="preserve">Tax/GDP ratio </w:t>
      </w:r>
      <w:r w:rsidR="00341159" w:rsidRPr="00341159">
        <w:t xml:space="preserve">is low for Bangladesh compared with similarly placed or more developed countries. </w:t>
      </w:r>
      <w:r w:rsidR="00954B35">
        <w:t xml:space="preserve">Bangladesh is behind </w:t>
      </w:r>
      <w:r w:rsidR="00954B35" w:rsidRPr="00954B35">
        <w:t>Jamaica, Georgia, Belize, Mozambique, Bosnia and Herzegovina, Vietnam, Uruguay, Turkey, Chile, Thailand, Angola, Kenya, Malaysia, Nepal,</w:t>
      </w:r>
      <w:r w:rsidR="00954B35">
        <w:t xml:space="preserve"> </w:t>
      </w:r>
      <w:r w:rsidR="00954B35" w:rsidRPr="00954B35">
        <w:t>Honduras, Bhutan, Korea, Egypt,</w:t>
      </w:r>
      <w:r w:rsidR="00954B35">
        <w:t xml:space="preserve"> </w:t>
      </w:r>
      <w:r w:rsidR="00954B35" w:rsidRPr="00954B35">
        <w:t>Philippines, Cambodia, Pakistan, India</w:t>
      </w:r>
      <w:r w:rsidR="00954B35">
        <w:t xml:space="preserve"> </w:t>
      </w:r>
      <w:r w:rsidR="00954B35" w:rsidRPr="00954B35">
        <w:t>and Sri Lanka</w:t>
      </w:r>
      <w:r w:rsidR="00954B35">
        <w:rPr>
          <w:rStyle w:val="FootnoteReference"/>
        </w:rPr>
        <w:footnoteReference w:id="14"/>
      </w:r>
      <w:r w:rsidR="00954B35">
        <w:t xml:space="preserve">. </w:t>
      </w:r>
      <w:r w:rsidR="00341159" w:rsidRPr="00341159">
        <w:t xml:space="preserve">Given the imperative of resource mobilization, Tax/GDP ratio </w:t>
      </w:r>
      <w:r w:rsidRPr="00341159">
        <w:t>has to rise from the current 9</w:t>
      </w:r>
      <w:r w:rsidR="00954B35">
        <w:t>% to 12% by 2021, 15% 2030 and 3</w:t>
      </w:r>
      <w:r w:rsidRPr="00341159">
        <w:t>0% by 2041 in line with developed country status</w:t>
      </w:r>
      <w:r w:rsidR="00341159">
        <w:t>.</w:t>
      </w:r>
    </w:p>
    <w:p w:rsidR="00C70020" w:rsidRDefault="00C70020" w:rsidP="005F70F1">
      <w:pPr>
        <w:spacing w:before="0" w:after="200" w:line="276" w:lineRule="auto"/>
      </w:pPr>
      <w:r>
        <w:t xml:space="preserve">Following the same line of argument, FDI/GDP ratio need to go up from the current </w:t>
      </w:r>
      <w:r w:rsidR="002B4074">
        <w:t>1.7</w:t>
      </w:r>
      <w:r>
        <w:t xml:space="preserve">% to </w:t>
      </w:r>
      <w:r w:rsidR="002B4074">
        <w:t>5% by 2021, 15% by 2030 and 25</w:t>
      </w:r>
      <w:r>
        <w:t>% by 2041.</w:t>
      </w:r>
      <w:r w:rsidR="002B4074">
        <w:t xml:space="preserve"> In 2041, Bangladesh will be in line with today’s Malta, Mozambique and Singapore.</w:t>
      </w:r>
      <w:r w:rsidR="002B4074">
        <w:rPr>
          <w:rStyle w:val="FootnoteReference"/>
        </w:rPr>
        <w:footnoteReference w:id="15"/>
      </w:r>
    </w:p>
    <w:p w:rsidR="00B4352B" w:rsidRDefault="00B4352B" w:rsidP="005F70F1">
      <w:pPr>
        <w:spacing w:before="0" w:after="200" w:line="276" w:lineRule="auto"/>
      </w:pPr>
      <w:r>
        <w:t xml:space="preserve">Bangladesh performs poorly in NPL falling behind </w:t>
      </w:r>
      <w:r w:rsidRPr="00B4352B">
        <w:t>South Asia average, Bhutan, Kenya, Rwanda, India,</w:t>
      </w:r>
      <w:r>
        <w:t xml:space="preserve"> </w:t>
      </w:r>
      <w:r w:rsidRPr="00B4352B">
        <w:t>Uganda</w:t>
      </w:r>
      <w:r>
        <w:t xml:space="preserve">, </w:t>
      </w:r>
      <w:r w:rsidRPr="00B4352B">
        <w:t>Nigeria, Ecuador, Sri Lanka</w:t>
      </w:r>
      <w:r>
        <w:t xml:space="preserve">, </w:t>
      </w:r>
      <w:r w:rsidRPr="00B4352B">
        <w:t>Thailand, Indonesia,</w:t>
      </w:r>
      <w:r>
        <w:t xml:space="preserve"> </w:t>
      </w:r>
      <w:r w:rsidRPr="00B4352B">
        <w:t>Vietnam,</w:t>
      </w:r>
      <w:r>
        <w:t xml:space="preserve"> </w:t>
      </w:r>
      <w:r w:rsidRPr="00B4352B">
        <w:t>Philippines</w:t>
      </w:r>
      <w:r>
        <w:t xml:space="preserve">, </w:t>
      </w:r>
      <w:r w:rsidRPr="00B4352B">
        <w:t>China, Cambodia</w:t>
      </w:r>
      <w:r>
        <w:t xml:space="preserve">, </w:t>
      </w:r>
      <w:r w:rsidRPr="00B4352B">
        <w:t>Benin</w:t>
      </w:r>
      <w:r>
        <w:t xml:space="preserve">, </w:t>
      </w:r>
      <w:r w:rsidRPr="00B4352B">
        <w:t>Ethiopia and many others</w:t>
      </w:r>
      <w:r>
        <w:t xml:space="preserve"> in 2015</w:t>
      </w:r>
      <w:r>
        <w:rPr>
          <w:rStyle w:val="FootnoteReference"/>
        </w:rPr>
        <w:footnoteReference w:id="16"/>
      </w:r>
      <w:r>
        <w:t>. Following the global cross-country trend, NPL in Bangladesh should go down from the current high of 10.5% to 8% by 2021, 5% by 2030 and 1.5% by 2041. Given the dynamics of financial governance in Bangladesh and the role politics play in banking these targets are challenging but options are few. Sound banking is essence of growth.</w:t>
      </w:r>
    </w:p>
    <w:p w:rsidR="00CD4923" w:rsidRDefault="00CD4923" w:rsidP="00A00187">
      <w:pPr>
        <w:spacing w:after="0" w:line="276" w:lineRule="auto"/>
        <w:contextualSpacing/>
        <w:rPr>
          <w:b/>
        </w:rPr>
      </w:pPr>
    </w:p>
    <w:p w:rsidR="00A00187" w:rsidRPr="00A00187" w:rsidRDefault="00A00187" w:rsidP="00A00187">
      <w:pPr>
        <w:spacing w:after="0" w:line="276" w:lineRule="auto"/>
        <w:contextualSpacing/>
        <w:rPr>
          <w:b/>
        </w:rPr>
      </w:pPr>
      <w:r w:rsidRPr="00A00187">
        <w:rPr>
          <w:b/>
        </w:rPr>
        <w:lastRenderedPageBreak/>
        <w:t xml:space="preserve">Table 13. Development indicators, benchmark, milestones and 2041 targets </w:t>
      </w:r>
    </w:p>
    <w:tbl>
      <w:tblPr>
        <w:tblStyle w:val="TableGrid"/>
        <w:tblW w:w="9090" w:type="dxa"/>
        <w:tblLook w:val="04A0" w:firstRow="1" w:lastRow="0" w:firstColumn="1" w:lastColumn="0" w:noHBand="0" w:noVBand="1"/>
      </w:tblPr>
      <w:tblGrid>
        <w:gridCol w:w="1748"/>
        <w:gridCol w:w="1865"/>
        <w:gridCol w:w="1589"/>
        <w:gridCol w:w="2136"/>
        <w:gridCol w:w="1752"/>
      </w:tblGrid>
      <w:tr w:rsidR="00A00187" w:rsidRPr="00A00187" w:rsidTr="00A9053C">
        <w:trPr>
          <w:tblHeader/>
        </w:trPr>
        <w:tc>
          <w:tcPr>
            <w:tcW w:w="1748" w:type="dxa"/>
            <w:vMerge w:val="restart"/>
            <w:tcBorders>
              <w:top w:val="single" w:sz="4" w:space="0" w:color="auto"/>
              <w:left w:val="single" w:sz="4" w:space="0" w:color="auto"/>
              <w:bottom w:val="single" w:sz="4" w:space="0" w:color="auto"/>
              <w:right w:val="single" w:sz="4" w:space="0" w:color="auto"/>
            </w:tcBorders>
            <w:vAlign w:val="center"/>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Indicator</w:t>
            </w:r>
          </w:p>
        </w:tc>
        <w:tc>
          <w:tcPr>
            <w:tcW w:w="1865" w:type="dxa"/>
            <w:vMerge w:val="restart"/>
            <w:tcBorders>
              <w:top w:val="single" w:sz="4" w:space="0" w:color="auto"/>
              <w:left w:val="single" w:sz="4" w:space="0" w:color="auto"/>
              <w:bottom w:val="single" w:sz="4" w:space="0" w:color="auto"/>
              <w:right w:val="single" w:sz="4" w:space="0" w:color="auto"/>
            </w:tcBorders>
            <w:vAlign w:val="center"/>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Benchmark 2017</w:t>
            </w:r>
          </w:p>
        </w:tc>
        <w:tc>
          <w:tcPr>
            <w:tcW w:w="3725" w:type="dxa"/>
            <w:gridSpan w:val="2"/>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 xml:space="preserve">Milestones </w:t>
            </w:r>
          </w:p>
        </w:tc>
        <w:tc>
          <w:tcPr>
            <w:tcW w:w="1752"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Targets</w:t>
            </w:r>
          </w:p>
        </w:tc>
      </w:tr>
      <w:tr w:rsidR="00A00187" w:rsidRPr="00A00187" w:rsidTr="00A9053C">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0187" w:rsidRPr="00A00187" w:rsidRDefault="00A00187" w:rsidP="00A9053C">
            <w:pPr>
              <w:rPr>
                <w:rFonts w:ascii="Times New Roman" w:hAnsi="Times New Roman" w:cs="Times New Roman"/>
                <w:b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0187" w:rsidRPr="00A00187" w:rsidRDefault="00A00187" w:rsidP="00A9053C">
            <w:pP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2021</w:t>
            </w:r>
          </w:p>
        </w:tc>
        <w:tc>
          <w:tcPr>
            <w:tcW w:w="2136"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2030</w:t>
            </w:r>
          </w:p>
        </w:tc>
        <w:tc>
          <w:tcPr>
            <w:tcW w:w="1752"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2041</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sz w:val="18"/>
                <w:szCs w:val="18"/>
              </w:rPr>
            </w:pPr>
            <w:r w:rsidRPr="00A00187">
              <w:rPr>
                <w:rFonts w:ascii="Times New Roman" w:hAnsi="Times New Roman" w:cs="Times New Roman"/>
                <w:sz w:val="18"/>
                <w:szCs w:val="18"/>
              </w:rPr>
              <w:t>Vision</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b w:val="0"/>
                <w:sz w:val="18"/>
                <w:szCs w:val="18"/>
              </w:rPr>
            </w:pPr>
            <w:r w:rsidRPr="00A00187">
              <w:rPr>
                <w:rFonts w:ascii="Times New Roman" w:hAnsi="Times New Roman" w:cs="Times New Roman"/>
                <w:sz w:val="18"/>
                <w:szCs w:val="18"/>
              </w:rPr>
              <w:t>Bangladesh a developed country by 2014 with per capita income of $12,500 in today’s prices</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sz w:val="18"/>
                <w:szCs w:val="18"/>
              </w:rPr>
            </w:pPr>
            <w:r w:rsidRPr="00A00187">
              <w:rPr>
                <w:rFonts w:ascii="Times New Roman" w:hAnsi="Times New Roman" w:cs="Times New Roman"/>
                <w:sz w:val="18"/>
                <w:szCs w:val="18"/>
              </w:rPr>
              <w:t>There will be no hungry stomach ever in Sonar Bangla</w:t>
            </w: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pStyle w:val="ListParagraph"/>
              <w:tabs>
                <w:tab w:val="left" w:pos="156"/>
              </w:tabs>
              <w:spacing w:line="276" w:lineRule="auto"/>
              <w:ind w:left="-29"/>
              <w:rPr>
                <w:rFonts w:ascii="Times New Roman" w:hAnsi="Times New Roman" w:cs="Times New Roman"/>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Planning</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Plan target achievement (%)</w:t>
            </w:r>
          </w:p>
        </w:tc>
        <w:tc>
          <w:tcPr>
            <w:tcW w:w="1865"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Indifferent – 50 to 60 % realization</w:t>
            </w:r>
          </w:p>
        </w:tc>
        <w:tc>
          <w:tcPr>
            <w:tcW w:w="1589"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70%</w:t>
            </w:r>
          </w:p>
        </w:tc>
        <w:tc>
          <w:tcPr>
            <w:tcW w:w="2136"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80%-90%</w:t>
            </w:r>
          </w:p>
        </w:tc>
        <w:tc>
          <w:tcPr>
            <w:tcW w:w="1752"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90%-100%</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Governance</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World Bank governance effectiveness score 2015</w:t>
            </w:r>
          </w:p>
        </w:tc>
        <w:tc>
          <w:tcPr>
            <w:tcW w:w="1865"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-0.73</w:t>
            </w:r>
          </w:p>
        </w:tc>
        <w:tc>
          <w:tcPr>
            <w:tcW w:w="1589"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-0.50</w:t>
            </w:r>
          </w:p>
        </w:tc>
        <w:tc>
          <w:tcPr>
            <w:tcW w:w="2136"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1.00</w:t>
            </w: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1.50</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(among developed country group)</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3C6AAB" w:rsidP="00A9053C">
            <w:pPr>
              <w:spacing w:line="276" w:lineRule="auto"/>
              <w:contextualSpacing/>
              <w:rPr>
                <w:rFonts w:ascii="Times New Roman" w:hAnsi="Times New Roman" w:cs="Times New Roman"/>
                <w:sz w:val="18"/>
                <w:szCs w:val="18"/>
              </w:rPr>
            </w:pPr>
            <w:r>
              <w:rPr>
                <w:rFonts w:ascii="Times New Roman" w:hAnsi="Times New Roman" w:cs="Times New Roman"/>
                <w:sz w:val="18"/>
                <w:szCs w:val="18"/>
              </w:rPr>
              <w:t>Finance</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CPIA economic management cluster average (1=low to 6=high) 2015</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Tax/GDP ratio</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FDI/GDP</w:t>
            </w:r>
            <w:r w:rsidR="002B4074">
              <w:rPr>
                <w:rFonts w:ascii="Times New Roman" w:hAnsi="Times New Roman" w:cs="Times New Roman"/>
                <w:b w:val="0"/>
                <w:sz w:val="18"/>
                <w:szCs w:val="18"/>
              </w:rPr>
              <w:t xml:space="preserve"> (net inflow)</w:t>
            </w:r>
          </w:p>
          <w:p w:rsidR="00CD4923" w:rsidRDefault="00CD4923" w:rsidP="00A9053C">
            <w:pPr>
              <w:spacing w:line="276" w:lineRule="auto"/>
              <w:contextualSpacing/>
              <w:rPr>
                <w:rFonts w:ascii="Times New Roman" w:hAnsi="Times New Roman" w:cs="Times New Roman"/>
                <w:b w:val="0"/>
                <w:sz w:val="18"/>
                <w:szCs w:val="18"/>
              </w:rPr>
            </w:pPr>
          </w:p>
          <w:p w:rsidR="00CD4923" w:rsidRPr="00A00187" w:rsidRDefault="00CD4923"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NPL</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3.83</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9.0</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Default="002B4074"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1.7</w:t>
            </w:r>
          </w:p>
          <w:p w:rsidR="00CD4923" w:rsidRDefault="00CD4923" w:rsidP="00A9053C">
            <w:pPr>
              <w:spacing w:line="276" w:lineRule="auto"/>
              <w:contextualSpacing/>
              <w:jc w:val="center"/>
              <w:rPr>
                <w:rFonts w:ascii="Times New Roman" w:hAnsi="Times New Roman" w:cs="Times New Roman"/>
                <w:b w:val="0"/>
                <w:sz w:val="18"/>
                <w:szCs w:val="18"/>
              </w:rPr>
            </w:pPr>
          </w:p>
          <w:p w:rsidR="00CD4923" w:rsidRDefault="00CD4923" w:rsidP="00A9053C">
            <w:pPr>
              <w:spacing w:line="276" w:lineRule="auto"/>
              <w:contextualSpacing/>
              <w:jc w:val="center"/>
              <w:rPr>
                <w:rFonts w:ascii="Times New Roman" w:hAnsi="Times New Roman" w:cs="Times New Roman"/>
                <w:b w:val="0"/>
                <w:sz w:val="18"/>
                <w:szCs w:val="18"/>
              </w:rPr>
            </w:pPr>
          </w:p>
          <w:p w:rsidR="00A00187" w:rsidRPr="00A00187" w:rsidRDefault="00CD4923" w:rsidP="00CD4923">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10.5</w:t>
            </w: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4.00</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12.0</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Default="002B4074"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5</w:t>
            </w:r>
            <w:r w:rsidR="00A00187" w:rsidRPr="00A00187">
              <w:rPr>
                <w:rFonts w:ascii="Times New Roman" w:hAnsi="Times New Roman" w:cs="Times New Roman"/>
                <w:b w:val="0"/>
                <w:sz w:val="18"/>
                <w:szCs w:val="18"/>
              </w:rPr>
              <w:t>.0</w:t>
            </w:r>
          </w:p>
          <w:p w:rsidR="00CD4923" w:rsidRDefault="00CD4923" w:rsidP="00A9053C">
            <w:pPr>
              <w:spacing w:line="276" w:lineRule="auto"/>
              <w:contextualSpacing/>
              <w:jc w:val="center"/>
              <w:rPr>
                <w:rFonts w:ascii="Times New Roman" w:hAnsi="Times New Roman" w:cs="Times New Roman"/>
                <w:b w:val="0"/>
                <w:sz w:val="18"/>
                <w:szCs w:val="18"/>
              </w:rPr>
            </w:pPr>
          </w:p>
          <w:p w:rsidR="00CD4923" w:rsidRDefault="00CD4923" w:rsidP="00A9053C">
            <w:pPr>
              <w:spacing w:line="276" w:lineRule="auto"/>
              <w:contextualSpacing/>
              <w:jc w:val="center"/>
              <w:rPr>
                <w:rFonts w:ascii="Times New Roman" w:hAnsi="Times New Roman" w:cs="Times New Roman"/>
                <w:b w:val="0"/>
                <w:sz w:val="18"/>
                <w:szCs w:val="18"/>
              </w:rPr>
            </w:pPr>
          </w:p>
          <w:p w:rsidR="00A00187" w:rsidRPr="00A00187" w:rsidRDefault="00CD4923" w:rsidP="00CD4923">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8.0</w:t>
            </w: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4.50</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15.0</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Default="002B4074"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15</w:t>
            </w:r>
            <w:r w:rsidR="00A00187" w:rsidRPr="00A00187">
              <w:rPr>
                <w:rFonts w:ascii="Times New Roman" w:hAnsi="Times New Roman" w:cs="Times New Roman"/>
                <w:b w:val="0"/>
                <w:sz w:val="18"/>
                <w:szCs w:val="18"/>
              </w:rPr>
              <w:t>.0</w:t>
            </w:r>
          </w:p>
          <w:p w:rsidR="00CD4923" w:rsidRDefault="00CD4923" w:rsidP="00A9053C">
            <w:pPr>
              <w:spacing w:line="276" w:lineRule="auto"/>
              <w:contextualSpacing/>
              <w:jc w:val="center"/>
              <w:rPr>
                <w:rFonts w:ascii="Times New Roman" w:hAnsi="Times New Roman" w:cs="Times New Roman"/>
                <w:b w:val="0"/>
                <w:sz w:val="18"/>
                <w:szCs w:val="18"/>
              </w:rPr>
            </w:pPr>
          </w:p>
          <w:p w:rsidR="00CD4923" w:rsidRDefault="00CD4923" w:rsidP="00A9053C">
            <w:pPr>
              <w:spacing w:line="276" w:lineRule="auto"/>
              <w:contextualSpacing/>
              <w:jc w:val="center"/>
              <w:rPr>
                <w:rFonts w:ascii="Times New Roman" w:hAnsi="Times New Roman" w:cs="Times New Roman"/>
                <w:b w:val="0"/>
                <w:sz w:val="18"/>
                <w:szCs w:val="18"/>
              </w:rPr>
            </w:pPr>
          </w:p>
          <w:p w:rsidR="00CD4923" w:rsidRPr="00A00187" w:rsidRDefault="00CD4923"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5.0</w:t>
            </w: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5.00</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954B35"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3</w:t>
            </w:r>
            <w:r w:rsidR="00A00187" w:rsidRPr="00A00187">
              <w:rPr>
                <w:rFonts w:ascii="Times New Roman" w:hAnsi="Times New Roman" w:cs="Times New Roman"/>
                <w:b w:val="0"/>
                <w:sz w:val="18"/>
                <w:szCs w:val="18"/>
              </w:rPr>
              <w:t>0.0</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Default="002B4074"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25</w:t>
            </w:r>
            <w:r w:rsidR="00A00187" w:rsidRPr="00A00187">
              <w:rPr>
                <w:rFonts w:ascii="Times New Roman" w:hAnsi="Times New Roman" w:cs="Times New Roman"/>
                <w:b w:val="0"/>
                <w:sz w:val="18"/>
                <w:szCs w:val="18"/>
              </w:rPr>
              <w:t>.0</w:t>
            </w:r>
          </w:p>
          <w:p w:rsidR="00CD4923" w:rsidRDefault="00CD4923" w:rsidP="00A9053C">
            <w:pPr>
              <w:spacing w:line="276" w:lineRule="auto"/>
              <w:contextualSpacing/>
              <w:jc w:val="center"/>
              <w:rPr>
                <w:rFonts w:ascii="Times New Roman" w:hAnsi="Times New Roman" w:cs="Times New Roman"/>
                <w:b w:val="0"/>
                <w:sz w:val="18"/>
                <w:szCs w:val="18"/>
              </w:rPr>
            </w:pPr>
          </w:p>
          <w:p w:rsidR="00CD4923" w:rsidRDefault="00CD4923" w:rsidP="00A9053C">
            <w:pPr>
              <w:spacing w:line="276" w:lineRule="auto"/>
              <w:contextualSpacing/>
              <w:jc w:val="center"/>
              <w:rPr>
                <w:rFonts w:ascii="Times New Roman" w:hAnsi="Times New Roman" w:cs="Times New Roman"/>
                <w:b w:val="0"/>
                <w:sz w:val="18"/>
                <w:szCs w:val="18"/>
              </w:rPr>
            </w:pPr>
          </w:p>
          <w:p w:rsidR="00CD4923" w:rsidRPr="00A00187" w:rsidRDefault="00CD4923"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1.5</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Democracy</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The Economist Democracy Index Score</w:t>
            </w: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(0 – 10 scale)</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Election (A –Periodic and timely election at all levels including political party; B – Periodic and timely election at national level but indifferent at other levels; C – Periodic and/or interrupted or controversial national election and indifferent at other levels)</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Freedom (political and civil) score</w:t>
            </w: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lastRenderedPageBreak/>
              <w:t>Economic and social rights (Is right to education and property protected?)</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Civil and political participation (Is there equal freedom of assembly and participation in political life?)</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Political parties (Are all political parties allowed to form and participate in electoral process)</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5.73</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C</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Default="00A00187" w:rsidP="00A9053C">
            <w:pPr>
              <w:spacing w:line="276" w:lineRule="auto"/>
              <w:contextualSpacing/>
              <w:jc w:val="center"/>
              <w:rPr>
                <w:rFonts w:ascii="Times New Roman" w:hAnsi="Times New Roman" w:cs="Times New Roman"/>
                <w:b w:val="0"/>
                <w:sz w:val="18"/>
                <w:szCs w:val="18"/>
              </w:rPr>
            </w:pPr>
          </w:p>
          <w:p w:rsidR="003C4DBC" w:rsidRDefault="003C4DBC" w:rsidP="00A9053C">
            <w:pPr>
              <w:spacing w:line="276" w:lineRule="auto"/>
              <w:contextualSpacing/>
              <w:jc w:val="center"/>
              <w:rPr>
                <w:rFonts w:ascii="Times New Roman" w:hAnsi="Times New Roman" w:cs="Times New Roman"/>
                <w:b w:val="0"/>
                <w:sz w:val="18"/>
                <w:szCs w:val="18"/>
              </w:rPr>
            </w:pPr>
          </w:p>
          <w:p w:rsidR="003C4DBC" w:rsidRDefault="003C4DBC" w:rsidP="00A9053C">
            <w:pPr>
              <w:spacing w:line="276" w:lineRule="auto"/>
              <w:contextualSpacing/>
              <w:jc w:val="center"/>
              <w:rPr>
                <w:rFonts w:ascii="Times New Roman" w:hAnsi="Times New Roman" w:cs="Times New Roman"/>
                <w:b w:val="0"/>
                <w:sz w:val="18"/>
                <w:szCs w:val="18"/>
              </w:rPr>
            </w:pPr>
          </w:p>
          <w:p w:rsidR="003C4DBC" w:rsidRPr="00A00187" w:rsidRDefault="003C4DBC"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47</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Partially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Partially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Partially</w:t>
            </w: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6.5</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B</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Default="00A00187" w:rsidP="00A9053C">
            <w:pPr>
              <w:spacing w:line="276" w:lineRule="auto"/>
              <w:contextualSpacing/>
              <w:jc w:val="center"/>
              <w:rPr>
                <w:rFonts w:ascii="Times New Roman" w:hAnsi="Times New Roman" w:cs="Times New Roman"/>
                <w:b w:val="0"/>
                <w:sz w:val="18"/>
                <w:szCs w:val="18"/>
              </w:rPr>
            </w:pPr>
          </w:p>
          <w:p w:rsidR="003C4DBC" w:rsidRDefault="003C4DBC" w:rsidP="00A9053C">
            <w:pPr>
              <w:spacing w:line="276" w:lineRule="auto"/>
              <w:contextualSpacing/>
              <w:jc w:val="center"/>
              <w:rPr>
                <w:rFonts w:ascii="Times New Roman" w:hAnsi="Times New Roman" w:cs="Times New Roman"/>
                <w:b w:val="0"/>
                <w:sz w:val="18"/>
                <w:szCs w:val="18"/>
              </w:rPr>
            </w:pPr>
          </w:p>
          <w:p w:rsidR="003C4DBC" w:rsidRDefault="003C4DBC" w:rsidP="00A9053C">
            <w:pPr>
              <w:spacing w:line="276" w:lineRule="auto"/>
              <w:contextualSpacing/>
              <w:jc w:val="center"/>
              <w:rPr>
                <w:rFonts w:ascii="Times New Roman" w:hAnsi="Times New Roman" w:cs="Times New Roman"/>
                <w:b w:val="0"/>
                <w:sz w:val="18"/>
                <w:szCs w:val="18"/>
              </w:rPr>
            </w:pPr>
          </w:p>
          <w:p w:rsidR="003C4DBC" w:rsidRPr="00A00187" w:rsidRDefault="003C4DBC"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55</w:t>
            </w:r>
            <w:r w:rsidR="00903A92">
              <w:rPr>
                <w:rFonts w:ascii="Times New Roman" w:hAnsi="Times New Roman" w:cs="Times New Roman"/>
                <w:b w:val="0"/>
                <w:sz w:val="18"/>
                <w:szCs w:val="18"/>
              </w:rPr>
              <w:t xml:space="preserve"> (Sri Lanka)</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Partially+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Partially+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Partially+</w:t>
            </w: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7.5</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Default="00A00187" w:rsidP="00A9053C">
            <w:pPr>
              <w:spacing w:line="276" w:lineRule="auto"/>
              <w:contextualSpacing/>
              <w:jc w:val="center"/>
              <w:rPr>
                <w:rFonts w:ascii="Times New Roman" w:hAnsi="Times New Roman" w:cs="Times New Roman"/>
                <w:b w:val="0"/>
                <w:sz w:val="18"/>
                <w:szCs w:val="18"/>
              </w:rPr>
            </w:pPr>
          </w:p>
          <w:p w:rsidR="003C4DBC" w:rsidRDefault="003C4DBC" w:rsidP="00A9053C">
            <w:pPr>
              <w:spacing w:line="276" w:lineRule="auto"/>
              <w:contextualSpacing/>
              <w:jc w:val="center"/>
              <w:rPr>
                <w:rFonts w:ascii="Times New Roman" w:hAnsi="Times New Roman" w:cs="Times New Roman"/>
                <w:b w:val="0"/>
                <w:sz w:val="18"/>
                <w:szCs w:val="18"/>
              </w:rPr>
            </w:pPr>
          </w:p>
          <w:p w:rsidR="003C4DBC" w:rsidRDefault="003C4DBC" w:rsidP="00A9053C">
            <w:pPr>
              <w:spacing w:line="276" w:lineRule="auto"/>
              <w:contextualSpacing/>
              <w:jc w:val="center"/>
              <w:rPr>
                <w:rFonts w:ascii="Times New Roman" w:hAnsi="Times New Roman" w:cs="Times New Roman"/>
                <w:b w:val="0"/>
                <w:sz w:val="18"/>
                <w:szCs w:val="18"/>
              </w:rPr>
            </w:pPr>
          </w:p>
          <w:p w:rsidR="003C4DBC" w:rsidRPr="00A00187" w:rsidRDefault="003C4DBC"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65</w:t>
            </w:r>
            <w:r w:rsidR="00903A92">
              <w:rPr>
                <w:rFonts w:ascii="Times New Roman" w:hAnsi="Times New Roman" w:cs="Times New Roman"/>
                <w:b w:val="0"/>
                <w:sz w:val="18"/>
                <w:szCs w:val="18"/>
              </w:rPr>
              <w:t xml:space="preserve"> (Paraguay)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Fully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Fully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Fully</w:t>
            </w: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8.5</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(among developed country group)</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Default="00A00187" w:rsidP="00A9053C">
            <w:pPr>
              <w:spacing w:line="276" w:lineRule="auto"/>
              <w:contextualSpacing/>
              <w:jc w:val="center"/>
              <w:rPr>
                <w:rFonts w:ascii="Times New Roman" w:hAnsi="Times New Roman" w:cs="Times New Roman"/>
                <w:b w:val="0"/>
                <w:sz w:val="18"/>
                <w:szCs w:val="18"/>
              </w:rPr>
            </w:pPr>
          </w:p>
          <w:p w:rsidR="003C4DBC" w:rsidRDefault="003C4DBC" w:rsidP="00A9053C">
            <w:pPr>
              <w:spacing w:line="276" w:lineRule="auto"/>
              <w:contextualSpacing/>
              <w:jc w:val="center"/>
              <w:rPr>
                <w:rFonts w:ascii="Times New Roman" w:hAnsi="Times New Roman" w:cs="Times New Roman"/>
                <w:b w:val="0"/>
                <w:sz w:val="18"/>
                <w:szCs w:val="18"/>
              </w:rPr>
            </w:pPr>
          </w:p>
          <w:p w:rsidR="003C4DBC" w:rsidRDefault="003C4DBC" w:rsidP="00A9053C">
            <w:pPr>
              <w:spacing w:line="276" w:lineRule="auto"/>
              <w:contextualSpacing/>
              <w:jc w:val="center"/>
              <w:rPr>
                <w:rFonts w:ascii="Times New Roman" w:hAnsi="Times New Roman" w:cs="Times New Roman"/>
                <w:b w:val="0"/>
                <w:sz w:val="18"/>
                <w:szCs w:val="18"/>
              </w:rPr>
            </w:pPr>
          </w:p>
          <w:p w:rsidR="003C4DBC" w:rsidRPr="00A00187" w:rsidRDefault="003C4DBC" w:rsidP="00A9053C">
            <w:pPr>
              <w:spacing w:line="276" w:lineRule="auto"/>
              <w:contextualSpacing/>
              <w:jc w:val="center"/>
              <w:rPr>
                <w:rFonts w:ascii="Times New Roman" w:hAnsi="Times New Roman" w:cs="Times New Roman"/>
                <w:b w:val="0"/>
                <w:sz w:val="18"/>
                <w:szCs w:val="18"/>
              </w:rPr>
            </w:pPr>
          </w:p>
          <w:p w:rsidR="00A00187" w:rsidRPr="00A00187" w:rsidRDefault="00903A92"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77 (India)</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Fully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Fully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Fully</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lastRenderedPageBreak/>
              <w:t>Decentralization</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Vertical (law and order) decentralization</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Political decentralization</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Fiscal and planning decentralization</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Administrative decentralization</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Judicial decentralization</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Electoral decentralization</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Very limited</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Very limited</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Limited</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Limited</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Limited</w:t>
            </w: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Limited</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Limited</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Limited</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Limited</w:t>
            </w: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High</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High</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w:t>
            </w: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High</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High</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High</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High</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High</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High</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 xml:space="preserve">Capacity Building </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Gender empowerment</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hideMark/>
          </w:tcPr>
          <w:p w:rsid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Gender sensitive budget</w:t>
            </w:r>
          </w:p>
          <w:p w:rsidR="002A3B7D" w:rsidRPr="00A00187" w:rsidRDefault="002A3B7D" w:rsidP="00A9053C">
            <w:pPr>
              <w:spacing w:line="276" w:lineRule="auto"/>
              <w:contextualSpacing/>
              <w:rPr>
                <w:rFonts w:ascii="Times New Roman" w:hAnsi="Times New Roman" w:cs="Times New Roman"/>
                <w:b w:val="0"/>
                <w:sz w:val="18"/>
                <w:szCs w:val="18"/>
              </w:rPr>
            </w:pPr>
            <w:proofErr w:type="spellStart"/>
            <w:r>
              <w:rPr>
                <w:rFonts w:ascii="Times New Roman" w:hAnsi="Times New Roman" w:cs="Times New Roman"/>
                <w:b w:val="0"/>
                <w:sz w:val="18"/>
                <w:szCs w:val="18"/>
              </w:rPr>
              <w:t>SiGi</w:t>
            </w:r>
            <w:proofErr w:type="spellEnd"/>
            <w:r>
              <w:rPr>
                <w:rFonts w:ascii="Times New Roman" w:hAnsi="Times New Roman" w:cs="Times New Roman"/>
                <w:b w:val="0"/>
                <w:sz w:val="18"/>
                <w:szCs w:val="18"/>
              </w:rPr>
              <w:t xml:space="preserve"> score</w:t>
            </w:r>
          </w:p>
        </w:tc>
        <w:tc>
          <w:tcPr>
            <w:tcW w:w="1865" w:type="dxa"/>
            <w:tcBorders>
              <w:top w:val="single" w:sz="4" w:space="0" w:color="auto"/>
              <w:left w:val="single" w:sz="4" w:space="0" w:color="auto"/>
              <w:bottom w:val="single" w:sz="4" w:space="0" w:color="auto"/>
              <w:right w:val="single" w:sz="4" w:space="0" w:color="auto"/>
            </w:tcBorders>
            <w:hideMark/>
          </w:tcPr>
          <w:p w:rsid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Partially</w:t>
            </w:r>
          </w:p>
          <w:p w:rsidR="002A3B7D" w:rsidRDefault="002A3B7D" w:rsidP="00A9053C">
            <w:pPr>
              <w:spacing w:line="276" w:lineRule="auto"/>
              <w:contextualSpacing/>
              <w:jc w:val="center"/>
              <w:rPr>
                <w:rFonts w:ascii="Times New Roman" w:hAnsi="Times New Roman" w:cs="Times New Roman"/>
                <w:b w:val="0"/>
                <w:sz w:val="18"/>
                <w:szCs w:val="18"/>
              </w:rPr>
            </w:pPr>
          </w:p>
          <w:p w:rsidR="002A3B7D" w:rsidRPr="00A00187" w:rsidRDefault="002A3B7D"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0.39</w:t>
            </w:r>
          </w:p>
        </w:tc>
        <w:tc>
          <w:tcPr>
            <w:tcW w:w="1589" w:type="dxa"/>
            <w:tcBorders>
              <w:top w:val="single" w:sz="4" w:space="0" w:color="auto"/>
              <w:left w:val="single" w:sz="4" w:space="0" w:color="auto"/>
              <w:bottom w:val="single" w:sz="4" w:space="0" w:color="auto"/>
              <w:right w:val="single" w:sz="4" w:space="0" w:color="auto"/>
            </w:tcBorders>
            <w:hideMark/>
          </w:tcPr>
          <w:p w:rsid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Partially+</w:t>
            </w:r>
          </w:p>
          <w:p w:rsidR="002A3B7D" w:rsidRDefault="002A3B7D" w:rsidP="00A9053C">
            <w:pPr>
              <w:spacing w:line="276" w:lineRule="auto"/>
              <w:contextualSpacing/>
              <w:jc w:val="center"/>
              <w:rPr>
                <w:rFonts w:ascii="Times New Roman" w:hAnsi="Times New Roman" w:cs="Times New Roman"/>
                <w:b w:val="0"/>
                <w:sz w:val="18"/>
                <w:szCs w:val="18"/>
              </w:rPr>
            </w:pPr>
          </w:p>
          <w:p w:rsidR="002A3B7D" w:rsidRPr="00A00187" w:rsidRDefault="002A3B7D" w:rsidP="002A3B7D">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0.32 (Nepal)</w:t>
            </w:r>
          </w:p>
        </w:tc>
        <w:tc>
          <w:tcPr>
            <w:tcW w:w="2136" w:type="dxa"/>
            <w:tcBorders>
              <w:top w:val="single" w:sz="4" w:space="0" w:color="auto"/>
              <w:left w:val="single" w:sz="4" w:space="0" w:color="auto"/>
              <w:bottom w:val="single" w:sz="4" w:space="0" w:color="auto"/>
              <w:right w:val="single" w:sz="4" w:space="0" w:color="auto"/>
            </w:tcBorders>
            <w:hideMark/>
          </w:tcPr>
          <w:p w:rsid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Fully</w:t>
            </w:r>
          </w:p>
          <w:p w:rsidR="002A3B7D" w:rsidRDefault="002A3B7D" w:rsidP="00A9053C">
            <w:pPr>
              <w:spacing w:line="276" w:lineRule="auto"/>
              <w:contextualSpacing/>
              <w:jc w:val="center"/>
              <w:rPr>
                <w:rFonts w:ascii="Times New Roman" w:hAnsi="Times New Roman" w:cs="Times New Roman"/>
                <w:b w:val="0"/>
                <w:sz w:val="18"/>
                <w:szCs w:val="18"/>
              </w:rPr>
            </w:pPr>
          </w:p>
          <w:p w:rsidR="002A3B7D" w:rsidRPr="00A00187" w:rsidRDefault="002A3B7D" w:rsidP="00722FA5">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0.</w:t>
            </w:r>
            <w:r w:rsidR="00722FA5">
              <w:rPr>
                <w:rFonts w:ascii="Times New Roman" w:hAnsi="Times New Roman" w:cs="Times New Roman"/>
                <w:b w:val="0"/>
                <w:sz w:val="18"/>
                <w:szCs w:val="18"/>
              </w:rPr>
              <w:t>19</w:t>
            </w:r>
            <w:r>
              <w:rPr>
                <w:rFonts w:ascii="Times New Roman" w:hAnsi="Times New Roman" w:cs="Times New Roman"/>
                <w:b w:val="0"/>
                <w:sz w:val="18"/>
                <w:szCs w:val="18"/>
              </w:rPr>
              <w:t xml:space="preserve"> (</w:t>
            </w:r>
            <w:r w:rsidR="00722FA5">
              <w:rPr>
                <w:rFonts w:ascii="Times New Roman" w:hAnsi="Times New Roman" w:cs="Times New Roman"/>
                <w:b w:val="0"/>
                <w:sz w:val="18"/>
                <w:szCs w:val="18"/>
              </w:rPr>
              <w:t>Vietnam</w:t>
            </w:r>
            <w:r>
              <w:rPr>
                <w:rFonts w:ascii="Times New Roman" w:hAnsi="Times New Roman" w:cs="Times New Roman"/>
                <w:b w:val="0"/>
                <w:sz w:val="18"/>
                <w:szCs w:val="18"/>
              </w:rPr>
              <w:t>)</w:t>
            </w:r>
          </w:p>
        </w:tc>
        <w:tc>
          <w:tcPr>
            <w:tcW w:w="1752" w:type="dxa"/>
            <w:tcBorders>
              <w:top w:val="single" w:sz="4" w:space="0" w:color="auto"/>
              <w:left w:val="single" w:sz="4" w:space="0" w:color="auto"/>
              <w:bottom w:val="single" w:sz="4" w:space="0" w:color="auto"/>
              <w:right w:val="single" w:sz="4" w:space="0" w:color="auto"/>
            </w:tcBorders>
            <w:hideMark/>
          </w:tcPr>
          <w:p w:rsid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Fully</w:t>
            </w:r>
          </w:p>
          <w:p w:rsidR="002A3B7D" w:rsidRDefault="002A3B7D" w:rsidP="00A9053C">
            <w:pPr>
              <w:spacing w:line="276" w:lineRule="auto"/>
              <w:contextualSpacing/>
              <w:jc w:val="center"/>
              <w:rPr>
                <w:rFonts w:ascii="Times New Roman" w:hAnsi="Times New Roman" w:cs="Times New Roman"/>
                <w:b w:val="0"/>
                <w:sz w:val="18"/>
                <w:szCs w:val="18"/>
              </w:rPr>
            </w:pPr>
          </w:p>
          <w:p w:rsidR="002A3B7D" w:rsidRPr="00A00187" w:rsidRDefault="002A3B7D" w:rsidP="00722FA5">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0.1</w:t>
            </w:r>
            <w:r w:rsidR="00722FA5">
              <w:rPr>
                <w:rFonts w:ascii="Times New Roman" w:hAnsi="Times New Roman" w:cs="Times New Roman"/>
                <w:b w:val="0"/>
                <w:sz w:val="18"/>
                <w:szCs w:val="18"/>
              </w:rPr>
              <w:t>0</w:t>
            </w:r>
            <w:r>
              <w:rPr>
                <w:rFonts w:ascii="Times New Roman" w:hAnsi="Times New Roman" w:cs="Times New Roman"/>
                <w:b w:val="0"/>
                <w:sz w:val="18"/>
                <w:szCs w:val="18"/>
              </w:rPr>
              <w:t xml:space="preserve"> (</w:t>
            </w:r>
            <w:r w:rsidR="00722FA5">
              <w:rPr>
                <w:rFonts w:ascii="Times New Roman" w:hAnsi="Times New Roman" w:cs="Times New Roman"/>
                <w:b w:val="0"/>
                <w:sz w:val="18"/>
                <w:szCs w:val="18"/>
              </w:rPr>
              <w:t>Madagascar</w:t>
            </w:r>
            <w:r>
              <w:rPr>
                <w:rFonts w:ascii="Times New Roman" w:hAnsi="Times New Roman" w:cs="Times New Roman"/>
                <w:b w:val="0"/>
                <w:sz w:val="18"/>
                <w:szCs w:val="18"/>
              </w:rPr>
              <w:t>)</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Legislature</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Functional capacity to lead in legislation, budget formulation and dealing with national crises and emergencies</w:t>
            </w:r>
          </w:p>
        </w:tc>
        <w:tc>
          <w:tcPr>
            <w:tcW w:w="1865"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Non-functioning legislature dominated by one party</w:t>
            </w:r>
          </w:p>
        </w:tc>
        <w:tc>
          <w:tcPr>
            <w:tcW w:w="1589"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 xml:space="preserve">Improved-functioning legislature not dominated by one party focusing on the national target of developed Bangladesh by </w:t>
            </w:r>
            <w:r w:rsidRPr="00A00187">
              <w:rPr>
                <w:rFonts w:ascii="Times New Roman" w:hAnsi="Times New Roman" w:cs="Times New Roman"/>
                <w:b w:val="0"/>
                <w:sz w:val="18"/>
                <w:szCs w:val="18"/>
              </w:rPr>
              <w:lastRenderedPageBreak/>
              <w:t>2041 ruled by law, peaceful and tolerant and free of abusive corruption</w:t>
            </w:r>
          </w:p>
        </w:tc>
        <w:tc>
          <w:tcPr>
            <w:tcW w:w="2136"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lastRenderedPageBreak/>
              <w:t xml:space="preserve">Well-functioning legislature with diversity of interests  represented paving the way for achieving the national target of developed Bangladesh by 2041 ruled by law, peaceful and </w:t>
            </w:r>
            <w:r w:rsidRPr="00A00187">
              <w:rPr>
                <w:rFonts w:ascii="Times New Roman" w:hAnsi="Times New Roman" w:cs="Times New Roman"/>
                <w:b w:val="0"/>
                <w:sz w:val="18"/>
                <w:szCs w:val="18"/>
              </w:rPr>
              <w:lastRenderedPageBreak/>
              <w:t xml:space="preserve">tolerant and free of abusive corruption </w:t>
            </w:r>
          </w:p>
        </w:tc>
        <w:tc>
          <w:tcPr>
            <w:tcW w:w="1752"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lastRenderedPageBreak/>
              <w:t xml:space="preserve">Well-functioning legislature with diversity of interests  represented achieving the national target of developed Bangladesh ruled by </w:t>
            </w:r>
            <w:r w:rsidRPr="00A00187">
              <w:rPr>
                <w:rFonts w:ascii="Times New Roman" w:hAnsi="Times New Roman" w:cs="Times New Roman"/>
                <w:b w:val="0"/>
                <w:sz w:val="18"/>
                <w:szCs w:val="18"/>
              </w:rPr>
              <w:lastRenderedPageBreak/>
              <w:t>law, peaceful and tolerant and free of abusive corruption</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lastRenderedPageBreak/>
              <w:t>Judiciary</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Judicial quality</w:t>
            </w:r>
          </w:p>
        </w:tc>
        <w:tc>
          <w:tcPr>
            <w:tcW w:w="1865"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Weak judiciary susceptible to political influence and corruption</w:t>
            </w:r>
          </w:p>
        </w:tc>
        <w:tc>
          <w:tcPr>
            <w:tcW w:w="1589"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Improved judiciary but susceptible to political influence and corruption</w:t>
            </w:r>
          </w:p>
        </w:tc>
        <w:tc>
          <w:tcPr>
            <w:tcW w:w="2136"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Strong judiciary still lacking in some of the desired attributes</w:t>
            </w:r>
          </w:p>
        </w:tc>
        <w:tc>
          <w:tcPr>
            <w:tcW w:w="1752"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Strong, independent, separate, effective, efficient, just, impartial, incorruptible, a political and victim-friendly judiciary</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sz w:val="18"/>
                <w:szCs w:val="18"/>
              </w:rPr>
              <w:t>Executive, the bureaucracy and the rule of law</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The quality of the bureaucracy and law and order agencies</w:t>
            </w:r>
          </w:p>
        </w:tc>
        <w:tc>
          <w:tcPr>
            <w:tcW w:w="1865"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As individuals intelligent and better educated and more sensitive to people than before but as group lacks focus, elitist, ineffective, highly politicized and prone to influence and corruption</w:t>
            </w:r>
          </w:p>
        </w:tc>
        <w:tc>
          <w:tcPr>
            <w:tcW w:w="1589"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Slow but sure emergence of a reform minded bureaucracy and law enforcement operatives open to change including being focused on socioeconomic development</w:t>
            </w:r>
          </w:p>
        </w:tc>
        <w:tc>
          <w:tcPr>
            <w:tcW w:w="2136"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Reformed bureaucracy and law enforcement agencies with less elitist trait, more effective, less politicized and less prone to influence and corruption and willing to be the champion of Bangladesh Vision 2041 of a developed nation</w:t>
            </w:r>
          </w:p>
        </w:tc>
        <w:tc>
          <w:tcPr>
            <w:tcW w:w="1752"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A strong, independent, reformed bureaucracy and law enforcement agencies far less prone to influence and corruption and fully committed to and proud of achieving Bangladesh Vision 2041 and go beyond</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Political institution</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Party conventions</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Election for party office bearers</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Irregular</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(party conventions and election for party office bearer are seldom organized)</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 xml:space="preserve">Political institutions are at infancy </w:t>
            </w: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Intermittent</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(party conventions and election for party office bearer are held once in a while)</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Political institutions are coming out of infancy</w:t>
            </w: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Periodic</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(party conventions and election for party office bearer are held periodically, say every 2 or 3 years)</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Political institutions are gaining experience</w:t>
            </w: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Annual or Bi-annual</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(party conventions and election for party office bearer are held annually or bi-annually)</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Political institutions are mature</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Social institutions</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Stage of development of CSOs (conception, organization, low-level/quality operation, fully-fledged operation, mature high quality broad-based operation</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 combination of low-level/quality operation and fully-fledged operation with</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some as international best practice</w:t>
            </w: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All fully-fledged operation with</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 xml:space="preserve">some as international best practice and many institutionalized under normal regulatory and business practices </w:t>
            </w: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All mature high quality broad-based operation with some as international best practice and many institutionalized under normal regulatory and business practices</w:t>
            </w: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All mature high quality broad-based operation with some as international best practice and all institutionalized under normal regulatory and business practices</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lastRenderedPageBreak/>
              <w:t>Land</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Land management quality</w:t>
            </w:r>
          </w:p>
        </w:tc>
        <w:tc>
          <w:tcPr>
            <w:tcW w:w="1865"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Chaotic with numerous litigation</w:t>
            </w:r>
          </w:p>
        </w:tc>
        <w:tc>
          <w:tcPr>
            <w:tcW w:w="1589"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Improved with cases reduced by 10%</w:t>
            </w:r>
          </w:p>
        </w:tc>
        <w:tc>
          <w:tcPr>
            <w:tcW w:w="2136"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Improved with cases reduced by 30%</w:t>
            </w:r>
          </w:p>
        </w:tc>
        <w:tc>
          <w:tcPr>
            <w:tcW w:w="1752"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Improved with cases reduced by 50%+</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Basic education</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Primary dropout rate</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Secondary dropout rate</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21%</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50%</w:t>
            </w: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18%</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40%</w:t>
            </w: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10%</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10%</w:t>
            </w: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5%</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5%</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Skill</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Skill training target</w:t>
            </w:r>
          </w:p>
        </w:tc>
        <w:tc>
          <w:tcPr>
            <w:tcW w:w="1865"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5 million</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(actual much lower less than a million)</w:t>
            </w:r>
          </w:p>
        </w:tc>
        <w:tc>
          <w:tcPr>
            <w:tcW w:w="1589"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6.5 million</w:t>
            </w:r>
          </w:p>
        </w:tc>
        <w:tc>
          <w:tcPr>
            <w:tcW w:w="2136"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 xml:space="preserve">9 million </w:t>
            </w:r>
          </w:p>
        </w:tc>
        <w:tc>
          <w:tcPr>
            <w:tcW w:w="1752"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14 million</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sz w:val="18"/>
                <w:szCs w:val="18"/>
              </w:rPr>
            </w:pPr>
            <w:r w:rsidRPr="00A00187">
              <w:rPr>
                <w:rFonts w:ascii="Times New Roman" w:hAnsi="Times New Roman" w:cs="Times New Roman"/>
                <w:sz w:val="18"/>
                <w:szCs w:val="18"/>
              </w:rPr>
              <w:t>Technology</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Functioning technology platform with public sector support and private sector leadership</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Operational advanced universities for science and technology</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Centers of excellence (</w:t>
            </w:r>
            <w:proofErr w:type="spellStart"/>
            <w:r w:rsidRPr="00A00187">
              <w:rPr>
                <w:rFonts w:ascii="Times New Roman" w:hAnsi="Times New Roman" w:cs="Times New Roman"/>
                <w:b w:val="0"/>
                <w:sz w:val="18"/>
                <w:szCs w:val="18"/>
              </w:rPr>
              <w:t>CoE</w:t>
            </w:r>
            <w:proofErr w:type="spellEnd"/>
            <w:r w:rsidRPr="00A00187">
              <w:rPr>
                <w:rFonts w:ascii="Times New Roman" w:hAnsi="Times New Roman" w:cs="Times New Roman"/>
                <w:b w:val="0"/>
                <w:sz w:val="18"/>
                <w:szCs w:val="18"/>
              </w:rPr>
              <w:t>)</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IT Parks</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50363D" w:rsidRDefault="0050363D"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IT education at universities</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National Institute for Information and Communication Technology</w:t>
            </w: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ICT service exports</w:t>
            </w:r>
          </w:p>
        </w:tc>
        <w:tc>
          <w:tcPr>
            <w:tcW w:w="1865"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lastRenderedPageBreak/>
              <w:t xml:space="preserve">None </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(technology development, adoption and adaptation ad hoc with very limited public sector support and private sector leadership and participation)</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None</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None</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Kaliakoir and Jessore under construction</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50363D" w:rsidRDefault="0050363D"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Poor quality IT education in most of the 92 universities under UGC</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 xml:space="preserve">No plan </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&lt; $1 billion ($881 million in 2015</w:t>
            </w:r>
          </w:p>
        </w:tc>
        <w:tc>
          <w:tcPr>
            <w:tcW w:w="1589"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lastRenderedPageBreak/>
              <w:t>Technology platform established initiating systematic flow of technologies with strong public sector support and emerging private sector leadership and participation</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after="200" w:line="276" w:lineRule="auto"/>
              <w:rPr>
                <w:rFonts w:ascii="Times New Roman" w:hAnsi="Times New Roman" w:cs="Times New Roman"/>
                <w:b w:val="0"/>
                <w:sz w:val="18"/>
                <w:szCs w:val="18"/>
              </w:rPr>
            </w:pPr>
            <w:r w:rsidRPr="00A00187">
              <w:rPr>
                <w:rFonts w:ascii="Times New Roman" w:hAnsi="Times New Roman" w:cs="Times New Roman"/>
                <w:b w:val="0"/>
                <w:sz w:val="18"/>
                <w:szCs w:val="18"/>
              </w:rPr>
              <w:t>Supporting Technology and Innovation in Universities</w:t>
            </w:r>
          </w:p>
          <w:p w:rsidR="00A00187" w:rsidRPr="00A00187" w:rsidRDefault="00A00187" w:rsidP="00A9053C">
            <w:pPr>
              <w:spacing w:after="200" w:line="276" w:lineRule="auto"/>
              <w:rPr>
                <w:rFonts w:ascii="Times New Roman" w:hAnsi="Times New Roman" w:cs="Times New Roman"/>
                <w:b w:val="0"/>
                <w:sz w:val="18"/>
                <w:szCs w:val="18"/>
              </w:rPr>
            </w:pPr>
            <w:r w:rsidRPr="00A00187">
              <w:rPr>
                <w:rFonts w:ascii="Times New Roman" w:hAnsi="Times New Roman" w:cs="Times New Roman"/>
                <w:b w:val="0"/>
                <w:sz w:val="18"/>
                <w:szCs w:val="18"/>
              </w:rPr>
              <w:t>ICT University</w:t>
            </w:r>
          </w:p>
          <w:p w:rsidR="00A00187" w:rsidRPr="00A00187" w:rsidRDefault="00A00187" w:rsidP="00A9053C">
            <w:pPr>
              <w:spacing w:line="276" w:lineRule="auto"/>
              <w:rPr>
                <w:rFonts w:ascii="Times New Roman" w:hAnsi="Times New Roman" w:cs="Times New Roman"/>
                <w:b w:val="0"/>
                <w:sz w:val="18"/>
                <w:szCs w:val="18"/>
              </w:rPr>
            </w:pPr>
            <w:r w:rsidRPr="00A00187">
              <w:rPr>
                <w:rFonts w:ascii="Times New Roman" w:hAnsi="Times New Roman" w:cs="Times New Roman"/>
                <w:b w:val="0"/>
                <w:sz w:val="18"/>
                <w:szCs w:val="18"/>
              </w:rPr>
              <w:t>Six CoEs in priority sectors operational</w:t>
            </w:r>
          </w:p>
          <w:p w:rsidR="00A00187" w:rsidRPr="00A00187" w:rsidRDefault="00A00187" w:rsidP="00A9053C">
            <w:pPr>
              <w:spacing w:line="276" w:lineRule="auto"/>
              <w:rPr>
                <w:rFonts w:ascii="Times New Roman" w:hAnsi="Times New Roman" w:cs="Times New Roman"/>
                <w:b w:val="0"/>
                <w:sz w:val="18"/>
                <w:szCs w:val="18"/>
              </w:rPr>
            </w:pPr>
          </w:p>
          <w:p w:rsidR="00A00187" w:rsidRPr="00A00187" w:rsidRDefault="00A00187" w:rsidP="00A9053C">
            <w:pPr>
              <w:spacing w:line="276" w:lineRule="auto"/>
              <w:rPr>
                <w:rFonts w:ascii="Times New Roman" w:hAnsi="Times New Roman" w:cs="Times New Roman"/>
                <w:b w:val="0"/>
                <w:sz w:val="18"/>
                <w:szCs w:val="18"/>
              </w:rPr>
            </w:pPr>
            <w:r w:rsidRPr="00A00187">
              <w:rPr>
                <w:rFonts w:ascii="Times New Roman" w:hAnsi="Times New Roman" w:cs="Times New Roman"/>
                <w:b w:val="0"/>
                <w:sz w:val="18"/>
                <w:szCs w:val="18"/>
              </w:rPr>
              <w:t>Kaliakoir and Jessore operational and work under way at five other locations all public-private partnership</w:t>
            </w:r>
          </w:p>
          <w:p w:rsidR="0050363D" w:rsidRDefault="0050363D" w:rsidP="00A9053C">
            <w:pPr>
              <w:spacing w:line="276" w:lineRule="auto"/>
              <w:rPr>
                <w:rFonts w:ascii="Times New Roman" w:hAnsi="Times New Roman" w:cs="Times New Roman"/>
                <w:b w:val="0"/>
                <w:sz w:val="18"/>
                <w:szCs w:val="18"/>
              </w:rPr>
            </w:pPr>
          </w:p>
          <w:p w:rsidR="0050363D" w:rsidRDefault="0050363D" w:rsidP="00A9053C">
            <w:pPr>
              <w:spacing w:line="276" w:lineRule="auto"/>
              <w:rPr>
                <w:rFonts w:ascii="Times New Roman" w:hAnsi="Times New Roman" w:cs="Times New Roman"/>
                <w:b w:val="0"/>
                <w:sz w:val="18"/>
                <w:szCs w:val="18"/>
              </w:rPr>
            </w:pPr>
          </w:p>
          <w:p w:rsidR="00A00187" w:rsidRPr="00A00187" w:rsidRDefault="00A00187" w:rsidP="00A9053C">
            <w:pPr>
              <w:spacing w:line="276" w:lineRule="auto"/>
              <w:rPr>
                <w:rFonts w:ascii="Times New Roman" w:hAnsi="Times New Roman" w:cs="Times New Roman"/>
                <w:b w:val="0"/>
                <w:sz w:val="18"/>
                <w:szCs w:val="18"/>
              </w:rPr>
            </w:pPr>
            <w:r w:rsidRPr="00A00187">
              <w:rPr>
                <w:rFonts w:ascii="Times New Roman" w:hAnsi="Times New Roman" w:cs="Times New Roman"/>
                <w:b w:val="0"/>
                <w:sz w:val="18"/>
                <w:szCs w:val="18"/>
              </w:rPr>
              <w:t xml:space="preserve">Upgrading of IT education under way at nine selected universities in </w:t>
            </w:r>
            <w:r w:rsidRPr="00A00187">
              <w:rPr>
                <w:rFonts w:ascii="Times New Roman" w:hAnsi="Times New Roman" w:cs="Times New Roman"/>
                <w:b w:val="0"/>
                <w:sz w:val="18"/>
                <w:szCs w:val="18"/>
              </w:rPr>
              <w:lastRenderedPageBreak/>
              <w:t>consultation and cooperation with UGC</w:t>
            </w:r>
          </w:p>
          <w:p w:rsidR="0050363D" w:rsidRDefault="0050363D" w:rsidP="00A9053C">
            <w:pPr>
              <w:spacing w:line="276" w:lineRule="auto"/>
              <w:rPr>
                <w:rFonts w:ascii="Times New Roman" w:hAnsi="Times New Roman" w:cs="Times New Roman"/>
                <w:b w:val="0"/>
                <w:sz w:val="18"/>
                <w:szCs w:val="18"/>
              </w:rPr>
            </w:pPr>
          </w:p>
          <w:p w:rsidR="0050363D" w:rsidRDefault="0050363D" w:rsidP="00A9053C">
            <w:pPr>
              <w:spacing w:line="276" w:lineRule="auto"/>
              <w:rPr>
                <w:rFonts w:ascii="Times New Roman" w:hAnsi="Times New Roman" w:cs="Times New Roman"/>
                <w:b w:val="0"/>
                <w:sz w:val="18"/>
                <w:szCs w:val="18"/>
              </w:rPr>
            </w:pPr>
          </w:p>
          <w:p w:rsidR="00A00187" w:rsidRPr="00A00187" w:rsidRDefault="00A00187" w:rsidP="00A9053C">
            <w:pPr>
              <w:spacing w:line="276" w:lineRule="auto"/>
              <w:rPr>
                <w:rFonts w:ascii="Times New Roman" w:hAnsi="Times New Roman" w:cs="Times New Roman"/>
                <w:b w:val="0"/>
                <w:sz w:val="18"/>
                <w:szCs w:val="18"/>
              </w:rPr>
            </w:pPr>
            <w:r w:rsidRPr="00A00187">
              <w:rPr>
                <w:rFonts w:ascii="Times New Roman" w:hAnsi="Times New Roman" w:cs="Times New Roman"/>
                <w:b w:val="0"/>
                <w:sz w:val="18"/>
                <w:szCs w:val="18"/>
              </w:rPr>
              <w:t xml:space="preserve">National Institute for Information and communication established and functional </w:t>
            </w:r>
          </w:p>
          <w:p w:rsidR="00A00187" w:rsidRPr="00A00187" w:rsidRDefault="00A00187" w:rsidP="00A9053C">
            <w:pPr>
              <w:spacing w:line="276" w:lineRule="auto"/>
              <w:rPr>
                <w:rFonts w:ascii="Times New Roman" w:hAnsi="Times New Roman" w:cs="Times New Roman"/>
                <w:b w:val="0"/>
                <w:sz w:val="18"/>
                <w:szCs w:val="18"/>
              </w:rPr>
            </w:pPr>
          </w:p>
          <w:p w:rsidR="00A00187" w:rsidRPr="00A00187" w:rsidRDefault="00A00187" w:rsidP="00A9053C">
            <w:pPr>
              <w:spacing w:line="276" w:lineRule="auto"/>
              <w:rPr>
                <w:rFonts w:ascii="Times New Roman" w:hAnsi="Times New Roman" w:cs="Times New Roman"/>
                <w:b w:val="0"/>
                <w:sz w:val="18"/>
                <w:szCs w:val="18"/>
              </w:rPr>
            </w:pPr>
            <w:r w:rsidRPr="00A00187">
              <w:rPr>
                <w:rFonts w:ascii="Times New Roman" w:hAnsi="Times New Roman" w:cs="Times New Roman"/>
                <w:b w:val="0"/>
                <w:sz w:val="18"/>
                <w:szCs w:val="18"/>
              </w:rPr>
              <w:t>$5 billion</w:t>
            </w:r>
          </w:p>
        </w:tc>
        <w:tc>
          <w:tcPr>
            <w:tcW w:w="2136"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lastRenderedPageBreak/>
              <w:t>Technology platform fully operational with free flow of technologies at par with international experiences and partnership with reduced public sector support and strong private sector leadership and participation</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 xml:space="preserve">Establishing/strengthening 5 advanced universities specialized in </w:t>
            </w:r>
            <w:proofErr w:type="spellStart"/>
            <w:r w:rsidRPr="00A00187">
              <w:rPr>
                <w:rFonts w:ascii="Times New Roman" w:hAnsi="Times New Roman" w:cs="Times New Roman"/>
                <w:b w:val="0"/>
                <w:sz w:val="18"/>
                <w:szCs w:val="18"/>
              </w:rPr>
              <w:t>i</w:t>
            </w:r>
            <w:proofErr w:type="spellEnd"/>
            <w:r w:rsidRPr="00A00187">
              <w:rPr>
                <w:rFonts w:ascii="Times New Roman" w:hAnsi="Times New Roman" w:cs="Times New Roman"/>
                <w:b w:val="0"/>
                <w:sz w:val="18"/>
                <w:szCs w:val="18"/>
              </w:rPr>
              <w:t>) IT, ii) high tech agriculture, iii) marine, iv) textile and v) leather</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20 CoEs in priority sectors operational</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All IT Parks are fully operational and new ones are planned in accordance with demand</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50363D" w:rsidRDefault="0050363D" w:rsidP="00A9053C">
            <w:pPr>
              <w:spacing w:line="276" w:lineRule="auto"/>
              <w:rPr>
                <w:rFonts w:ascii="Times New Roman" w:hAnsi="Times New Roman" w:cs="Times New Roman"/>
                <w:b w:val="0"/>
                <w:sz w:val="18"/>
                <w:szCs w:val="18"/>
              </w:rPr>
            </w:pPr>
          </w:p>
          <w:p w:rsidR="00A00187" w:rsidRPr="00A00187" w:rsidRDefault="00A00187" w:rsidP="00A9053C">
            <w:pPr>
              <w:spacing w:line="276" w:lineRule="auto"/>
              <w:rPr>
                <w:rFonts w:ascii="Times New Roman" w:hAnsi="Times New Roman" w:cs="Times New Roman"/>
                <w:b w:val="0"/>
                <w:sz w:val="18"/>
                <w:szCs w:val="18"/>
              </w:rPr>
            </w:pPr>
            <w:r w:rsidRPr="00A00187">
              <w:rPr>
                <w:rFonts w:ascii="Times New Roman" w:hAnsi="Times New Roman" w:cs="Times New Roman"/>
                <w:b w:val="0"/>
                <w:sz w:val="18"/>
                <w:szCs w:val="18"/>
              </w:rPr>
              <w:t xml:space="preserve">Upgrading of IT education expanded to more selected universities </w:t>
            </w:r>
            <w:r w:rsidRPr="00A00187">
              <w:rPr>
                <w:rFonts w:ascii="Times New Roman" w:hAnsi="Times New Roman" w:cs="Times New Roman"/>
                <w:b w:val="0"/>
                <w:sz w:val="18"/>
                <w:szCs w:val="18"/>
              </w:rPr>
              <w:lastRenderedPageBreak/>
              <w:t>in consultation and cooperation with UGC</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50363D" w:rsidRDefault="0050363D"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National Institute for Information and communication operating with few satellites in selected locations</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$30 billion (50% more than Korea today)</w:t>
            </w:r>
          </w:p>
        </w:tc>
        <w:tc>
          <w:tcPr>
            <w:tcW w:w="1752" w:type="dxa"/>
            <w:tcBorders>
              <w:top w:val="single" w:sz="4" w:space="0" w:color="auto"/>
              <w:left w:val="single" w:sz="4" w:space="0" w:color="auto"/>
              <w:bottom w:val="single" w:sz="4" w:space="0" w:color="auto"/>
              <w:right w:val="single" w:sz="4" w:space="0" w:color="auto"/>
            </w:tcBorders>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lastRenderedPageBreak/>
              <w:t>Technology platform operating at very advanced level comparable with other developed countries entirely under private sector leadership and full participation</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Establishment of institutions of higher learning and research in the mold of IIT in India in all divisions</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30 CoEs in priority sectors operational</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IT Parks are functioning and expanding as appropriate and three IT cities are in place in Dhaka, Chittagong and Khulna</w:t>
            </w:r>
          </w:p>
          <w:p w:rsidR="0050363D" w:rsidRDefault="0050363D"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High quality IT education under way</w:t>
            </w: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 xml:space="preserve">in all universities in consultation and </w:t>
            </w:r>
            <w:r w:rsidRPr="00A00187">
              <w:rPr>
                <w:rFonts w:ascii="Times New Roman" w:hAnsi="Times New Roman" w:cs="Times New Roman"/>
                <w:b w:val="0"/>
                <w:sz w:val="18"/>
                <w:szCs w:val="18"/>
              </w:rPr>
              <w:lastRenderedPageBreak/>
              <w:t>cooperation with UGC</w:t>
            </w:r>
          </w:p>
          <w:p w:rsidR="0050363D" w:rsidRDefault="0050363D" w:rsidP="00A9053C">
            <w:pPr>
              <w:spacing w:line="276" w:lineRule="auto"/>
              <w:contextualSpacing/>
              <w:jc w:val="center"/>
              <w:rPr>
                <w:rFonts w:ascii="Times New Roman" w:hAnsi="Times New Roman" w:cs="Times New Roman"/>
                <w:b w:val="0"/>
                <w:sz w:val="18"/>
                <w:szCs w:val="18"/>
              </w:rPr>
            </w:pPr>
          </w:p>
          <w:p w:rsidR="0050363D" w:rsidRDefault="0050363D"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National Institute for Information and communication operating with satellites across the country</w:t>
            </w:r>
          </w:p>
          <w:p w:rsidR="00A00187" w:rsidRPr="00A00187" w:rsidRDefault="00A00187" w:rsidP="00A9053C">
            <w:pPr>
              <w:spacing w:line="276" w:lineRule="auto"/>
              <w:contextualSpacing/>
              <w:jc w:val="center"/>
              <w:rPr>
                <w:rFonts w:ascii="Times New Roman" w:hAnsi="Times New Roman" w:cs="Times New Roman"/>
                <w:b w:val="0"/>
                <w:sz w:val="18"/>
                <w:szCs w:val="18"/>
              </w:rPr>
            </w:pPr>
          </w:p>
          <w:p w:rsidR="00486CB0" w:rsidRDefault="00486CB0" w:rsidP="00A9053C">
            <w:pPr>
              <w:spacing w:line="276" w:lineRule="auto"/>
              <w:contextualSpacing/>
              <w:jc w:val="center"/>
              <w:rPr>
                <w:rFonts w:ascii="Times New Roman" w:hAnsi="Times New Roman" w:cs="Times New Roman"/>
                <w:b w:val="0"/>
                <w:sz w:val="18"/>
                <w:szCs w:val="18"/>
              </w:rPr>
            </w:pPr>
          </w:p>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$125 billion (slightly over India today)</w:t>
            </w:r>
          </w:p>
        </w:tc>
      </w:tr>
      <w:tr w:rsidR="00A00187" w:rsidRPr="00A00187" w:rsidTr="00A9053C">
        <w:tc>
          <w:tcPr>
            <w:tcW w:w="1748"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lastRenderedPageBreak/>
              <w:t>Market integration through investments in nine proposed economic corridors incorporating also the Southern Economic Corridor (Alamgir 2017)</w:t>
            </w: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See note below</w:t>
            </w:r>
          </w:p>
          <w:p w:rsidR="00A00187" w:rsidRPr="00A00187" w:rsidRDefault="00A00187" w:rsidP="00A9053C">
            <w:pPr>
              <w:spacing w:line="276" w:lineRule="auto"/>
              <w:contextualSpacing/>
              <w:rPr>
                <w:rFonts w:ascii="Times New Roman" w:hAnsi="Times New Roman" w:cs="Times New Roman"/>
                <w:b w:val="0"/>
                <w:sz w:val="18"/>
                <w:szCs w:val="18"/>
              </w:rPr>
            </w:pPr>
            <w:r w:rsidRPr="00A00187">
              <w:rPr>
                <w:rFonts w:ascii="Times New Roman" w:hAnsi="Times New Roman" w:cs="Times New Roman"/>
                <w:b w:val="0"/>
                <w:sz w:val="18"/>
                <w:szCs w:val="18"/>
              </w:rPr>
              <w:t xml:space="preserve"> </w:t>
            </w:r>
          </w:p>
        </w:tc>
        <w:tc>
          <w:tcPr>
            <w:tcW w:w="1865"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All nine corridors under developed</w:t>
            </w:r>
          </w:p>
        </w:tc>
        <w:tc>
          <w:tcPr>
            <w:tcW w:w="1589"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Dhaka-Chittagong section of Corridor 1 and Dhaka-Beanpole section of Corridor 2 fully developed</w:t>
            </w:r>
          </w:p>
        </w:tc>
        <w:tc>
          <w:tcPr>
            <w:tcW w:w="2136"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Corridors 1 and 2 and Southern Economic Corridor fully developed and work on other corridors under way</w:t>
            </w:r>
          </w:p>
        </w:tc>
        <w:tc>
          <w:tcPr>
            <w:tcW w:w="1752" w:type="dxa"/>
            <w:tcBorders>
              <w:top w:val="single" w:sz="4" w:space="0" w:color="auto"/>
              <w:left w:val="single" w:sz="4" w:space="0" w:color="auto"/>
              <w:bottom w:val="single" w:sz="4" w:space="0" w:color="auto"/>
              <w:right w:val="single" w:sz="4" w:space="0" w:color="auto"/>
            </w:tcBorders>
            <w:hideMark/>
          </w:tcPr>
          <w:p w:rsidR="00A00187" w:rsidRPr="00A00187" w:rsidRDefault="00A00187" w:rsidP="00A9053C">
            <w:pPr>
              <w:spacing w:line="276" w:lineRule="auto"/>
              <w:contextualSpacing/>
              <w:jc w:val="center"/>
              <w:rPr>
                <w:rFonts w:ascii="Times New Roman" w:hAnsi="Times New Roman" w:cs="Times New Roman"/>
                <w:b w:val="0"/>
                <w:sz w:val="18"/>
                <w:szCs w:val="18"/>
              </w:rPr>
            </w:pPr>
            <w:r w:rsidRPr="00A00187">
              <w:rPr>
                <w:rFonts w:ascii="Times New Roman" w:hAnsi="Times New Roman" w:cs="Times New Roman"/>
                <w:b w:val="0"/>
                <w:sz w:val="18"/>
                <w:szCs w:val="18"/>
              </w:rPr>
              <w:t>Work on all nine corridors completed</w:t>
            </w:r>
          </w:p>
        </w:tc>
      </w:tr>
    </w:tbl>
    <w:p w:rsidR="00A00187" w:rsidRPr="00A00187" w:rsidRDefault="00A00187" w:rsidP="00A00187">
      <w:pPr>
        <w:spacing w:after="0" w:line="276" w:lineRule="auto"/>
        <w:contextualSpacing/>
        <w:jc w:val="both"/>
        <w:rPr>
          <w:sz w:val="18"/>
          <w:szCs w:val="18"/>
        </w:rPr>
      </w:pPr>
      <w:r w:rsidRPr="00A00187">
        <w:rPr>
          <w:sz w:val="18"/>
          <w:szCs w:val="18"/>
        </w:rPr>
        <w:t xml:space="preserve">Note: Corridor 1, Northwest-Southeast (NW-SE) is a 982-kilometer-long road link extending from Teknaf in Myanmar border to Banglabandha on the Indian border. </w:t>
      </w:r>
    </w:p>
    <w:p w:rsidR="00A00187" w:rsidRPr="00A00187" w:rsidRDefault="00A00187" w:rsidP="00A00187">
      <w:pPr>
        <w:spacing w:after="0" w:line="276" w:lineRule="auto"/>
        <w:contextualSpacing/>
        <w:jc w:val="both"/>
        <w:rPr>
          <w:sz w:val="18"/>
          <w:szCs w:val="18"/>
        </w:rPr>
      </w:pPr>
      <w:r w:rsidRPr="00A00187">
        <w:rPr>
          <w:sz w:val="18"/>
          <w:szCs w:val="18"/>
        </w:rPr>
        <w:t xml:space="preserve">Corridor 2, Southwest-Northeast (SW-NE) is a 504-kilometer-long road link extending from the Benapole border with India to the Tamabil/Karimganj border also with India. </w:t>
      </w:r>
    </w:p>
    <w:p w:rsidR="00A00187" w:rsidRPr="00A00187" w:rsidRDefault="00A00187" w:rsidP="00A00187">
      <w:pPr>
        <w:spacing w:after="0" w:line="276" w:lineRule="auto"/>
        <w:contextualSpacing/>
        <w:jc w:val="both"/>
        <w:rPr>
          <w:sz w:val="18"/>
          <w:szCs w:val="18"/>
        </w:rPr>
      </w:pPr>
      <w:r w:rsidRPr="00A00187">
        <w:rPr>
          <w:sz w:val="18"/>
          <w:szCs w:val="18"/>
        </w:rPr>
        <w:t xml:space="preserve">Corridor 3, North-South (West) (NS-W) is a 661-kilometer-long road link connecting Banglabandha on the Indian border with the Mongla Sea Port on the South. </w:t>
      </w:r>
    </w:p>
    <w:p w:rsidR="00A00187" w:rsidRPr="00A00187" w:rsidRDefault="00A00187" w:rsidP="00A00187">
      <w:pPr>
        <w:spacing w:after="0" w:line="276" w:lineRule="auto"/>
        <w:contextualSpacing/>
        <w:jc w:val="both"/>
        <w:rPr>
          <w:sz w:val="18"/>
          <w:szCs w:val="18"/>
        </w:rPr>
      </w:pPr>
      <w:r w:rsidRPr="00A00187">
        <w:rPr>
          <w:sz w:val="18"/>
          <w:szCs w:val="18"/>
        </w:rPr>
        <w:t>Corridor 4, North-South (Central) (NS-C) is a 338-kilometer-long road link connecting Mymensingh an important administrative and business center in the north central part of Bangladesh with Barisal and Patuakhali two important river ports in the South central part of the country. Corridor 4 is the central artery of Bangladesh dividing the country into East and West.</w:t>
      </w:r>
    </w:p>
    <w:p w:rsidR="00A00187" w:rsidRPr="00A00187" w:rsidRDefault="00A00187" w:rsidP="00A00187">
      <w:pPr>
        <w:spacing w:after="0" w:line="276" w:lineRule="auto"/>
        <w:contextualSpacing/>
        <w:jc w:val="both"/>
        <w:rPr>
          <w:sz w:val="18"/>
          <w:szCs w:val="18"/>
        </w:rPr>
      </w:pPr>
      <w:r w:rsidRPr="00A00187">
        <w:rPr>
          <w:sz w:val="18"/>
          <w:szCs w:val="18"/>
        </w:rPr>
        <w:t>Corridor 5, North-South (East) (NS-E) is a 668-kilometer-long road link connecting Tamabil/Karimganj on the Indian border with Teknaf on the Myanmar border passing through mineral (gas) and industrial belts and also linking with the Chittagong port</w:t>
      </w:r>
    </w:p>
    <w:p w:rsidR="00A00187" w:rsidRPr="00A00187" w:rsidRDefault="00A00187" w:rsidP="00A00187">
      <w:pPr>
        <w:spacing w:after="0" w:line="276" w:lineRule="auto"/>
        <w:contextualSpacing/>
        <w:jc w:val="both"/>
        <w:rPr>
          <w:sz w:val="18"/>
          <w:szCs w:val="18"/>
        </w:rPr>
      </w:pPr>
      <w:r w:rsidRPr="00A00187">
        <w:rPr>
          <w:sz w:val="18"/>
          <w:szCs w:val="18"/>
        </w:rPr>
        <w:t xml:space="preserve">Corridor 6, Northwest-Northeast (NW-NE) is an 805-kilometer-long road link connecting Banglabandha on the Indian border with the Tamabil/Karimganj border also with India. </w:t>
      </w:r>
    </w:p>
    <w:p w:rsidR="00A00187" w:rsidRPr="00A00187" w:rsidRDefault="00A00187" w:rsidP="00A00187">
      <w:pPr>
        <w:spacing w:after="0" w:line="276" w:lineRule="auto"/>
        <w:contextualSpacing/>
        <w:jc w:val="both"/>
        <w:rPr>
          <w:sz w:val="18"/>
          <w:szCs w:val="18"/>
        </w:rPr>
      </w:pPr>
      <w:r w:rsidRPr="00A00187">
        <w:rPr>
          <w:sz w:val="18"/>
          <w:szCs w:val="18"/>
        </w:rPr>
        <w:t>Corridor 7, Southwest-Southeast (SW-SE) is 776-kilometer-long road/rail link connecting Darsana on the Indian border with Teknaf on the Myanmar border via Chittagong where the rail link ends and road interchange begins.</w:t>
      </w:r>
    </w:p>
    <w:p w:rsidR="00A00187" w:rsidRPr="00A00187" w:rsidRDefault="00A00187" w:rsidP="00A00187">
      <w:pPr>
        <w:spacing w:after="0" w:line="276" w:lineRule="auto"/>
        <w:contextualSpacing/>
        <w:jc w:val="both"/>
        <w:rPr>
          <w:sz w:val="18"/>
          <w:szCs w:val="18"/>
        </w:rPr>
      </w:pPr>
      <w:r w:rsidRPr="00A00187">
        <w:rPr>
          <w:sz w:val="18"/>
          <w:szCs w:val="18"/>
        </w:rPr>
        <w:t>Corridor 8, East-West (EW) is a 746-kilometer-long road link connecting Benapole on the Indian border with Teknaf on the Myanmar border via Chittagong. It is part of SASEC Corridor 3 and Asian Highway 41 (AH - 41).</w:t>
      </w:r>
    </w:p>
    <w:p w:rsidR="00A00187" w:rsidRPr="00A00187" w:rsidRDefault="00A00187" w:rsidP="00A00187">
      <w:pPr>
        <w:tabs>
          <w:tab w:val="num" w:pos="2880"/>
        </w:tabs>
        <w:spacing w:after="0" w:line="276" w:lineRule="auto"/>
        <w:contextualSpacing/>
        <w:rPr>
          <w:b/>
          <w:sz w:val="18"/>
          <w:szCs w:val="18"/>
        </w:rPr>
      </w:pPr>
      <w:r w:rsidRPr="00A00187">
        <w:rPr>
          <w:sz w:val="18"/>
          <w:szCs w:val="18"/>
        </w:rPr>
        <w:t>Corridor 9, Inland Water Route (IWR) is a 670-kilometer-long inland water link connecting Kolkata in India with Assam in India via Angtihara- Khulna-Barisal-Up Meghna. It is part of SASEC Corridor 4.</w:t>
      </w:r>
    </w:p>
    <w:p w:rsidR="00A00187" w:rsidRPr="00A00187" w:rsidRDefault="00A00187" w:rsidP="00A00187">
      <w:pPr>
        <w:spacing w:before="0" w:after="200" w:line="276" w:lineRule="auto"/>
        <w:rPr>
          <w:color w:val="000000"/>
        </w:rPr>
      </w:pPr>
      <w:r w:rsidRPr="00A00187">
        <w:rPr>
          <w:sz w:val="18"/>
          <w:szCs w:val="18"/>
        </w:rPr>
        <w:t xml:space="preserve">The nine-corridor CIMECON for Bangladesh can be reduced to a module of the London Tube. The nine corridors of CIMECON satisfy market integration and link criteria. This </w:t>
      </w:r>
      <w:r w:rsidRPr="00A00187">
        <w:rPr>
          <w:rFonts w:eastAsia="Times New Roman"/>
          <w:color w:val="000000"/>
          <w:sz w:val="18"/>
          <w:szCs w:val="18"/>
        </w:rPr>
        <w:t>within-country integrated economic corridor development is open to improved regional connectivity, transit and integration as facilitation measures are built up and put in place.</w:t>
      </w:r>
    </w:p>
    <w:p w:rsidR="00CD4923" w:rsidRPr="00CD4923" w:rsidRDefault="00CD4923" w:rsidP="00482F2E">
      <w:pPr>
        <w:spacing w:before="0" w:after="200" w:line="276" w:lineRule="auto"/>
        <w:rPr>
          <w:color w:val="000000"/>
        </w:rPr>
      </w:pPr>
      <w:r>
        <w:rPr>
          <w:b/>
          <w:color w:val="000000"/>
        </w:rPr>
        <w:t xml:space="preserve">Democracy. </w:t>
      </w:r>
      <w:r w:rsidRPr="00CD4923">
        <w:rPr>
          <w:color w:val="000000"/>
        </w:rPr>
        <w:t xml:space="preserve">Democracy is measured by various indicators, quantitative and qualitative. </w:t>
      </w:r>
      <w:r>
        <w:rPr>
          <w:color w:val="000000"/>
        </w:rPr>
        <w:t xml:space="preserve">These are </w:t>
      </w:r>
      <w:r w:rsidR="003C4DBC" w:rsidRPr="00981D62">
        <w:t>The Economist Democracy Index Score</w:t>
      </w:r>
      <w:r w:rsidR="003C4DBC">
        <w:t xml:space="preserve"> </w:t>
      </w:r>
      <w:r w:rsidR="003C4DBC" w:rsidRPr="00981D62">
        <w:t>(0 – 10 scale)</w:t>
      </w:r>
      <w:r w:rsidR="003C4DBC">
        <w:t xml:space="preserve">; </w:t>
      </w:r>
      <w:r w:rsidR="003C4DBC" w:rsidRPr="00981D62">
        <w:t xml:space="preserve">Election (A –Periodic and timely election at all levels including political party; B – Periodic and timely election at national level but indifferent at other levels; C – Periodic and/or interrupted or controversial national election </w:t>
      </w:r>
      <w:r w:rsidR="003C4DBC" w:rsidRPr="00981D62">
        <w:lastRenderedPageBreak/>
        <w:t>and indifferent at other levels)</w:t>
      </w:r>
      <w:r w:rsidR="003C4DBC">
        <w:t xml:space="preserve">; </w:t>
      </w:r>
      <w:r w:rsidR="003C4DBC" w:rsidRPr="00981D62">
        <w:t>Freedom (political and civil) score</w:t>
      </w:r>
      <w:r w:rsidR="003C4DBC">
        <w:t xml:space="preserve">; </w:t>
      </w:r>
      <w:r w:rsidR="003C4DBC" w:rsidRPr="00981D62">
        <w:t>Economic and social rights (Is right to education and property protected?)</w:t>
      </w:r>
      <w:r w:rsidR="003C4DBC">
        <w:t xml:space="preserve">; </w:t>
      </w:r>
      <w:r w:rsidR="003C4DBC" w:rsidRPr="00981D62">
        <w:t>Civil and political participation (Is there equal freedom of assembly and participation in political life?)</w:t>
      </w:r>
      <w:r w:rsidR="003C4DBC">
        <w:t xml:space="preserve">, and </w:t>
      </w:r>
      <w:r w:rsidR="003C4DBC" w:rsidRPr="00981D62">
        <w:t>Political parties (Are all political parties allowed to form and participate in electoral process)</w:t>
      </w:r>
      <w:r w:rsidR="003C4DBC">
        <w:t>.</w:t>
      </w:r>
    </w:p>
    <w:p w:rsidR="0064681C" w:rsidRDefault="00482F2E" w:rsidP="00482F2E">
      <w:pPr>
        <w:spacing w:before="0" w:after="200" w:line="276" w:lineRule="auto"/>
      </w:pPr>
      <w:r w:rsidRPr="00A00187">
        <w:rPr>
          <w:color w:val="000000"/>
        </w:rPr>
        <w:t xml:space="preserve">Target for 2041 is to move from the current hybrid </w:t>
      </w:r>
      <w:r w:rsidR="00CD4923">
        <w:rPr>
          <w:color w:val="000000"/>
        </w:rPr>
        <w:t>quasi-</w:t>
      </w:r>
      <w:r w:rsidRPr="00A00187">
        <w:rPr>
          <w:color w:val="000000"/>
        </w:rPr>
        <w:t>one party authoritarian democracy with an index score of 5.73 into the range for full democracy (8 ≤ s ≤ 10) plus guaranteed democratic processes leading towards full pluralistic democracy.</w:t>
      </w:r>
      <w:r w:rsidRPr="00A00187">
        <w:t xml:space="preserve"> </w:t>
      </w:r>
    </w:p>
    <w:p w:rsidR="00FA41E8" w:rsidRDefault="0064681C" w:rsidP="00482F2E">
      <w:pPr>
        <w:spacing w:before="0" w:after="200" w:line="276" w:lineRule="auto"/>
      </w:pPr>
      <w:r>
        <w:t xml:space="preserve">In terms of global freedom score, Bangladesh is desired to move from the current </w:t>
      </w:r>
      <w:r w:rsidR="003C4DBC">
        <w:t>47</w:t>
      </w:r>
      <w:r>
        <w:t xml:space="preserve"> to</w:t>
      </w:r>
      <w:r w:rsidR="003C4DBC">
        <w:t xml:space="preserve"> 55</w:t>
      </w:r>
      <w:r>
        <w:t xml:space="preserve"> by 2021</w:t>
      </w:r>
      <w:r w:rsidR="003C4DBC">
        <w:t>, 65</w:t>
      </w:r>
      <w:r>
        <w:t xml:space="preserve"> by 2030 and </w:t>
      </w:r>
      <w:r w:rsidR="003C4DBC">
        <w:t>80</w:t>
      </w:r>
      <w:r>
        <w:t xml:space="preserve"> by 2041. Currently Bangladesh is behind </w:t>
      </w:r>
      <w:r w:rsidRPr="0064681C">
        <w:t>Sweden, Ireland, Germany, India, Paraguay, Madagascar, Sri Lanka and Nepal</w:t>
      </w:r>
      <w:r>
        <w:t xml:space="preserve"> in freedom score. The projected path will take it to the today’s level of developed countries.</w:t>
      </w:r>
      <w:r w:rsidR="00FA41E8">
        <w:t xml:space="preserve"> The SPPB paths for other qualitative democracy indicators have also been traced (Table 13).</w:t>
      </w:r>
    </w:p>
    <w:p w:rsidR="00DA166D" w:rsidRDefault="00FA41E8" w:rsidP="00482F2E">
      <w:pPr>
        <w:spacing w:before="0" w:after="200" w:line="276" w:lineRule="auto"/>
      </w:pPr>
      <w:r>
        <w:rPr>
          <w:b/>
        </w:rPr>
        <w:t xml:space="preserve">Decentralization. </w:t>
      </w:r>
      <w:r w:rsidR="00DA166D" w:rsidRPr="00B2074B">
        <w:t>From the current state of virtual absence of decent</w:t>
      </w:r>
      <w:r w:rsidR="00DA166D">
        <w:t>ralization, the proposed target</w:t>
      </w:r>
      <w:r w:rsidR="00DA166D" w:rsidRPr="00B2074B">
        <w:t xml:space="preserve"> for 2041 </w:t>
      </w:r>
      <w:r w:rsidR="00DA166D">
        <w:t>is to take Bangladesh to ‘High’ level of decentralization under the six concepts outlined above</w:t>
      </w:r>
      <w:r w:rsidR="00BB1165">
        <w:t xml:space="preserve"> (Table 13)</w:t>
      </w:r>
      <w:r w:rsidR="00DA166D">
        <w:t xml:space="preserve">. </w:t>
      </w:r>
    </w:p>
    <w:p w:rsidR="00BD19D4" w:rsidRPr="002A3B7D" w:rsidRDefault="00DA166D" w:rsidP="00482F2E">
      <w:pPr>
        <w:spacing w:before="0" w:after="200" w:line="276" w:lineRule="auto"/>
      </w:pPr>
      <w:r w:rsidRPr="005D423D">
        <w:t xml:space="preserve">The framework for decentralization (Figure </w:t>
      </w:r>
      <w:r w:rsidR="00BB1165">
        <w:t>6</w:t>
      </w:r>
      <w:r w:rsidRPr="005D423D">
        <w:t>) suggests target of completing the process of Deconcentration and decentralization by 2041 under six concepts: (</w:t>
      </w:r>
      <w:proofErr w:type="spellStart"/>
      <w:r w:rsidRPr="005D423D">
        <w:t>i</w:t>
      </w:r>
      <w:proofErr w:type="spellEnd"/>
      <w:r w:rsidRPr="005D423D">
        <w:t xml:space="preserve">) fiscal and planning decentralization, (ii) political and decision-making decentralization, (iii) vertical and judicial decentralization, (iv) administrative and personnel decentralization, (v) electoral decentralization. </w:t>
      </w:r>
      <w:r>
        <w:t xml:space="preserve">Consideration may have to be given to converting present administrative divisions into provinces as </w:t>
      </w:r>
      <w:r w:rsidRPr="002A3B7D">
        <w:t>some have suggested (Wahab, undated). This will have implication for urban and land use planning and shifting power away from Dhaka in favor of other nodes.</w:t>
      </w:r>
    </w:p>
    <w:p w:rsidR="00BB1165" w:rsidRDefault="00BB1165" w:rsidP="00482F2E">
      <w:pPr>
        <w:spacing w:before="0" w:after="200" w:line="276" w:lineRule="auto"/>
      </w:pPr>
      <w:r w:rsidRPr="002A3B7D">
        <w:rPr>
          <w:b/>
        </w:rPr>
        <w:t xml:space="preserve">Capacity building. </w:t>
      </w:r>
      <w:r w:rsidRPr="002A3B7D">
        <w:t xml:space="preserve">Capacity building has many dimensions including gender empowerment, </w:t>
      </w:r>
      <w:r w:rsidR="002A3B7D" w:rsidRPr="002A3B7D">
        <w:t xml:space="preserve">legislature, judiciary, executive, the bureaucracy and the rule of law, </w:t>
      </w:r>
      <w:r w:rsidR="002A3B7D">
        <w:t>political institutions, social institutions, land, basic education, skill, technology and markets.</w:t>
      </w:r>
    </w:p>
    <w:p w:rsidR="002A3B7D" w:rsidRDefault="002A3B7D" w:rsidP="00482F2E">
      <w:pPr>
        <w:spacing w:before="0" w:after="200" w:line="276" w:lineRule="auto"/>
      </w:pPr>
      <w:r>
        <w:tab/>
        <w:t>Gender empowerment</w:t>
      </w:r>
    </w:p>
    <w:p w:rsidR="00965D1B" w:rsidRDefault="00111CBE" w:rsidP="00482F2E">
      <w:pPr>
        <w:spacing w:before="0" w:after="200" w:line="276" w:lineRule="auto"/>
      </w:pPr>
      <w:r>
        <w:t xml:space="preserve">Gender empowerment is measured by preparation and implementation of gender-sensitive budget and </w:t>
      </w:r>
      <w:proofErr w:type="spellStart"/>
      <w:r>
        <w:t>SiGi</w:t>
      </w:r>
      <w:proofErr w:type="spellEnd"/>
      <w:r>
        <w:t xml:space="preserve"> score. Gender-sensitive budget is only partially implemented in Bangladesh. The expectation is this will change and at each milestone gender sensitiveness of budget will improve ultimately budget being fully gender sensitive by 2030 onwards. As for </w:t>
      </w:r>
      <w:proofErr w:type="spellStart"/>
      <w:r>
        <w:t>SiGi</w:t>
      </w:r>
      <w:proofErr w:type="spellEnd"/>
      <w:r>
        <w:t xml:space="preserve"> score, Bangladesh is classified as very high gender discrimination with a score of 0.39. </w:t>
      </w:r>
      <w:r w:rsidR="00722FA5">
        <w:t xml:space="preserve">It is </w:t>
      </w:r>
      <w:r w:rsidR="00A9053C">
        <w:t>expected</w:t>
      </w:r>
      <w:r w:rsidR="00722FA5">
        <w:t xml:space="preserve"> that Bangladesh will move up from very high gender discrimination (0.39) to high (0.32 – Nepal) by 2021, medium (0.19 – Vietnam) by 2030 and low discrimination (0.10 – Mozambique) by 2041.</w:t>
      </w:r>
    </w:p>
    <w:p w:rsidR="00486CB0" w:rsidRDefault="00486CB0">
      <w:pPr>
        <w:rPr>
          <w:b/>
        </w:rPr>
      </w:pPr>
      <w:r>
        <w:rPr>
          <w:b/>
        </w:rPr>
        <w:br w:type="page"/>
      </w:r>
    </w:p>
    <w:p w:rsidR="00486CB0" w:rsidRPr="00486CB0" w:rsidRDefault="00965D1B" w:rsidP="00486CB0">
      <w:pPr>
        <w:spacing w:before="0" w:after="200" w:line="276" w:lineRule="auto"/>
        <w:ind w:left="720"/>
      </w:pPr>
      <w:r w:rsidRPr="00486CB0">
        <w:lastRenderedPageBreak/>
        <w:t xml:space="preserve">Legislature </w:t>
      </w:r>
    </w:p>
    <w:p w:rsidR="00942DAF" w:rsidRDefault="00965D1B" w:rsidP="00482F2E">
      <w:pPr>
        <w:spacing w:before="0" w:after="200" w:line="276" w:lineRule="auto"/>
      </w:pPr>
      <w:r w:rsidRPr="00942DAF">
        <w:t>Progress is measured by a perception indicators defined as</w:t>
      </w:r>
      <w:r w:rsidRPr="00942DAF">
        <w:rPr>
          <w:b/>
        </w:rPr>
        <w:t xml:space="preserve"> </w:t>
      </w:r>
      <w:r w:rsidR="00942DAF">
        <w:rPr>
          <w:b/>
        </w:rPr>
        <w:t>‘</w:t>
      </w:r>
      <w:r w:rsidRPr="00942DAF">
        <w:rPr>
          <w:b/>
        </w:rPr>
        <w:t>f</w:t>
      </w:r>
      <w:r w:rsidRPr="00942DAF">
        <w:t>unctional capacity to lead in legislation, budget formulation and dealing with national crises and emergencies</w:t>
      </w:r>
      <w:r w:rsidR="00942DAF">
        <w:t>’</w:t>
      </w:r>
      <w:r w:rsidRPr="00942DAF">
        <w:t xml:space="preserve">. The benchmark is </w:t>
      </w:r>
      <w:r w:rsidR="00FD608A">
        <w:t>‘</w:t>
      </w:r>
      <w:r w:rsidRPr="00942DAF">
        <w:t>Non-functioning legislature dominated by one party</w:t>
      </w:r>
      <w:r w:rsidR="00FD608A">
        <w:t>’</w:t>
      </w:r>
      <w:r w:rsidRPr="00942DAF">
        <w:t xml:space="preserve">. Milestones are gradual improvements until the 2041 target of </w:t>
      </w:r>
      <w:r w:rsidR="00942DAF">
        <w:t>‘</w:t>
      </w:r>
      <w:r w:rsidR="00942DAF" w:rsidRPr="00942DAF">
        <w:t>w</w:t>
      </w:r>
      <w:r w:rsidRPr="00942DAF">
        <w:t xml:space="preserve">ell-functioning legislature with diversity of </w:t>
      </w:r>
      <w:r w:rsidR="00942DAF" w:rsidRPr="00942DAF">
        <w:t>interests represented</w:t>
      </w:r>
      <w:r w:rsidRPr="00942DAF">
        <w:t xml:space="preserve"> achieving the national </w:t>
      </w:r>
      <w:r w:rsidR="00942DAF">
        <w:t>goal</w:t>
      </w:r>
      <w:r w:rsidRPr="00942DAF">
        <w:t xml:space="preserve"> of developed Bangladesh ruled by law, peaceful and tolerant and free of abusive corruption</w:t>
      </w:r>
      <w:r w:rsidR="00942DAF" w:rsidRPr="00942DAF">
        <w:t xml:space="preserve"> is achieved</w:t>
      </w:r>
      <w:r w:rsidR="00942DAF">
        <w:t>’</w:t>
      </w:r>
      <w:r w:rsidR="00942DAF" w:rsidRPr="00942DAF">
        <w:t>.</w:t>
      </w:r>
    </w:p>
    <w:p w:rsidR="00486CB0" w:rsidRPr="00486CB0" w:rsidRDefault="00942DAF" w:rsidP="00486CB0">
      <w:pPr>
        <w:spacing w:before="0" w:after="200" w:line="276" w:lineRule="auto"/>
        <w:ind w:left="720"/>
      </w:pPr>
      <w:r w:rsidRPr="00486CB0">
        <w:t xml:space="preserve">Judiciary </w:t>
      </w:r>
    </w:p>
    <w:p w:rsidR="000157F9" w:rsidRDefault="00942DAF" w:rsidP="00482F2E">
      <w:pPr>
        <w:spacing w:before="0" w:after="200" w:line="276" w:lineRule="auto"/>
      </w:pPr>
      <w:r w:rsidRPr="000157F9">
        <w:t>The perception indicator is ‘judicial quality’. Benchmark is ‘weak judiciary susceptible to political influence and corruption’. The 2041 target, ‘</w:t>
      </w:r>
      <w:r w:rsidR="000157F9" w:rsidRPr="000157F9">
        <w:t>Strong, independent, separate, effective, efficient, just, impartial, incorruptible, a political and victim-friendly judiciary’ while milestones are given by gradual improvements.</w:t>
      </w:r>
    </w:p>
    <w:p w:rsidR="00486CB0" w:rsidRPr="00486CB0" w:rsidRDefault="000157F9" w:rsidP="00486CB0">
      <w:pPr>
        <w:spacing w:before="0" w:after="200" w:line="276" w:lineRule="auto"/>
        <w:ind w:left="720"/>
      </w:pPr>
      <w:r w:rsidRPr="00486CB0">
        <w:t>Executive, the bureaucracy and the rule of law</w:t>
      </w:r>
    </w:p>
    <w:p w:rsidR="000157F9" w:rsidRPr="00FD608A" w:rsidRDefault="000157F9" w:rsidP="00FD608A">
      <w:pPr>
        <w:spacing w:before="0" w:after="200" w:line="276" w:lineRule="auto"/>
      </w:pPr>
      <w:r w:rsidRPr="000157F9">
        <w:t xml:space="preserve">The perception indicator is ‘the quality of the bureaucracy and law and order agencies’. Benchmark is ‘As individuals intelligent and better </w:t>
      </w:r>
      <w:r w:rsidRPr="00FD608A">
        <w:t>educated and more sensitive to people than before but as group lacks focus, elitist, ineffective, highly politicized and prone to influence and corruption’. The 2041 target, ‘A strong, independent, reformed bureaucracy and law enforcement agencies far less prone to influence and corruption and fully committed to and proud of achieving Bangladesh Vision 2041 and go beyond’ while milestones are given by gradual improvements.</w:t>
      </w:r>
    </w:p>
    <w:p w:rsidR="00486CB0" w:rsidRPr="00486CB0" w:rsidRDefault="000157F9" w:rsidP="00486CB0">
      <w:pPr>
        <w:spacing w:before="0" w:after="200" w:line="276" w:lineRule="auto"/>
        <w:ind w:left="720"/>
      </w:pPr>
      <w:r w:rsidRPr="00486CB0">
        <w:t xml:space="preserve">Political </w:t>
      </w:r>
      <w:r w:rsidR="00486CB0" w:rsidRPr="00486CB0">
        <w:t>institution</w:t>
      </w:r>
      <w:r w:rsidRPr="00486CB0">
        <w:t xml:space="preserve"> </w:t>
      </w:r>
    </w:p>
    <w:p w:rsidR="00FD608A" w:rsidRPr="00CE1EB7" w:rsidRDefault="00FD608A" w:rsidP="00CE1EB7">
      <w:pPr>
        <w:spacing w:before="0" w:after="200" w:line="276" w:lineRule="auto"/>
      </w:pPr>
      <w:r w:rsidRPr="00FD608A">
        <w:t xml:space="preserve">Two perception indicators combined in one is suggested, ‘party conventions’ and ‘election for party office bearers’. Benchmark is ‘Irregular party conventions and election for party office bearer are seldom organized and political institutions are at infancy’. The 2041 target, ‘Annual or Bi-annual party conventions and election for party office bearer are held annually </w:t>
      </w:r>
      <w:r w:rsidRPr="00CE1EB7">
        <w:t>or bi-annually and political institutions are mature’ while milestones are given by gradual improvements.</w:t>
      </w:r>
    </w:p>
    <w:p w:rsidR="00486CB0" w:rsidRPr="00486CB0" w:rsidRDefault="00FD608A" w:rsidP="00486CB0">
      <w:pPr>
        <w:spacing w:before="0" w:after="200" w:line="276" w:lineRule="auto"/>
        <w:ind w:left="720"/>
      </w:pPr>
      <w:r w:rsidRPr="00486CB0">
        <w:t xml:space="preserve">Social institutions </w:t>
      </w:r>
    </w:p>
    <w:p w:rsidR="00CE1EB7" w:rsidRPr="00CE1EB7" w:rsidRDefault="00FD608A" w:rsidP="00CE1EB7">
      <w:pPr>
        <w:spacing w:line="276" w:lineRule="auto"/>
        <w:contextualSpacing/>
        <w:rPr>
          <w:b/>
        </w:rPr>
      </w:pPr>
      <w:r w:rsidRPr="00CE1EB7">
        <w:t>The perception indicator is</w:t>
      </w:r>
      <w:r w:rsidRPr="00CE1EB7">
        <w:rPr>
          <w:b/>
        </w:rPr>
        <w:t xml:space="preserve"> ‘</w:t>
      </w:r>
      <w:r w:rsidRPr="00CE1EB7">
        <w:t>Stage of development of CSOs (conception, organization, low-level/quality operation, fully-fledged operation, mature high quality broad-based operation</w:t>
      </w:r>
      <w:r w:rsidR="00CE1EB7" w:rsidRPr="00CE1EB7">
        <w:t>)</w:t>
      </w:r>
      <w:r w:rsidRPr="00CE1EB7">
        <w:t>’.</w:t>
      </w:r>
      <w:r w:rsidR="00897F07" w:rsidRPr="00CE1EB7">
        <w:t xml:space="preserve"> Benchmark is ‘</w:t>
      </w:r>
      <w:r w:rsidR="00CE1EB7" w:rsidRPr="00CE1EB7">
        <w:t>A combination of low-level/quality operation and fully-fledged operation with</w:t>
      </w:r>
    </w:p>
    <w:p w:rsidR="00897F07" w:rsidRPr="00CE1EB7" w:rsidRDefault="00CE1EB7" w:rsidP="00CE1EB7">
      <w:pPr>
        <w:spacing w:before="0" w:after="200" w:line="276" w:lineRule="auto"/>
      </w:pPr>
      <w:r w:rsidRPr="00CE1EB7">
        <w:t>some as international best practice’. The 2041 target, ‘</w:t>
      </w:r>
      <w:r w:rsidR="00897F07" w:rsidRPr="00CE1EB7">
        <w:t>All CSOs are mature high quality broad-based operation with some as international best practice and all institutionalized under normal regulatory and business practices’ while milestones are given by gradual improvements.</w:t>
      </w:r>
    </w:p>
    <w:p w:rsidR="00486CB0" w:rsidRDefault="00486CB0">
      <w:pPr>
        <w:rPr>
          <w:b/>
        </w:rPr>
      </w:pPr>
      <w:r>
        <w:rPr>
          <w:b/>
        </w:rPr>
        <w:br w:type="page"/>
      </w:r>
    </w:p>
    <w:p w:rsidR="00486CB0" w:rsidRPr="00486CB0" w:rsidRDefault="00897F07" w:rsidP="00486CB0">
      <w:pPr>
        <w:spacing w:before="0" w:after="200" w:line="276" w:lineRule="auto"/>
        <w:ind w:left="720"/>
      </w:pPr>
      <w:r w:rsidRPr="00486CB0">
        <w:lastRenderedPageBreak/>
        <w:t xml:space="preserve">Land </w:t>
      </w:r>
    </w:p>
    <w:p w:rsidR="00CE1EB7" w:rsidRDefault="00897F07" w:rsidP="00FD608A">
      <w:pPr>
        <w:spacing w:before="0" w:after="200" w:line="276" w:lineRule="auto"/>
      </w:pPr>
      <w:r w:rsidRPr="00CE1EB7">
        <w:t>The perception indicator is ‘the quality of land management’. Benchmark is ‘</w:t>
      </w:r>
      <w:r w:rsidR="00CE1EB7" w:rsidRPr="00CE1EB7">
        <w:t>Chaotic with numerous litigation’. The 2041 target, ‘Improved with cases reduced by 50%+’ while milestones are given by gradual improvements.</w:t>
      </w:r>
    </w:p>
    <w:p w:rsidR="00486CB0" w:rsidRPr="00486CB0" w:rsidRDefault="00CE1EB7" w:rsidP="00486CB0">
      <w:pPr>
        <w:spacing w:before="0" w:after="200" w:line="276" w:lineRule="auto"/>
        <w:ind w:left="720"/>
      </w:pPr>
      <w:r w:rsidRPr="00486CB0">
        <w:t xml:space="preserve">Basic education </w:t>
      </w:r>
    </w:p>
    <w:p w:rsidR="00983538" w:rsidRDefault="00CE1EB7" w:rsidP="00FD608A">
      <w:pPr>
        <w:spacing w:before="0" w:after="200" w:line="276" w:lineRule="auto"/>
      </w:pPr>
      <w:r w:rsidRPr="00CE1EB7">
        <w:t xml:space="preserve">Progress is measured by reduction in dropout rates at primary and secondary levels. </w:t>
      </w:r>
      <w:r>
        <w:t>Benchmarks is 21% and 50% respectively for primary and secondary education</w:t>
      </w:r>
      <w:r w:rsidR="00694F7E">
        <w:t xml:space="preserve">. The 2041 target, ‘5% dropout rate for both primary as well as secondary level’ </w:t>
      </w:r>
      <w:r w:rsidR="00694F7E" w:rsidRPr="00CE1EB7">
        <w:t>while milestones are given by gradual improvements.</w:t>
      </w:r>
    </w:p>
    <w:p w:rsidR="00486CB0" w:rsidRPr="00486CB0" w:rsidRDefault="00983538" w:rsidP="00486CB0">
      <w:pPr>
        <w:spacing w:before="0" w:after="200" w:line="276" w:lineRule="auto"/>
        <w:ind w:left="720"/>
      </w:pPr>
      <w:r w:rsidRPr="00486CB0">
        <w:t xml:space="preserve">Skill </w:t>
      </w:r>
    </w:p>
    <w:p w:rsidR="00C62136" w:rsidRDefault="00983538" w:rsidP="00FD608A">
      <w:pPr>
        <w:spacing w:before="0" w:after="200" w:line="276" w:lineRule="auto"/>
      </w:pPr>
      <w:r>
        <w:t xml:space="preserve">The focus is on skill training. Benchmark is training of less than 1 million workers. Milestones and 2041 target are built around Government’s SEIP program. The 2041 target is training of </w:t>
      </w:r>
      <w:r w:rsidR="00C62136">
        <w:t>14 million workers. Milestones are 6.5 million by 2021 and 9 million by 2030.</w:t>
      </w:r>
    </w:p>
    <w:p w:rsidR="00486CB0" w:rsidRPr="00486CB0" w:rsidRDefault="00C62136" w:rsidP="00486CB0">
      <w:pPr>
        <w:spacing w:before="0" w:after="200" w:line="276" w:lineRule="auto"/>
        <w:ind w:left="720"/>
      </w:pPr>
      <w:r w:rsidRPr="00486CB0">
        <w:t xml:space="preserve">Technology </w:t>
      </w:r>
    </w:p>
    <w:p w:rsidR="00F96442" w:rsidRDefault="00C62136" w:rsidP="00F96442">
      <w:pPr>
        <w:spacing w:before="0" w:after="200" w:line="276" w:lineRule="auto"/>
      </w:pPr>
      <w:r w:rsidRPr="00F96442">
        <w:t>This is quite involved and complex taking Bangladesh beyond currently envisaged ‘Digital Bangladesh’ program in terms of time horizon and scope of operation.</w:t>
      </w:r>
      <w:r w:rsidR="00F96442" w:rsidRPr="00F96442">
        <w:t xml:space="preserve"> Several indicators need to be used to measure progress towards Vision 2041, namely, ‘Functioning technology platform with public sector support and private sector leadership’, ‘Operational advanced universities for science and technology’, ‘Centers of excellence (</w:t>
      </w:r>
      <w:proofErr w:type="spellStart"/>
      <w:r w:rsidR="00F96442" w:rsidRPr="00F96442">
        <w:t>CoE</w:t>
      </w:r>
      <w:proofErr w:type="spellEnd"/>
      <w:r w:rsidR="00F96442" w:rsidRPr="00F96442">
        <w:t>)’, ‘IT Parks’, ‘IT education at universities’, ‘National Institute for Information and Communication Technology’, and ‘ICT service exports’.</w:t>
      </w:r>
      <w:r w:rsidR="00F96442">
        <w:rPr>
          <w:b/>
        </w:rPr>
        <w:t xml:space="preserve"> </w:t>
      </w:r>
      <w:r w:rsidR="00F96442" w:rsidRPr="00F96442">
        <w:t>Targets for each are discussed below.</w:t>
      </w:r>
    </w:p>
    <w:p w:rsidR="00AC3631" w:rsidRDefault="00F96442" w:rsidP="00F96442">
      <w:pPr>
        <w:spacing w:before="0" w:after="200" w:line="276" w:lineRule="auto"/>
      </w:pPr>
      <w:r w:rsidRPr="00AC3631">
        <w:t xml:space="preserve">‘Functioning technology platform with public sector support and private sector leadership’. </w:t>
      </w:r>
      <w:r w:rsidR="00AC3631" w:rsidRPr="00AC3631">
        <w:t>Benchmark is, technology development, adoption and adaptation ad hoc with very limited public sector support and private sector leadership and participation. The 2041 target, ‘Technology platform operating at very advanced level comparable with other developed countries entirely under private sector leadership and full participation’ while milestones are given by gradual improvements.</w:t>
      </w:r>
    </w:p>
    <w:p w:rsidR="00A536FA" w:rsidRDefault="00AC3631" w:rsidP="00F96442">
      <w:pPr>
        <w:spacing w:before="0" w:after="200" w:line="276" w:lineRule="auto"/>
      </w:pPr>
      <w:r w:rsidRPr="00A536FA">
        <w:t>‘Operational advanced universities for science and technology’. Benchmark is ‘None’.</w:t>
      </w:r>
      <w:r w:rsidR="00A536FA" w:rsidRPr="00A536FA">
        <w:t xml:space="preserve"> It is anticipated that by 2021 there will be improved technology education and innovation in Universities and a new ICT University. The country will establish/strengthen 5 advanced universities specialized in </w:t>
      </w:r>
      <w:proofErr w:type="spellStart"/>
      <w:r w:rsidR="00A536FA" w:rsidRPr="00A536FA">
        <w:t>i</w:t>
      </w:r>
      <w:proofErr w:type="spellEnd"/>
      <w:r w:rsidR="00A536FA" w:rsidRPr="00A536FA">
        <w:t>) IT, ii) high tech agriculture, iii) marine, iv) textile and v) leather</w:t>
      </w:r>
      <w:r w:rsidRPr="00A536FA">
        <w:t xml:space="preserve"> </w:t>
      </w:r>
      <w:r w:rsidR="00A536FA" w:rsidRPr="00A536FA">
        <w:t>by 2030. The 2041 target, ‘Establishment of institutions of higher learning and research in the mold of IIT in India in all divisions’.</w:t>
      </w:r>
    </w:p>
    <w:p w:rsidR="00C73DB2" w:rsidRDefault="007620A4" w:rsidP="007620A4">
      <w:pPr>
        <w:spacing w:before="0" w:after="200" w:line="276" w:lineRule="auto"/>
      </w:pPr>
      <w:r w:rsidRPr="00C73DB2">
        <w:lastRenderedPageBreak/>
        <w:t xml:space="preserve"> </w:t>
      </w:r>
      <w:r w:rsidR="00A536FA" w:rsidRPr="00C73DB2">
        <w:t>‘Centers of excellence (</w:t>
      </w:r>
      <w:proofErr w:type="spellStart"/>
      <w:r w:rsidR="00A536FA" w:rsidRPr="00C73DB2">
        <w:t>CoE</w:t>
      </w:r>
      <w:proofErr w:type="spellEnd"/>
      <w:r w:rsidR="00A536FA" w:rsidRPr="00C73DB2">
        <w:t xml:space="preserve">)’. Indicator is number of CoEs. Benchmark is ‘Few, none up to par’. The 2041 target, ‘30 CoEs in priority sectors operational’ with milestones of </w:t>
      </w:r>
      <w:r w:rsidR="00C73DB2" w:rsidRPr="00C73DB2">
        <w:t xml:space="preserve">six </w:t>
      </w:r>
      <w:r w:rsidR="00C73DB2">
        <w:t>and</w:t>
      </w:r>
      <w:r w:rsidR="00C73DB2" w:rsidRPr="00C73DB2">
        <w:t xml:space="preserve"> 20 CoEs by 2021 and 2030 respectively.</w:t>
      </w:r>
    </w:p>
    <w:p w:rsidR="00C73DB2" w:rsidRDefault="00C73DB2" w:rsidP="007620A4">
      <w:pPr>
        <w:spacing w:before="0" w:after="200" w:line="276" w:lineRule="auto"/>
      </w:pPr>
      <w:r w:rsidRPr="00C73DB2">
        <w:t>‘IT Parks’. Benchmark is ‘Kaliakoir and Jessore under construction’. The 2041 target, ‘IT Parks are functioning and expanding as appropriate and three IT cities are in place in Dhaka, Chittagong and Khulna’. The 2021 milestone is ‘Kaliakoir and Jessore operational and work under way at five other locations all public-private partnership’ and 2030 milestone is more ambitious envisaging ‘All IT Parks are fully operational and new ones are planned in accordance with demand’.</w:t>
      </w:r>
    </w:p>
    <w:p w:rsidR="00C73DB2" w:rsidRPr="007620A4" w:rsidRDefault="00C73DB2" w:rsidP="007620A4">
      <w:pPr>
        <w:spacing w:before="0" w:after="200" w:line="276" w:lineRule="auto"/>
      </w:pPr>
      <w:r w:rsidRPr="007620A4">
        <w:t>‘IT education at universities’. Benchmark is ‘Poor quality IT education in most of the universities under UGC</w:t>
      </w:r>
      <w:r w:rsidR="00486CB0" w:rsidRPr="007620A4">
        <w:t>. The 2021 milestone is ‘Upgrading of IT education under way at nine selected universities in consultation and cooperation with UGC’ and 2030 milestone ‘Upgrading of IT education expanded to more selected universities in consultation and cooperation with UGC’. The target for 2041 is ‘High quality IT education under way</w:t>
      </w:r>
      <w:r w:rsidR="007620A4" w:rsidRPr="007620A4">
        <w:t xml:space="preserve"> </w:t>
      </w:r>
      <w:r w:rsidR="00486CB0" w:rsidRPr="007620A4">
        <w:t>in all universities in consultation and cooperation with UGC</w:t>
      </w:r>
      <w:r w:rsidR="007620A4" w:rsidRPr="007620A4">
        <w:t>’.</w:t>
      </w:r>
    </w:p>
    <w:p w:rsidR="007620A4" w:rsidRPr="00484B0D" w:rsidRDefault="007620A4" w:rsidP="007620A4">
      <w:pPr>
        <w:spacing w:before="0" w:after="200" w:line="276" w:lineRule="auto"/>
      </w:pPr>
      <w:r w:rsidRPr="007620A4">
        <w:t xml:space="preserve">‘National Institute for Information and Communication Technology’. This is a proposal to convert IT graduates into job ready and work ready personnel. The benchmark is ‘none’. The 2021 milestone is ‘National Institute for Information and communication established and functional’. The 2030 milestone is ‘National Institute for Information and communication operating with few satellites in selected locations’. The 2041 target, ‘National Institute for </w:t>
      </w:r>
      <w:r w:rsidRPr="00484B0D">
        <w:t>Information and communication operating with satellites across the country’.</w:t>
      </w:r>
    </w:p>
    <w:p w:rsidR="007620A4" w:rsidRPr="00484B0D" w:rsidRDefault="007620A4" w:rsidP="007620A4">
      <w:pPr>
        <w:spacing w:before="0" w:after="200" w:line="276" w:lineRule="auto"/>
      </w:pPr>
      <w:r w:rsidRPr="00484B0D">
        <w:t xml:space="preserve">‘ICT service exports’. Bangladesh wats to be a global player which would mean moving up the ladder from current </w:t>
      </w:r>
      <w:r w:rsidR="00484B0D" w:rsidRPr="00484B0D">
        <w:t xml:space="preserve">exports of </w:t>
      </w:r>
      <w:r w:rsidRPr="00484B0D">
        <w:t>$</w:t>
      </w:r>
      <w:r w:rsidR="00484B0D" w:rsidRPr="00484B0D">
        <w:t>881 million in 2015 to a very ambitious $125 billion (slightly over India today) in 2041 with milestones of $5billion in 2021 as set by the Government and $30 billion (50% more than Korea today) by 2030.</w:t>
      </w:r>
    </w:p>
    <w:p w:rsidR="007620A4" w:rsidRDefault="00484B0D" w:rsidP="00484B0D">
      <w:pPr>
        <w:spacing w:before="0" w:after="200" w:line="276" w:lineRule="auto"/>
        <w:ind w:left="720"/>
      </w:pPr>
      <w:r>
        <w:t>Market</w:t>
      </w:r>
    </w:p>
    <w:p w:rsidR="00484B0D" w:rsidRDefault="00484B0D" w:rsidP="007224CD">
      <w:pPr>
        <w:spacing w:before="0" w:after="200" w:line="276" w:lineRule="auto"/>
      </w:pPr>
      <w:r w:rsidRPr="007224CD">
        <w:t xml:space="preserve">The concern is market integration through investments in economic corridors to reduce transaction and transfer costs. An ADB study has identified none </w:t>
      </w:r>
      <w:r w:rsidR="00DF38B2" w:rsidRPr="007224CD">
        <w:t xml:space="preserve">economic corridors incorporating also the Southern Economic Corridor’. These need to be pursued to promote market integration within Bangladesh and also to takes steps to strengthen regional market links. Therefore, the indicator is ‘progress of economic corridor development’. Benchmark is ‘No economic corridor has been developed’. The 2021 milestone is ‘Dhaka-Chittagong section of Corridor 1 and Dhaka-Beanpole section of Corridor 2 (part of Southern Economic Corridor) fully developed’. The 2030 milestone is ‘Corridors 1 and 2 and Southern Economic Corridor fully developed and work on other corridors under way’. The 2041 target, </w:t>
      </w:r>
      <w:r w:rsidR="007224CD" w:rsidRPr="007224CD">
        <w:t xml:space="preserve">‘Work on </w:t>
      </w:r>
      <w:r w:rsidR="00DA6554" w:rsidRPr="007224CD">
        <w:t>all corridors</w:t>
      </w:r>
      <w:r w:rsidR="007224CD" w:rsidRPr="007224CD">
        <w:t xml:space="preserve"> completed’</w:t>
      </w:r>
      <w:r w:rsidR="007224CD">
        <w:rPr>
          <w:sz w:val="18"/>
          <w:szCs w:val="18"/>
        </w:rPr>
        <w:t>.</w:t>
      </w:r>
    </w:p>
    <w:p w:rsidR="00191EAD" w:rsidRDefault="00191EAD" w:rsidP="00021F16">
      <w:pPr>
        <w:rPr>
          <w:b/>
        </w:rPr>
        <w:sectPr w:rsidR="00191EAD" w:rsidSect="008B78D3">
          <w:pgSz w:w="12240" w:h="15840"/>
          <w:pgMar w:top="1440" w:right="1440" w:bottom="1440" w:left="1440" w:header="720" w:footer="720" w:gutter="0"/>
          <w:pgNumType w:start="1"/>
          <w:cols w:space="720"/>
          <w:titlePg/>
          <w:docGrid w:linePitch="360"/>
        </w:sectPr>
      </w:pPr>
    </w:p>
    <w:p w:rsidR="00836021" w:rsidRPr="00836021" w:rsidRDefault="00836021" w:rsidP="00397FED">
      <w:pPr>
        <w:pStyle w:val="ListParagraph"/>
        <w:numPr>
          <w:ilvl w:val="0"/>
          <w:numId w:val="1"/>
        </w:numPr>
        <w:spacing w:before="0" w:after="200" w:line="276" w:lineRule="auto"/>
        <w:contextualSpacing w:val="0"/>
        <w:rPr>
          <w:b/>
          <w:color w:val="0070C0"/>
        </w:rPr>
      </w:pPr>
      <w:r w:rsidRPr="00836021">
        <w:rPr>
          <w:rFonts w:ascii="Times New Roman" w:hAnsi="Times New Roman" w:cs="Times New Roman"/>
          <w:b/>
          <w:caps/>
          <w:color w:val="0070C0"/>
        </w:rPr>
        <w:lastRenderedPageBreak/>
        <w:t>2041 PERSPECTIVE PLAN STRATEGIES FOR INSTITUTIONAL DEVELOPMENT</w:t>
      </w:r>
    </w:p>
    <w:p w:rsidR="00BA568F" w:rsidRPr="00BA568F" w:rsidRDefault="00BA568F" w:rsidP="00F82A79">
      <w:pPr>
        <w:spacing w:before="0" w:after="200" w:line="276" w:lineRule="auto"/>
      </w:pPr>
      <w:r>
        <w:t>The strategic thrust of the SPPB should be strengthening institutions. Broadly speaking, major focus should be on (</w:t>
      </w:r>
      <w:proofErr w:type="spellStart"/>
      <w:r>
        <w:t>i</w:t>
      </w:r>
      <w:proofErr w:type="spellEnd"/>
      <w:r>
        <w:t xml:space="preserve">) </w:t>
      </w:r>
      <w:r w:rsidR="00F82A79">
        <w:t xml:space="preserve">planning institutions, (ii) </w:t>
      </w:r>
      <w:r w:rsidR="0013214F">
        <w:t xml:space="preserve">governance </w:t>
      </w:r>
      <w:r w:rsidRPr="00CB1DC8">
        <w:t>institutions</w:t>
      </w:r>
      <w:r>
        <w:t>,</w:t>
      </w:r>
      <w:r w:rsidR="00F82A79" w:rsidRPr="00F82A79">
        <w:t xml:space="preserve"> </w:t>
      </w:r>
      <w:r w:rsidR="00F82A79">
        <w:t>(</w:t>
      </w:r>
      <w:r w:rsidR="0013214F">
        <w:t>i</w:t>
      </w:r>
      <w:r w:rsidR="00F82A79">
        <w:t xml:space="preserve">ii) </w:t>
      </w:r>
      <w:r w:rsidR="00F82A79" w:rsidRPr="00CB1DC8">
        <w:t>financial institutions</w:t>
      </w:r>
      <w:r w:rsidR="00F82A79">
        <w:t>, (i</w:t>
      </w:r>
      <w:r w:rsidR="0013214F">
        <w:t>v</w:t>
      </w:r>
      <w:r w:rsidR="00F82A79">
        <w:t xml:space="preserve">) </w:t>
      </w:r>
      <w:r w:rsidR="0013214F" w:rsidRPr="0013214F">
        <w:t>democratic institutions</w:t>
      </w:r>
      <w:r w:rsidR="004F6F7E">
        <w:t xml:space="preserve"> - institutions to promote pluralistic democracy</w:t>
      </w:r>
      <w:r w:rsidR="0013214F" w:rsidRPr="0013214F">
        <w:t xml:space="preserve">, (v) decentralization institutions, and (vi) capacity building institutions. The latter has sub-classification including (a) gender empowerment institutions, (b) </w:t>
      </w:r>
      <w:r w:rsidR="00F82A79" w:rsidRPr="0013214F">
        <w:t>legislative institutions, (</w:t>
      </w:r>
      <w:r w:rsidR="0013214F" w:rsidRPr="0013214F">
        <w:t>c</w:t>
      </w:r>
      <w:r w:rsidR="00F82A79" w:rsidRPr="0013214F">
        <w:t>) judicial institutions, (</w:t>
      </w:r>
      <w:r w:rsidR="0013214F" w:rsidRPr="0013214F">
        <w:t>d</w:t>
      </w:r>
      <w:r w:rsidR="00F82A79" w:rsidRPr="0013214F">
        <w:t>) public administration capacity</w:t>
      </w:r>
      <w:r w:rsidR="0013214F" w:rsidRPr="0013214F">
        <w:t xml:space="preserve"> - Executive, the bureaucracy and the rule of law</w:t>
      </w:r>
      <w:r w:rsidR="0013214F">
        <w:t>, (e</w:t>
      </w:r>
      <w:r w:rsidR="00F82A79" w:rsidRPr="0013214F">
        <w:t>) political institutions, (</w:t>
      </w:r>
      <w:r w:rsidR="004F6F7E">
        <w:t>f</w:t>
      </w:r>
      <w:r w:rsidR="00F82A79" w:rsidRPr="0013214F">
        <w:t xml:space="preserve">) social institutions, </w:t>
      </w:r>
      <w:r w:rsidR="004F6F7E">
        <w:t xml:space="preserve">(g) institutions for land management, (h) </w:t>
      </w:r>
      <w:r w:rsidR="004F6F7E" w:rsidRPr="0013214F">
        <w:t xml:space="preserve">institutions for human capital development </w:t>
      </w:r>
      <w:r w:rsidR="004F6F7E">
        <w:t xml:space="preserve">– basic education and skill, </w:t>
      </w:r>
      <w:r w:rsidR="00F82A79" w:rsidRPr="0013214F">
        <w:t>(</w:t>
      </w:r>
      <w:proofErr w:type="spellStart"/>
      <w:r w:rsidR="00F82A79" w:rsidRPr="0013214F">
        <w:t>i</w:t>
      </w:r>
      <w:proofErr w:type="spellEnd"/>
      <w:r w:rsidR="00F82A79" w:rsidRPr="0013214F">
        <w:t xml:space="preserve">) institutions for technology, </w:t>
      </w:r>
      <w:r w:rsidR="004F6F7E">
        <w:t xml:space="preserve">and </w:t>
      </w:r>
      <w:r w:rsidR="00F82A79" w:rsidRPr="0013214F">
        <w:t>(</w:t>
      </w:r>
      <w:r w:rsidR="004F6F7E">
        <w:t>j</w:t>
      </w:r>
      <w:r w:rsidR="00F82A79" w:rsidRPr="0013214F">
        <w:t>) market institutions</w:t>
      </w:r>
      <w:r w:rsidR="0047510B">
        <w:t xml:space="preserve"> (</w:t>
      </w:r>
      <w:proofErr w:type="spellStart"/>
      <w:r w:rsidR="0047510B">
        <w:t>Atachment</w:t>
      </w:r>
      <w:proofErr w:type="spellEnd"/>
      <w:r w:rsidR="0047510B">
        <w:t>)</w:t>
      </w:r>
      <w:r w:rsidR="00F82A79">
        <w:t>.</w:t>
      </w:r>
    </w:p>
    <w:p w:rsidR="000337F6" w:rsidRPr="000337F6" w:rsidRDefault="000337F6" w:rsidP="00F82A79">
      <w:pPr>
        <w:spacing w:before="0" w:after="200" w:line="276" w:lineRule="auto"/>
        <w:rPr>
          <w:b/>
        </w:rPr>
      </w:pPr>
      <w:r>
        <w:rPr>
          <w:b/>
        </w:rPr>
        <w:t>Planning</w:t>
      </w:r>
    </w:p>
    <w:p w:rsidR="00CE202B" w:rsidRPr="00CE202B" w:rsidRDefault="00CE202B" w:rsidP="00F82A79">
      <w:pPr>
        <w:spacing w:before="0" w:after="200" w:line="276" w:lineRule="auto"/>
      </w:pPr>
      <w:r w:rsidRPr="00CE202B">
        <w:t>Plans are paper products with realization lagging far behind targets. Two major challenges are synchronization with the medium-term expenditure framework and the annual budget, especially in fiscal projection and project/program implementation capacity. Planning capacity is overtaxed between tasks of strategy formulation and policy development and detailed project review for approval.</w:t>
      </w:r>
    </w:p>
    <w:p w:rsidR="00CE202B" w:rsidRDefault="00CE202B" w:rsidP="00CE202B">
      <w:pPr>
        <w:spacing w:before="0" w:after="200" w:line="276" w:lineRule="auto"/>
      </w:pPr>
      <w:r>
        <w:rPr>
          <w:b/>
        </w:rPr>
        <w:t>Short to medium-term u</w:t>
      </w:r>
      <w:r w:rsidRPr="00757FFA">
        <w:rPr>
          <w:b/>
        </w:rPr>
        <w:t>p to 2030</w:t>
      </w:r>
      <w:r w:rsidRPr="00551089">
        <w:t>:</w:t>
      </w:r>
      <w:r>
        <w:t xml:space="preserve"> Five-year plans should be abandoned in favor of three-year rolling plan fully synchronized with Government’s Medium-Term Budget Framework (MTBF) taking cue from the Republic of Korea (Figure 9).</w:t>
      </w:r>
    </w:p>
    <w:p w:rsidR="000337F6" w:rsidRDefault="00D80B7C" w:rsidP="00F82A79">
      <w:pPr>
        <w:spacing w:before="0" w:after="200" w:line="276" w:lineRule="auto"/>
      </w:pPr>
      <w:r w:rsidRPr="00D80B7C">
        <w:rPr>
          <w:b/>
        </w:rPr>
        <w:t>Longer-term beyond 2030:</w:t>
      </w:r>
      <w:r w:rsidRPr="00551089">
        <w:rPr>
          <w:b/>
        </w:rPr>
        <w:t xml:space="preserve"> </w:t>
      </w:r>
      <w:r w:rsidR="000337F6">
        <w:t>T</w:t>
      </w:r>
      <w:r w:rsidR="000337F6" w:rsidRPr="00CD479C">
        <w:t xml:space="preserve">he Planning Commission should consider focusing exclusively on vision, strategies and policies of both perspective and respective five year plans, a path being followed by </w:t>
      </w:r>
      <w:proofErr w:type="spellStart"/>
      <w:r w:rsidR="000337F6" w:rsidRPr="00CD479C">
        <w:t>Niti</w:t>
      </w:r>
      <w:proofErr w:type="spellEnd"/>
      <w:r w:rsidR="000337F6" w:rsidRPr="00CD479C">
        <w:t xml:space="preserve"> </w:t>
      </w:r>
      <w:proofErr w:type="spellStart"/>
      <w:r w:rsidR="000337F6" w:rsidRPr="00CD479C">
        <w:t>Aayuog</w:t>
      </w:r>
      <w:proofErr w:type="spellEnd"/>
      <w:r w:rsidR="000337F6" w:rsidRPr="00CD479C">
        <w:t xml:space="preserve"> (National Institution for Transforming India)</w:t>
      </w:r>
    </w:p>
    <w:p w:rsidR="00A15490" w:rsidRDefault="00551089" w:rsidP="00F82A79">
      <w:pPr>
        <w:pStyle w:val="NormalWeb"/>
        <w:shd w:val="clear" w:color="auto" w:fill="FFFFFF"/>
        <w:spacing w:before="0" w:beforeAutospacing="0" w:after="200" w:afterAutospacing="0"/>
        <w:jc w:val="both"/>
        <w:rPr>
          <w:color w:val="000000" w:themeColor="text1"/>
        </w:rPr>
      </w:pPr>
      <w:r>
        <w:rPr>
          <w:color w:val="000000" w:themeColor="text1"/>
        </w:rPr>
        <w:t>Governance</w:t>
      </w:r>
      <w:r w:rsidR="003B0665">
        <w:rPr>
          <w:color w:val="000000" w:themeColor="text1"/>
        </w:rPr>
        <w:t xml:space="preserve"> </w:t>
      </w:r>
    </w:p>
    <w:p w:rsidR="00800341" w:rsidRPr="00800341" w:rsidRDefault="00800341" w:rsidP="00F82A79">
      <w:pPr>
        <w:spacing w:before="0" w:after="200" w:line="276" w:lineRule="auto"/>
      </w:pPr>
      <w:r w:rsidRPr="00800341">
        <w:t>Constraints to address are lacking strength, competency, effectiveness, transparency and accountability and struggling with the serious consequences of corruption.</w:t>
      </w:r>
    </w:p>
    <w:p w:rsidR="000337F6" w:rsidRDefault="000337F6" w:rsidP="00F82A79">
      <w:pPr>
        <w:spacing w:before="0" w:after="200" w:line="276" w:lineRule="auto"/>
        <w:rPr>
          <w:b/>
        </w:rPr>
      </w:pPr>
      <w:r w:rsidRPr="003734B5">
        <w:rPr>
          <w:color w:val="333333"/>
        </w:rPr>
        <w:t>Bangladesh needs to deepen effort to improve anticorruption measures through the Anticorruption Commission (ACC). Other areas are public procurement, financial management, fiscal reporting, and watchdog institutions</w:t>
      </w:r>
      <w:r>
        <w:rPr>
          <w:rStyle w:val="FootnoteReference"/>
          <w:color w:val="333333"/>
        </w:rPr>
        <w:footnoteReference w:id="17"/>
      </w:r>
      <w:r w:rsidRPr="003734B5">
        <w:rPr>
          <w:color w:val="333333"/>
        </w:rPr>
        <w:t xml:space="preserve">. Emphasis has to be on strengthening core governance institutions like Comptroller and Auditor General, Public Accounts Committee, Bangladesh Bank, Public Service Commission, Securities and Exchange Commission, courts, local government bodies. Transparency can be increased through implementation of the 2009 Right to Information Act (RTI) by enhancing institutional capacity to comply with the Act. In </w:t>
      </w:r>
      <w:r w:rsidRPr="003734B5">
        <w:rPr>
          <w:color w:val="333333"/>
        </w:rPr>
        <w:lastRenderedPageBreak/>
        <w:t>order to attract private investment including foreign private investment required to reach the bold 2041 income target, particular attention has to be paid</w:t>
      </w:r>
      <w:r w:rsidRPr="003734B5">
        <w:rPr>
          <w:color w:val="000000" w:themeColor="text1"/>
        </w:rPr>
        <w:t xml:space="preserve"> to financial governance, fiscal governance, land governance, urban governance, corporate governance and the court system to enforce contracts and adjudicate disputes. Going forward towards 2041 land and urban governance is the priority for up to 2030 while the others will have to be continued up to 2041 and beyond. There is no scope for slackening effort.</w:t>
      </w:r>
    </w:p>
    <w:p w:rsidR="00551089" w:rsidRPr="00551089" w:rsidRDefault="008942C3" w:rsidP="00F82A79">
      <w:pPr>
        <w:spacing w:before="0" w:after="200" w:line="276" w:lineRule="auto"/>
      </w:pPr>
      <w:r>
        <w:rPr>
          <w:b/>
        </w:rPr>
        <w:t>Short to medium-term u</w:t>
      </w:r>
      <w:r w:rsidRPr="00757FFA">
        <w:rPr>
          <w:b/>
        </w:rPr>
        <w:t>p to 2030</w:t>
      </w:r>
      <w:r w:rsidR="00551089" w:rsidRPr="00551089">
        <w:t>: Initiating governance reform for improvement of effectiveness through administrative reform as a continuing and gradual process based on both objective need and subjective public demand, productivity, transparency and accountability and reduction of corruption and abuse of power and enforcing the rule of law; encouraging female participation and representation in legislative bodies, judiciary and administration and all policy making bodies; strengthening Anti-Corruption Commission along with expediting the judicial process; and allocating resources for the development and application of e-governance.</w:t>
      </w:r>
    </w:p>
    <w:p w:rsidR="00551089" w:rsidRPr="00551089" w:rsidRDefault="005105E2" w:rsidP="00F82A79">
      <w:pPr>
        <w:pStyle w:val="NormalWeb"/>
        <w:shd w:val="clear" w:color="auto" w:fill="FFFFFF"/>
        <w:spacing w:before="0" w:beforeAutospacing="0" w:after="200" w:afterAutospacing="0"/>
        <w:jc w:val="both"/>
        <w:rPr>
          <w:b w:val="0"/>
          <w:color w:val="000000" w:themeColor="text1"/>
        </w:rPr>
      </w:pPr>
      <w:r w:rsidRPr="005105E2">
        <w:t>Longer-term beyond 2030</w:t>
      </w:r>
      <w:r w:rsidR="00551089" w:rsidRPr="00551089">
        <w:rPr>
          <w:b w:val="0"/>
        </w:rPr>
        <w:t xml:space="preserve">: Continuation of the strategy of </w:t>
      </w:r>
      <w:r w:rsidR="00665CDD">
        <w:rPr>
          <w:b w:val="0"/>
        </w:rPr>
        <w:t xml:space="preserve">effective government </w:t>
      </w:r>
      <w:r w:rsidR="00551089" w:rsidRPr="00551089">
        <w:rPr>
          <w:b w:val="0"/>
        </w:rPr>
        <w:t>and enforcement of the rule of law with complete transparency and accountability within the framework of pluralistic democracy and further emphasis on e-governance.</w:t>
      </w:r>
    </w:p>
    <w:p w:rsidR="00551089" w:rsidRDefault="00551089" w:rsidP="00F82A79">
      <w:pPr>
        <w:pStyle w:val="NormalWeb"/>
        <w:shd w:val="clear" w:color="auto" w:fill="FFFFFF"/>
        <w:spacing w:before="0" w:beforeAutospacing="0" w:after="200" w:afterAutospacing="0"/>
        <w:jc w:val="both"/>
        <w:rPr>
          <w:b w:val="0"/>
          <w:color w:val="000000" w:themeColor="text1"/>
        </w:rPr>
      </w:pPr>
      <w:r>
        <w:rPr>
          <w:b w:val="0"/>
          <w:color w:val="000000" w:themeColor="text1"/>
        </w:rPr>
        <w:t>To reach 2041 target adopt the following measures:</w:t>
      </w:r>
    </w:p>
    <w:p w:rsidR="00551089" w:rsidRPr="00551089" w:rsidRDefault="00551089" w:rsidP="00F82A79">
      <w:pPr>
        <w:pStyle w:val="ListParagraph"/>
        <w:numPr>
          <w:ilvl w:val="0"/>
          <w:numId w:val="14"/>
        </w:numPr>
        <w:spacing w:before="0" w:after="200" w:line="276" w:lineRule="auto"/>
        <w:ind w:left="720"/>
        <w:contextualSpacing w:val="0"/>
        <w:rPr>
          <w:rFonts w:ascii="Times New Roman" w:hAnsi="Times New Roman" w:cs="Times New Roman"/>
        </w:rPr>
      </w:pPr>
      <w:r w:rsidRPr="00551089">
        <w:rPr>
          <w:rFonts w:ascii="Times New Roman" w:hAnsi="Times New Roman" w:cs="Times New Roman"/>
        </w:rPr>
        <w:t xml:space="preserve">Adhere to seven key principles of governance applied to 8 institutions of governance </w:t>
      </w:r>
      <w:r w:rsidRPr="008942C3">
        <w:rPr>
          <w:rFonts w:ascii="Times New Roman" w:hAnsi="Times New Roman" w:cs="Times New Roman"/>
          <w:color w:val="000000" w:themeColor="text1"/>
        </w:rPr>
        <w:t xml:space="preserve">(Figure </w:t>
      </w:r>
      <w:r w:rsidR="00665CDD">
        <w:rPr>
          <w:rFonts w:ascii="Times New Roman" w:hAnsi="Times New Roman" w:cs="Times New Roman"/>
          <w:color w:val="000000" w:themeColor="text1"/>
        </w:rPr>
        <w:t>4</w:t>
      </w:r>
      <w:r w:rsidRPr="008942C3">
        <w:rPr>
          <w:rFonts w:ascii="Times New Roman" w:hAnsi="Times New Roman" w:cs="Times New Roman"/>
          <w:color w:val="000000" w:themeColor="text1"/>
        </w:rPr>
        <w:t xml:space="preserve">) </w:t>
      </w:r>
    </w:p>
    <w:p w:rsidR="00551089" w:rsidRPr="00551089" w:rsidRDefault="00551089" w:rsidP="00F82A79">
      <w:pPr>
        <w:pStyle w:val="ListParagraph"/>
        <w:numPr>
          <w:ilvl w:val="0"/>
          <w:numId w:val="14"/>
        </w:numPr>
        <w:spacing w:before="0" w:after="200" w:line="276" w:lineRule="auto"/>
        <w:ind w:left="720"/>
        <w:contextualSpacing w:val="0"/>
        <w:rPr>
          <w:rFonts w:ascii="Times New Roman" w:hAnsi="Times New Roman" w:cs="Times New Roman"/>
        </w:rPr>
      </w:pPr>
      <w:r w:rsidRPr="00551089">
        <w:rPr>
          <w:rFonts w:ascii="Times New Roman" w:hAnsi="Times New Roman" w:cs="Times New Roman"/>
        </w:rPr>
        <w:t>Civil service reform for effective administration</w:t>
      </w:r>
    </w:p>
    <w:p w:rsidR="00551089" w:rsidRPr="00551089" w:rsidRDefault="00551089" w:rsidP="00F82A79">
      <w:pPr>
        <w:pStyle w:val="ListParagraph"/>
        <w:numPr>
          <w:ilvl w:val="0"/>
          <w:numId w:val="14"/>
        </w:numPr>
        <w:spacing w:before="0" w:after="200" w:line="276" w:lineRule="auto"/>
        <w:ind w:left="720"/>
        <w:contextualSpacing w:val="0"/>
        <w:rPr>
          <w:rFonts w:ascii="Times New Roman" w:hAnsi="Times New Roman" w:cs="Times New Roman"/>
        </w:rPr>
      </w:pPr>
      <w:r w:rsidRPr="00551089">
        <w:rPr>
          <w:rFonts w:ascii="Times New Roman" w:hAnsi="Times New Roman" w:cs="Times New Roman"/>
        </w:rPr>
        <w:t>Public financial management reform for accountability by strengthening core governance institutions</w:t>
      </w:r>
    </w:p>
    <w:p w:rsidR="00551089" w:rsidRPr="00551089" w:rsidRDefault="00551089" w:rsidP="00F82A79">
      <w:pPr>
        <w:pStyle w:val="ListParagraph"/>
        <w:numPr>
          <w:ilvl w:val="0"/>
          <w:numId w:val="14"/>
        </w:numPr>
        <w:spacing w:before="0" w:after="200" w:line="276" w:lineRule="auto"/>
        <w:ind w:left="720"/>
        <w:contextualSpacing w:val="0"/>
        <w:rPr>
          <w:rFonts w:ascii="Times New Roman" w:hAnsi="Times New Roman" w:cs="Times New Roman"/>
        </w:rPr>
      </w:pPr>
      <w:r w:rsidRPr="00551089">
        <w:rPr>
          <w:rFonts w:ascii="Times New Roman" w:hAnsi="Times New Roman" w:cs="Times New Roman"/>
        </w:rPr>
        <w:t>Implementation of Right to Information Act for transparency</w:t>
      </w:r>
    </w:p>
    <w:p w:rsidR="00551089" w:rsidRPr="00551089" w:rsidRDefault="00551089" w:rsidP="00F82A79">
      <w:pPr>
        <w:pStyle w:val="ListParagraph"/>
        <w:numPr>
          <w:ilvl w:val="0"/>
          <w:numId w:val="14"/>
        </w:numPr>
        <w:spacing w:before="0" w:after="200" w:line="276" w:lineRule="auto"/>
        <w:ind w:left="720"/>
        <w:contextualSpacing w:val="0"/>
        <w:rPr>
          <w:rFonts w:ascii="Times New Roman" w:hAnsi="Times New Roman" w:cs="Times New Roman"/>
        </w:rPr>
      </w:pPr>
      <w:r w:rsidRPr="00551089">
        <w:rPr>
          <w:rFonts w:ascii="Times New Roman" w:hAnsi="Times New Roman" w:cs="Times New Roman"/>
        </w:rPr>
        <w:t>For anti-corruption measures</w:t>
      </w:r>
      <w:r w:rsidRPr="00551089">
        <w:rPr>
          <w:color w:val="000000" w:themeColor="text1"/>
        </w:rPr>
        <w:t xml:space="preserve"> </w:t>
      </w:r>
      <w:r w:rsidRPr="00551089">
        <w:rPr>
          <w:rFonts w:ascii="Times New Roman" w:hAnsi="Times New Roman" w:cs="Times New Roman"/>
        </w:rPr>
        <w:t xml:space="preserve">strengthen ACC </w:t>
      </w:r>
    </w:p>
    <w:p w:rsidR="00757FFA" w:rsidRDefault="00757FFA" w:rsidP="00F82A79">
      <w:pPr>
        <w:spacing w:before="0" w:after="200" w:line="276" w:lineRule="auto"/>
        <w:rPr>
          <w:b/>
          <w:color w:val="000000" w:themeColor="text1"/>
        </w:rPr>
      </w:pPr>
      <w:r>
        <w:rPr>
          <w:b/>
          <w:color w:val="000000" w:themeColor="text1"/>
        </w:rPr>
        <w:t>Finance</w:t>
      </w:r>
      <w:r w:rsidR="003B0665">
        <w:rPr>
          <w:b/>
          <w:color w:val="000000" w:themeColor="text1"/>
        </w:rPr>
        <w:t>: Accountability, transparency, incorruptibility and resource use efficiency</w:t>
      </w:r>
    </w:p>
    <w:p w:rsidR="00757FFA" w:rsidRDefault="00757FFA" w:rsidP="00F82A79">
      <w:pPr>
        <w:spacing w:before="0" w:after="200" w:line="276" w:lineRule="auto"/>
        <w:rPr>
          <w:color w:val="000000" w:themeColor="text1"/>
          <w:kern w:val="24"/>
        </w:rPr>
      </w:pPr>
      <w:r w:rsidRPr="00757FFA">
        <w:rPr>
          <w:color w:val="000000" w:themeColor="text1"/>
          <w:kern w:val="24"/>
        </w:rPr>
        <w:t>Domestic resource mobilization inadequate to meet financing needs of a growing economy; financial governance is weak; sub-optimal resource allocation; Foreign Direct Investment (FDI) is anemic; the financial sector is fragmented; and inadequate synergy between monetary and fiscal policy</w:t>
      </w:r>
      <w:r>
        <w:rPr>
          <w:color w:val="000000" w:themeColor="text1"/>
          <w:kern w:val="24"/>
        </w:rPr>
        <w:t>.</w:t>
      </w:r>
    </w:p>
    <w:p w:rsidR="00275982" w:rsidRPr="005F70F1" w:rsidRDefault="00275982" w:rsidP="00F82A79">
      <w:pPr>
        <w:spacing w:before="0" w:after="200" w:line="276" w:lineRule="auto"/>
      </w:pPr>
      <w:r w:rsidRPr="005F70F1">
        <w:t>MTBF process should be strengthened through the preparation of medium-term strategic business plans (MTSBPs)</w:t>
      </w:r>
    </w:p>
    <w:p w:rsidR="00275982" w:rsidRDefault="00275982" w:rsidP="00F82A79">
      <w:pPr>
        <w:spacing w:before="0" w:after="200" w:line="276" w:lineRule="auto"/>
        <w:rPr>
          <w:color w:val="000000" w:themeColor="text1"/>
          <w:kern w:val="24"/>
        </w:rPr>
      </w:pPr>
      <w:r w:rsidRPr="005F70F1">
        <w:t>Regulatory regime</w:t>
      </w:r>
      <w:r w:rsidRPr="00CD479C">
        <w:t xml:space="preserve"> has to improve to make gain in GCI, doing business and private investment</w:t>
      </w:r>
    </w:p>
    <w:p w:rsidR="00757FFA" w:rsidRPr="00665CDD" w:rsidRDefault="008502BF" w:rsidP="00F82A79">
      <w:pPr>
        <w:spacing w:before="0" w:after="200" w:line="276" w:lineRule="auto"/>
      </w:pPr>
      <w:r>
        <w:rPr>
          <w:b/>
        </w:rPr>
        <w:lastRenderedPageBreak/>
        <w:t>Short to medium-term u</w:t>
      </w:r>
      <w:r w:rsidR="00757FFA" w:rsidRPr="00757FFA">
        <w:rPr>
          <w:b/>
        </w:rPr>
        <w:t xml:space="preserve">p to 2030: </w:t>
      </w:r>
      <w:r w:rsidR="00757FFA" w:rsidRPr="00757FFA">
        <w:t xml:space="preserve">Improving financial governance and access to finance especially for SMEs; </w:t>
      </w:r>
      <w:r w:rsidR="00665CDD">
        <w:t>i</w:t>
      </w:r>
      <w:r w:rsidR="00665CDD" w:rsidRPr="00CB2D86">
        <w:rPr>
          <w:sz w:val="18"/>
          <w:szCs w:val="18"/>
        </w:rPr>
        <w:t>mprov</w:t>
      </w:r>
      <w:r w:rsidR="00665CDD">
        <w:rPr>
          <w:sz w:val="18"/>
          <w:szCs w:val="18"/>
        </w:rPr>
        <w:t>ing</w:t>
      </w:r>
      <w:r w:rsidR="00665CDD" w:rsidRPr="00CB2D86">
        <w:rPr>
          <w:sz w:val="18"/>
          <w:szCs w:val="18"/>
        </w:rPr>
        <w:t xml:space="preserve"> tax base and tax administration for domestic resource mobilization (establishment of an efficient, </w:t>
      </w:r>
      <w:r w:rsidR="00665CDD" w:rsidRPr="00665CDD">
        <w:t xml:space="preserve">equitable and productive tax system with full implementation of the VAT Law required for raising tax/GDP ratio), </w:t>
      </w:r>
      <w:r w:rsidR="00757FFA" w:rsidRPr="00665CDD">
        <w:t>providing incentives for FDI especially tax incentives for non-resident Bangladeshi (NRB) investments; making microfinance financially competitive and adherent to prudential norms as directed by the Microfinance Regulatory Authority (MRA) and the BB; and pursuing financial inclusion and stability for inclusive sustainable green growth and policy shift towards instilling in the financial sector the ethos of socially responsible financing focused towards supporting environmentally sustainable output activities and away from financing of speculative profit seeking or wasteful ostentation</w:t>
      </w:r>
      <w:r w:rsidR="00665CDD" w:rsidRPr="00665CDD">
        <w:t xml:space="preserve">, taking measures to sustain inflation and interest rate at the level of comparator countries and reduce interest spread, keeping public domestic borrowing under control (Sadiq 2016), reforming public enterprises and eliminating loss making units, pay attention to the quality of people in banking in order to improve ethics in banking in Bangladesh and </w:t>
      </w:r>
      <w:r w:rsidR="00665CDD" w:rsidRPr="00665CDD">
        <w:rPr>
          <w:rFonts w:eastAsia="Times New Roman"/>
          <w:color w:val="000000"/>
        </w:rPr>
        <w:t>enhancing independence and strengthen three institutions to deal with efficiency and corruption in banking in Bangladesh: The Bangladesh Bank, the Anti- Corruption Commission and the Office of the Comptroller and Auditor General</w:t>
      </w:r>
      <w:r w:rsidR="00665CDD" w:rsidRPr="00665CDD">
        <w:t xml:space="preserve"> </w:t>
      </w:r>
      <w:r w:rsidR="00757FFA" w:rsidRPr="00665CDD">
        <w:t xml:space="preserve">. Mobilization of public and private resources including PPP for e-finance will improve the delivery of finance. </w:t>
      </w:r>
    </w:p>
    <w:p w:rsidR="00757FFA" w:rsidRPr="00665CDD" w:rsidRDefault="008502BF" w:rsidP="00F82A79">
      <w:pPr>
        <w:spacing w:before="0" w:after="200" w:line="276" w:lineRule="auto"/>
      </w:pPr>
      <w:r w:rsidRPr="00665CDD">
        <w:rPr>
          <w:b/>
        </w:rPr>
        <w:t>Longer-term b</w:t>
      </w:r>
      <w:r w:rsidR="00757FFA" w:rsidRPr="00665CDD">
        <w:rPr>
          <w:b/>
        </w:rPr>
        <w:t>eyond 2030:</w:t>
      </w:r>
      <w:r w:rsidR="00757FFA" w:rsidRPr="00665CDD">
        <w:t xml:space="preserve"> Continuation of the above strategy with ten pillars: (</w:t>
      </w:r>
      <w:proofErr w:type="spellStart"/>
      <w:r w:rsidR="00757FFA" w:rsidRPr="00665CDD">
        <w:t>i</w:t>
      </w:r>
      <w:proofErr w:type="spellEnd"/>
      <w:r w:rsidR="00757FFA" w:rsidRPr="00665CDD">
        <w:t>) financial market integration, (ii) microfinance for the extreme vulnerable groups, (iii) meso-finance for graduate clients of the microfinance including SMEs, (iv) capital market development with built in regulation and stabilizers, (v) greater harmony between fiscal and monetary policy, (vi) complete independence of the Bangladesh Bank in the conduct of monetary policy, (vii) capital account convertibility with oversight on satisfaction of pre-conditions, (viii) continuous strengthening of the banking supervision capacity of the Bangladesh Bank as all financial institutions are brought under its direct supervision and control, (ix) privatization of all state owned banks except one for payment purposes; (x) eliminating political patronage; and (xi) continuing investments in e-finance.</w:t>
      </w:r>
    </w:p>
    <w:p w:rsidR="00BD19D4" w:rsidRPr="00665CDD" w:rsidRDefault="00BD19D4" w:rsidP="00F82A79">
      <w:pPr>
        <w:spacing w:before="0" w:after="200" w:line="276" w:lineRule="auto"/>
        <w:rPr>
          <w:caps/>
          <w:color w:val="0070C0"/>
        </w:rPr>
      </w:pPr>
      <w:r w:rsidRPr="00665CDD">
        <w:rPr>
          <w:color w:val="000000" w:themeColor="text1"/>
        </w:rPr>
        <w:t>On finance, strategies are wide, deep and far reaching from h</w:t>
      </w:r>
      <w:r w:rsidRPr="00665CDD">
        <w:t xml:space="preserve">armonizing fiscal and monitory policy and making budget growth oriented (Sadiq 2016) to deep seated banking reform ridding the system of corruption and malpractices. Alamgir (2015) and Khatun (2015) took cue from an earlier suggestion by Dr. Mohammed </w:t>
      </w:r>
      <w:proofErr w:type="spellStart"/>
      <w:r w:rsidRPr="00665CDD">
        <w:t>Farashuddin</w:t>
      </w:r>
      <w:proofErr w:type="spellEnd"/>
      <w:r w:rsidRPr="00665CDD">
        <w:t xml:space="preserve"> former Governor of BB to set up a banking commission to examine all issues and make recommendations for Banking sector reform. In a forum at BIBM Dr. Atiur Rahman, former Governor of BB opine</w:t>
      </w:r>
      <w:r w:rsidR="00665CDD" w:rsidRPr="00665CDD">
        <w:t>d</w:t>
      </w:r>
      <w:r w:rsidRPr="00665CDD">
        <w:t xml:space="preserve"> that such a commission was not necessary since all issues and solutions thereto were well known. Only thing left </w:t>
      </w:r>
      <w:proofErr w:type="spellStart"/>
      <w:r w:rsidRPr="00665CDD">
        <w:t>ws</w:t>
      </w:r>
      <w:proofErr w:type="spellEnd"/>
      <w:r w:rsidRPr="00665CDD">
        <w:t xml:space="preserve"> to act on these.</w:t>
      </w:r>
    </w:p>
    <w:p w:rsidR="00665CDD" w:rsidRPr="00665CDD" w:rsidRDefault="00665CDD" w:rsidP="00665CDD">
      <w:pPr>
        <w:pStyle w:val="ListParagraph"/>
        <w:tabs>
          <w:tab w:val="left" w:pos="72"/>
          <w:tab w:val="left" w:pos="216"/>
        </w:tabs>
        <w:spacing w:before="0" w:after="0" w:line="276" w:lineRule="auto"/>
        <w:ind w:left="-58"/>
        <w:rPr>
          <w:rFonts w:ascii="Times New Roman" w:hAnsi="Times New Roman" w:cs="Times New Roman"/>
          <w:b/>
        </w:rPr>
      </w:pPr>
    </w:p>
    <w:p w:rsidR="00665CDD" w:rsidRPr="00665CDD" w:rsidRDefault="00665CDD" w:rsidP="00665CDD">
      <w:pPr>
        <w:rPr>
          <w:b/>
          <w:color w:val="000000" w:themeColor="text1"/>
        </w:rPr>
      </w:pPr>
      <w:r w:rsidRPr="00665CDD">
        <w:rPr>
          <w:b/>
          <w:color w:val="000000" w:themeColor="text1"/>
        </w:rPr>
        <w:br w:type="page"/>
      </w:r>
    </w:p>
    <w:p w:rsidR="008502BF" w:rsidRDefault="008502BF" w:rsidP="00F82A79">
      <w:pPr>
        <w:spacing w:before="0" w:after="200" w:line="276" w:lineRule="auto"/>
        <w:rPr>
          <w:b/>
          <w:color w:val="000000" w:themeColor="text1"/>
        </w:rPr>
      </w:pPr>
      <w:r>
        <w:rPr>
          <w:b/>
          <w:color w:val="000000" w:themeColor="text1"/>
        </w:rPr>
        <w:lastRenderedPageBreak/>
        <w:t>Democracy</w:t>
      </w:r>
    </w:p>
    <w:p w:rsidR="008502BF" w:rsidRDefault="00592270" w:rsidP="00F82A79">
      <w:pPr>
        <w:spacing w:before="0" w:after="200" w:line="276" w:lineRule="auto"/>
        <w:rPr>
          <w:rFonts w:eastAsia="Times New Roman"/>
          <w:bCs/>
          <w:color w:val="000000"/>
          <w:kern w:val="36"/>
        </w:rPr>
      </w:pPr>
      <w:r>
        <w:t xml:space="preserve">The democratization process is a continuum, Policies and strategies cannot be time-bound as these must play out conflicting forces jockeying </w:t>
      </w:r>
      <w:r w:rsidRPr="00592270">
        <w:t xml:space="preserve">for supremacy. The challenge how to move from hybrid democracy to pluralistic full democracy. </w:t>
      </w:r>
      <w:r w:rsidR="008502BF" w:rsidRPr="00592270">
        <w:t>This study outlines a framework for pluralistic democracy. Implicit in the framework is the suggested path towards</w:t>
      </w:r>
      <w:r w:rsidR="008502BF">
        <w:t xml:space="preserve"> Vision 2041. </w:t>
      </w:r>
      <w:r w:rsidR="008502BF">
        <w:rPr>
          <w:rFonts w:eastAsia="Times New Roman"/>
          <w:color w:val="000000"/>
        </w:rPr>
        <w:t>The path towards full pluralistic democracy by 2041 has to be founded on a strong and fair election commission (EC), credible election, effective parliament, periodic election with participation of all and consensus on broad outline of economic, political and social agenda so that continuity is assured and a turnover of power would not lead to dead halt of existing programs and starting from scratch. That will be waste of time and resources that Bangladesh ill affords. Pluralistic democracy is achievable with adherence to a ‘respect matrix’ (respect for inclusion of all in the democratic process, respect for rule of law and the like). In short, the 2041 target is pluralistic democracy and policies and strategies are embedded in ‘respect for’ critical values (Figure 5).</w:t>
      </w:r>
      <w:r w:rsidR="008502BF" w:rsidRPr="002F3BF9">
        <w:rPr>
          <w:rFonts w:eastAsia="Times New Roman"/>
          <w:bCs/>
          <w:color w:val="000000"/>
          <w:kern w:val="36"/>
        </w:rPr>
        <w:t xml:space="preserve"> </w:t>
      </w:r>
      <w:r w:rsidR="008502BF">
        <w:rPr>
          <w:rFonts w:eastAsia="Times New Roman"/>
          <w:bCs/>
          <w:color w:val="000000"/>
          <w:kern w:val="36"/>
        </w:rPr>
        <w:t xml:space="preserve">This concept of pluralistic democracy is mirrored in a statement of the </w:t>
      </w:r>
      <w:r w:rsidR="008502BF">
        <w:rPr>
          <w:rFonts w:eastAsia="Times New Roman"/>
          <w:color w:val="000000"/>
        </w:rPr>
        <w:t>Supreme Court (SC) in connection with its verdict on the 16</w:t>
      </w:r>
      <w:r w:rsidR="008502BF" w:rsidRPr="00A2306C">
        <w:rPr>
          <w:rFonts w:eastAsia="Times New Roman"/>
          <w:color w:val="000000"/>
          <w:vertAlign w:val="superscript"/>
        </w:rPr>
        <w:t>th</w:t>
      </w:r>
      <w:r w:rsidR="008502BF">
        <w:rPr>
          <w:rFonts w:eastAsia="Times New Roman"/>
          <w:color w:val="000000"/>
        </w:rPr>
        <w:t xml:space="preserve"> amendment, </w:t>
      </w:r>
      <w:r w:rsidR="008502BF" w:rsidRPr="00A2306C">
        <w:rPr>
          <w:rFonts w:eastAsia="Times New Roman"/>
          <w:color w:val="000000"/>
        </w:rPr>
        <w:t>"It is expected in a country run by constitutional democracy that the following indispensable constituents would exist: (a) purity of election, (b) probity in governance, (c) sanctity of individual dignity, (d) sacrosanctity of rule of law, (e) independence of judiciary, (f) efficiency and acceptability of bureaucracy, (g) credibility of institutions like judiciary, bureaucracy, Election Commission, Parliament, (h) integrity and respectability of those who run those institutions."</w:t>
      </w:r>
    </w:p>
    <w:p w:rsidR="00CD4923" w:rsidRDefault="00CD4923" w:rsidP="00F82A79">
      <w:pPr>
        <w:spacing w:before="0" w:after="200" w:line="276" w:lineRule="auto"/>
        <w:rPr>
          <w:rFonts w:eastAsia="Times New Roman"/>
          <w:bCs/>
          <w:color w:val="000000"/>
          <w:kern w:val="36"/>
        </w:rPr>
      </w:pPr>
      <w:r w:rsidRPr="00A00187">
        <w:t>Strategies to attain target are (</w:t>
      </w:r>
      <w:proofErr w:type="spellStart"/>
      <w:r w:rsidRPr="00A00187">
        <w:t>i</w:t>
      </w:r>
      <w:proofErr w:type="spellEnd"/>
      <w:r w:rsidRPr="00A00187">
        <w:t>) strengthening and empowering EC to act independently</w:t>
      </w:r>
      <w:r w:rsidRPr="00324B67">
        <w:t xml:space="preserve"> as in India, (ii) e</w:t>
      </w:r>
      <w:r w:rsidRPr="00324B67">
        <w:rPr>
          <w:color w:val="000000" w:themeColor="text1"/>
        </w:rPr>
        <w:t>nsuring independence of judiciary and separation of power of Executive, Legislature and Judiciary, (iii) reviewing and strengthening the legal and regulatory framework for election, and (iv) providing constitutional and legal guarantee for avoiding/eliminating possibility of non-democratic extra-constitutional usurpation of power by any force/group including the armed forces.</w:t>
      </w:r>
    </w:p>
    <w:p w:rsidR="008502BF" w:rsidRDefault="008502BF" w:rsidP="00F82A79">
      <w:pPr>
        <w:spacing w:before="0" w:after="200" w:line="276" w:lineRule="auto"/>
        <w:rPr>
          <w:b/>
          <w:color w:val="000000" w:themeColor="text1"/>
        </w:rPr>
      </w:pPr>
      <w:r>
        <w:rPr>
          <w:rFonts w:eastAsia="Times New Roman"/>
          <w:bCs/>
          <w:color w:val="000000"/>
          <w:kern w:val="36"/>
        </w:rPr>
        <w:t xml:space="preserve">Institutionally, the </w:t>
      </w:r>
      <w:r w:rsidRPr="006F63F1">
        <w:rPr>
          <w:rFonts w:eastAsia="Times New Roman"/>
          <w:bCs/>
          <w:color w:val="000000"/>
          <w:kern w:val="36"/>
        </w:rPr>
        <w:t xml:space="preserve">EC </w:t>
      </w:r>
      <w:r>
        <w:rPr>
          <w:rFonts w:eastAsia="Times New Roman"/>
          <w:bCs/>
          <w:color w:val="000000"/>
          <w:kern w:val="36"/>
        </w:rPr>
        <w:t xml:space="preserve">will have to be </w:t>
      </w:r>
      <w:r w:rsidRPr="006F63F1">
        <w:rPr>
          <w:rFonts w:eastAsia="Times New Roman"/>
          <w:bCs/>
          <w:color w:val="000000"/>
          <w:kern w:val="36"/>
        </w:rPr>
        <w:t xml:space="preserve">empowered to hold </w:t>
      </w:r>
      <w:r>
        <w:rPr>
          <w:rFonts w:eastAsia="Times New Roman"/>
          <w:bCs/>
          <w:color w:val="000000"/>
          <w:kern w:val="36"/>
        </w:rPr>
        <w:t xml:space="preserve">free and </w:t>
      </w:r>
      <w:r w:rsidRPr="006F63F1">
        <w:rPr>
          <w:rFonts w:eastAsia="Times New Roman"/>
          <w:bCs/>
          <w:color w:val="000000"/>
          <w:kern w:val="36"/>
        </w:rPr>
        <w:t xml:space="preserve">fair </w:t>
      </w:r>
      <w:r>
        <w:rPr>
          <w:rFonts w:eastAsia="Times New Roman"/>
          <w:bCs/>
          <w:color w:val="000000"/>
          <w:kern w:val="36"/>
        </w:rPr>
        <w:t xml:space="preserve">parliamentary elections. This is the point underscored by the </w:t>
      </w:r>
      <w:r>
        <w:rPr>
          <w:rFonts w:eastAsia="Times New Roman"/>
          <w:color w:val="000000"/>
        </w:rPr>
        <w:t>SC in connection with its verdict on the 13</w:t>
      </w:r>
      <w:r w:rsidRPr="00501B9B">
        <w:rPr>
          <w:rFonts w:eastAsia="Times New Roman"/>
          <w:color w:val="000000"/>
          <w:vertAlign w:val="superscript"/>
        </w:rPr>
        <w:t>th</w:t>
      </w:r>
      <w:r>
        <w:rPr>
          <w:rFonts w:eastAsia="Times New Roman"/>
          <w:color w:val="000000"/>
        </w:rPr>
        <w:t xml:space="preserve"> and 16</w:t>
      </w:r>
      <w:r w:rsidRPr="00C96472">
        <w:rPr>
          <w:rFonts w:eastAsia="Times New Roman"/>
          <w:color w:val="000000"/>
          <w:vertAlign w:val="superscript"/>
        </w:rPr>
        <w:t>th</w:t>
      </w:r>
      <w:r>
        <w:rPr>
          <w:rFonts w:eastAsia="Times New Roman"/>
          <w:color w:val="000000"/>
        </w:rPr>
        <w:t xml:space="preserve"> amendments declaring in no uncertain terms that “…</w:t>
      </w:r>
      <w:r w:rsidRPr="00284FB0">
        <w:rPr>
          <w:rFonts w:eastAsia="Times New Roman"/>
          <w:color w:val="000000"/>
        </w:rPr>
        <w:t>the apex court said the EC should be made more empowered and institutionalised so that the parliamentary elections could always be held fairly without the non-parti</w:t>
      </w:r>
      <w:r>
        <w:rPr>
          <w:rFonts w:eastAsia="Times New Roman"/>
          <w:color w:val="000000"/>
        </w:rPr>
        <w:t xml:space="preserve">san caretaker government system” (The Daily Star August 03, 2017. The SC went on to say </w:t>
      </w:r>
      <w:r w:rsidRPr="00284FB0">
        <w:rPr>
          <w:rFonts w:eastAsia="Times New Roman"/>
          <w:color w:val="000000"/>
        </w:rPr>
        <w:t>"Unless the national parliamentary election is held impartially and independently free from any interference, democracy cannot flourish. In the absence of credible election, a credible p</w:t>
      </w:r>
      <w:r>
        <w:rPr>
          <w:rFonts w:eastAsia="Times New Roman"/>
          <w:color w:val="000000"/>
        </w:rPr>
        <w:t>arliament cannot be established</w:t>
      </w:r>
      <w:r w:rsidRPr="00284FB0">
        <w:rPr>
          <w:rFonts w:eastAsia="Times New Roman"/>
          <w:color w:val="000000"/>
        </w:rPr>
        <w:t>"</w:t>
      </w:r>
      <w:r>
        <w:rPr>
          <w:rFonts w:eastAsia="Times New Roman"/>
          <w:color w:val="000000"/>
        </w:rPr>
        <w:t>.</w:t>
      </w:r>
    </w:p>
    <w:p w:rsidR="00B062FB" w:rsidRDefault="00B062FB">
      <w:pPr>
        <w:rPr>
          <w:b/>
          <w:color w:val="000000" w:themeColor="text1"/>
        </w:rPr>
      </w:pPr>
      <w:r>
        <w:rPr>
          <w:b/>
          <w:color w:val="000000" w:themeColor="text1"/>
        </w:rPr>
        <w:br w:type="page"/>
      </w:r>
    </w:p>
    <w:p w:rsidR="00B062FB" w:rsidRDefault="00B062FB" w:rsidP="00B062FB">
      <w:pPr>
        <w:spacing w:before="0" w:after="200" w:line="276" w:lineRule="auto"/>
        <w:rPr>
          <w:b/>
          <w:color w:val="000000" w:themeColor="text1"/>
        </w:rPr>
      </w:pPr>
      <w:r>
        <w:rPr>
          <w:b/>
          <w:color w:val="000000" w:themeColor="text1"/>
        </w:rPr>
        <w:lastRenderedPageBreak/>
        <w:t>Decentralization</w:t>
      </w:r>
    </w:p>
    <w:p w:rsidR="00B062FB" w:rsidRDefault="00B062FB" w:rsidP="00B062FB">
      <w:pPr>
        <w:spacing w:before="0" w:after="200" w:line="276" w:lineRule="auto"/>
        <w:rPr>
          <w:color w:val="000000"/>
        </w:rPr>
      </w:pPr>
      <w:r>
        <w:rPr>
          <w:color w:val="000000"/>
        </w:rPr>
        <w:t xml:space="preserve">The principal challenge to decentralization </w:t>
      </w:r>
      <w:r w:rsidRPr="00CB2D86">
        <w:rPr>
          <w:sz w:val="18"/>
          <w:szCs w:val="18"/>
        </w:rPr>
        <w:t>is how to introduce effective administrative, financial/fiscal, electoral, judicial, political and appointments decentralization</w:t>
      </w:r>
      <w:r>
        <w:rPr>
          <w:sz w:val="18"/>
          <w:szCs w:val="18"/>
        </w:rPr>
        <w:t>.</w:t>
      </w:r>
      <w:r>
        <w:rPr>
          <w:color w:val="000000"/>
        </w:rPr>
        <w:t xml:space="preserve"> </w:t>
      </w:r>
    </w:p>
    <w:p w:rsidR="00B062FB" w:rsidRDefault="00B062FB" w:rsidP="00B062FB">
      <w:pPr>
        <w:spacing w:before="0" w:after="200" w:line="276" w:lineRule="auto"/>
        <w:rPr>
          <w:color w:val="000000"/>
        </w:rPr>
      </w:pPr>
      <w:r>
        <w:rPr>
          <w:color w:val="000000"/>
        </w:rPr>
        <w:t>There are many specific challenges to decentralization in Bangladesh:</w:t>
      </w:r>
    </w:p>
    <w:p w:rsidR="00B062FB" w:rsidRPr="00483592" w:rsidRDefault="00B062FB" w:rsidP="00B062FB">
      <w:pPr>
        <w:numPr>
          <w:ilvl w:val="0"/>
          <w:numId w:val="6"/>
        </w:numPr>
        <w:shd w:val="clear" w:color="auto" w:fill="FFFFFF"/>
        <w:spacing w:before="0" w:after="0" w:line="276" w:lineRule="auto"/>
        <w:rPr>
          <w:rFonts w:eastAsia="Times New Roman"/>
          <w:color w:val="000000"/>
        </w:rPr>
      </w:pPr>
      <w:r w:rsidRPr="00483592">
        <w:rPr>
          <w:rFonts w:eastAsia="Times New Roman"/>
          <w:color w:val="000000"/>
        </w:rPr>
        <w:t>Strong unitary character</w:t>
      </w:r>
    </w:p>
    <w:p w:rsidR="00B062FB" w:rsidRPr="00483592" w:rsidRDefault="00B062FB" w:rsidP="00B062FB">
      <w:pPr>
        <w:numPr>
          <w:ilvl w:val="0"/>
          <w:numId w:val="6"/>
        </w:numPr>
        <w:shd w:val="clear" w:color="auto" w:fill="FFFFFF"/>
        <w:spacing w:before="0" w:after="0" w:line="276" w:lineRule="auto"/>
        <w:rPr>
          <w:rFonts w:eastAsia="Times New Roman"/>
          <w:color w:val="000000"/>
        </w:rPr>
      </w:pPr>
      <w:r>
        <w:t>H</w:t>
      </w:r>
      <w:r w:rsidRPr="00483592">
        <w:t xml:space="preserve">ighly centralization of government and administration in Dhaka, the capital city </w:t>
      </w:r>
    </w:p>
    <w:p w:rsidR="00B062FB" w:rsidRPr="00483592" w:rsidRDefault="00B062FB" w:rsidP="00B062FB">
      <w:pPr>
        <w:numPr>
          <w:ilvl w:val="0"/>
          <w:numId w:val="6"/>
        </w:numPr>
        <w:shd w:val="clear" w:color="auto" w:fill="FFFFFF"/>
        <w:spacing w:before="0" w:after="0" w:line="276" w:lineRule="auto"/>
        <w:rPr>
          <w:rFonts w:eastAsia="Times New Roman"/>
          <w:color w:val="000000"/>
        </w:rPr>
      </w:pPr>
      <w:r>
        <w:t>M</w:t>
      </w:r>
      <w:r w:rsidRPr="00483592">
        <w:t>ajor political and administrative decisions are taken in Dhaka</w:t>
      </w:r>
    </w:p>
    <w:p w:rsidR="00B062FB" w:rsidRPr="00483592" w:rsidRDefault="00B062FB" w:rsidP="00B062FB">
      <w:pPr>
        <w:numPr>
          <w:ilvl w:val="0"/>
          <w:numId w:val="6"/>
        </w:numPr>
        <w:shd w:val="clear" w:color="auto" w:fill="FFFFFF"/>
        <w:spacing w:before="0" w:after="0" w:line="276" w:lineRule="auto"/>
        <w:rPr>
          <w:rFonts w:eastAsia="Times New Roman"/>
          <w:color w:val="000000"/>
        </w:rPr>
      </w:pPr>
      <w:r w:rsidRPr="00483592">
        <w:rPr>
          <w:rFonts w:eastAsia="Times New Roman"/>
          <w:color w:val="000000"/>
        </w:rPr>
        <w:t>Capacity constraint</w:t>
      </w:r>
    </w:p>
    <w:p w:rsidR="00B062FB" w:rsidRPr="00D66B00" w:rsidRDefault="00B062FB" w:rsidP="00B062FB">
      <w:pPr>
        <w:numPr>
          <w:ilvl w:val="0"/>
          <w:numId w:val="6"/>
        </w:numPr>
        <w:shd w:val="clear" w:color="auto" w:fill="FFFFFF"/>
        <w:spacing w:before="0" w:after="0" w:line="276" w:lineRule="auto"/>
        <w:rPr>
          <w:rFonts w:eastAsia="Times New Roman"/>
          <w:color w:val="000000"/>
        </w:rPr>
      </w:pPr>
      <w:r w:rsidRPr="00483592">
        <w:rPr>
          <w:rFonts w:eastAsia="Times New Roman"/>
          <w:color w:val="000000"/>
        </w:rPr>
        <w:t xml:space="preserve">Legal </w:t>
      </w:r>
      <w:r>
        <w:rPr>
          <w:rFonts w:eastAsia="Times New Roman"/>
          <w:color w:val="000000"/>
        </w:rPr>
        <w:t xml:space="preserve">and regulatory </w:t>
      </w:r>
      <w:r w:rsidRPr="00483592">
        <w:rPr>
          <w:rFonts w:eastAsia="Times New Roman"/>
          <w:color w:val="000000"/>
        </w:rPr>
        <w:t>framework is still weak</w:t>
      </w:r>
    </w:p>
    <w:p w:rsidR="00B062FB" w:rsidRPr="00D66B00" w:rsidRDefault="00B062FB" w:rsidP="00B062FB">
      <w:pPr>
        <w:numPr>
          <w:ilvl w:val="0"/>
          <w:numId w:val="6"/>
        </w:numPr>
        <w:shd w:val="clear" w:color="auto" w:fill="FFFFFF"/>
        <w:spacing w:before="0" w:after="0" w:line="276" w:lineRule="auto"/>
        <w:rPr>
          <w:rFonts w:eastAsia="Times New Roman"/>
          <w:color w:val="000000"/>
        </w:rPr>
      </w:pPr>
      <w:r w:rsidRPr="00D66B00">
        <w:rPr>
          <w:rFonts w:eastAsia="Times New Roman"/>
          <w:color w:val="000000"/>
        </w:rPr>
        <w:t>Local governments have little fis</w:t>
      </w:r>
      <w:r w:rsidRPr="00483592">
        <w:rPr>
          <w:rFonts w:eastAsia="Times New Roman"/>
          <w:color w:val="000000"/>
        </w:rPr>
        <w:t>cal and administrative autonomy</w:t>
      </w:r>
    </w:p>
    <w:p w:rsidR="00B062FB" w:rsidRPr="00483592" w:rsidRDefault="00B062FB" w:rsidP="00B062FB">
      <w:pPr>
        <w:numPr>
          <w:ilvl w:val="0"/>
          <w:numId w:val="6"/>
        </w:numPr>
        <w:shd w:val="clear" w:color="auto" w:fill="FFFFFF"/>
        <w:spacing w:before="0" w:after="0" w:line="276" w:lineRule="auto"/>
        <w:rPr>
          <w:rFonts w:eastAsia="Times New Roman"/>
          <w:color w:val="000000"/>
        </w:rPr>
      </w:pPr>
      <w:r w:rsidRPr="00D66B00">
        <w:rPr>
          <w:rFonts w:eastAsia="Times New Roman"/>
          <w:color w:val="000000"/>
        </w:rPr>
        <w:t>Political conflict weakened institutional capacity</w:t>
      </w:r>
    </w:p>
    <w:p w:rsidR="00B062FB" w:rsidRPr="00483592" w:rsidRDefault="00B062FB" w:rsidP="00B062FB">
      <w:pPr>
        <w:numPr>
          <w:ilvl w:val="0"/>
          <w:numId w:val="6"/>
        </w:numPr>
        <w:shd w:val="clear" w:color="auto" w:fill="FFFFFF"/>
        <w:spacing w:before="0" w:after="0" w:line="276" w:lineRule="auto"/>
        <w:rPr>
          <w:rFonts w:eastAsia="Times New Roman"/>
          <w:color w:val="000000"/>
        </w:rPr>
      </w:pPr>
      <w:r>
        <w:rPr>
          <w:color w:val="000000"/>
          <w:shd w:val="clear" w:color="auto" w:fill="FFFFFF"/>
        </w:rPr>
        <w:t>C</w:t>
      </w:r>
      <w:r w:rsidRPr="00483592">
        <w:rPr>
          <w:color w:val="000000"/>
          <w:shd w:val="clear" w:color="auto" w:fill="FFFFFF"/>
        </w:rPr>
        <w:t>ontinuing resistance to decentralization efforts by the bureaucracy and lower-level government officials</w:t>
      </w:r>
    </w:p>
    <w:p w:rsidR="00B062FB" w:rsidRPr="00483592" w:rsidRDefault="00B062FB" w:rsidP="00B062FB">
      <w:pPr>
        <w:numPr>
          <w:ilvl w:val="0"/>
          <w:numId w:val="6"/>
        </w:numPr>
        <w:shd w:val="clear" w:color="auto" w:fill="FFFFFF"/>
        <w:spacing w:before="0" w:after="0" w:line="276" w:lineRule="auto"/>
        <w:rPr>
          <w:rFonts w:eastAsia="Times New Roman"/>
          <w:color w:val="000000"/>
        </w:rPr>
      </w:pPr>
      <w:r w:rsidRPr="00483592">
        <w:rPr>
          <w:rFonts w:eastAsia="Times New Roman"/>
          <w:color w:val="000000"/>
        </w:rPr>
        <w:t>Political interference</w:t>
      </w:r>
    </w:p>
    <w:p w:rsidR="00B062FB" w:rsidRDefault="00B062FB" w:rsidP="00B062FB">
      <w:pPr>
        <w:numPr>
          <w:ilvl w:val="0"/>
          <w:numId w:val="6"/>
        </w:numPr>
        <w:shd w:val="clear" w:color="auto" w:fill="FFFFFF"/>
        <w:spacing w:before="0" w:after="0" w:line="276" w:lineRule="auto"/>
        <w:rPr>
          <w:rFonts w:eastAsia="Times New Roman"/>
          <w:color w:val="000000"/>
        </w:rPr>
      </w:pPr>
      <w:r>
        <w:rPr>
          <w:color w:val="000000"/>
          <w:shd w:val="clear" w:color="auto" w:fill="FFFFFF"/>
        </w:rPr>
        <w:t>N</w:t>
      </w:r>
      <w:r w:rsidRPr="00483592">
        <w:rPr>
          <w:color w:val="000000"/>
          <w:shd w:val="clear" w:color="auto" w:fill="FFFFFF"/>
        </w:rPr>
        <w:t>on-adherence to the participatory planning process</w:t>
      </w:r>
    </w:p>
    <w:p w:rsidR="00B062FB" w:rsidRPr="00AF575C" w:rsidRDefault="00B062FB" w:rsidP="00B062FB">
      <w:pPr>
        <w:numPr>
          <w:ilvl w:val="0"/>
          <w:numId w:val="6"/>
        </w:numPr>
        <w:shd w:val="clear" w:color="auto" w:fill="FFFFFF"/>
        <w:spacing w:before="0" w:after="200" w:line="276" w:lineRule="auto"/>
        <w:rPr>
          <w:rFonts w:eastAsia="Times New Roman"/>
          <w:color w:val="000000"/>
        </w:rPr>
      </w:pPr>
      <w:r>
        <w:rPr>
          <w:color w:val="000000"/>
          <w:shd w:val="clear" w:color="auto" w:fill="FFFFFF"/>
        </w:rPr>
        <w:t>I</w:t>
      </w:r>
      <w:r w:rsidRPr="00AF575C">
        <w:rPr>
          <w:color w:val="000000"/>
          <w:shd w:val="clear" w:color="auto" w:fill="FFFFFF"/>
        </w:rPr>
        <w:t>neffective coordination</w:t>
      </w:r>
    </w:p>
    <w:p w:rsidR="00B062FB" w:rsidRDefault="00B062FB" w:rsidP="00B062FB">
      <w:pPr>
        <w:spacing w:before="0" w:after="200" w:line="276" w:lineRule="auto"/>
        <w:rPr>
          <w:color w:val="151515"/>
        </w:rPr>
      </w:pPr>
      <w:r>
        <w:rPr>
          <w:color w:val="000000"/>
        </w:rPr>
        <w:t xml:space="preserve">Policies and strategies to deal with these challenges will have to be carefully designed and implemented. First capacity building at all levels is to be given top priority. This is touched upon in the following section. Second, political support will have to be mobilized to neutralize vested interests, especially bureaucracy, in status quo and introduce structural changes in the unitary character of the government and the centralization of </w:t>
      </w:r>
      <w:r w:rsidRPr="00483592">
        <w:t>government and administration in Dhaka</w:t>
      </w:r>
      <w:r>
        <w:rPr>
          <w:color w:val="000000"/>
        </w:rPr>
        <w:t xml:space="preserve"> where </w:t>
      </w:r>
      <w:r w:rsidRPr="00483592">
        <w:t>major political and administrative decisions are taken</w:t>
      </w:r>
      <w:r>
        <w:t xml:space="preserve">. Third, major investments will have to be made to strengthen institutions of decentralized government and administration from the top down to the grassroots. Fourth, act on the </w:t>
      </w:r>
      <w:r w:rsidRPr="008C3AE3">
        <w:t xml:space="preserve">important recommendation made </w:t>
      </w:r>
      <w:r>
        <w:t>in 2016 by an</w:t>
      </w:r>
      <w:r w:rsidRPr="008C3AE3">
        <w:t xml:space="preserve"> international seminar in Dhaka calling for a l</w:t>
      </w:r>
      <w:r w:rsidRPr="008C3AE3">
        <w:rPr>
          <w:color w:val="151515"/>
        </w:rPr>
        <w:t>egal framework that will provide clear guideline for the local government machineries about its function, jurisdiction, taxation, finance, budget account, electoral process, and central-local and local-local relationship</w:t>
      </w:r>
      <w:r>
        <w:rPr>
          <w:color w:val="151515"/>
        </w:rPr>
        <w:t xml:space="preserve"> (bdnews24.com)</w:t>
      </w:r>
      <w:r w:rsidRPr="008C3AE3">
        <w:rPr>
          <w:color w:val="151515"/>
        </w:rPr>
        <w:t>.</w:t>
      </w:r>
    </w:p>
    <w:p w:rsidR="00B062FB" w:rsidRDefault="00B062FB" w:rsidP="00B062FB">
      <w:pPr>
        <w:shd w:val="clear" w:color="auto" w:fill="FFFFFF"/>
        <w:spacing w:before="0" w:after="200" w:line="276" w:lineRule="auto"/>
        <w:rPr>
          <w:rFonts w:eastAsia="Times New Roman"/>
          <w:color w:val="000000"/>
        </w:rPr>
      </w:pPr>
      <w:r>
        <w:t>Strategies to attain targets overcoming challenges of decentralization are:</w:t>
      </w:r>
      <w:r w:rsidRPr="00B2074B">
        <w:t xml:space="preserve"> (</w:t>
      </w:r>
      <w:proofErr w:type="spellStart"/>
      <w:r w:rsidRPr="00B2074B">
        <w:t>i</w:t>
      </w:r>
      <w:proofErr w:type="spellEnd"/>
      <w:r w:rsidRPr="00B2074B">
        <w:t xml:space="preserve">) shifting the center of gravity of the central power from Dhaka to </w:t>
      </w:r>
      <w:r>
        <w:t xml:space="preserve">the </w:t>
      </w:r>
      <w:r w:rsidRPr="00B2074B">
        <w:t xml:space="preserve">Faridpur region, (ii) converting the present </w:t>
      </w:r>
      <w:r>
        <w:t xml:space="preserve">six </w:t>
      </w:r>
      <w:r w:rsidRPr="00B2074B">
        <w:t xml:space="preserve">administrative divisions into </w:t>
      </w:r>
      <w:r>
        <w:t xml:space="preserve">six </w:t>
      </w:r>
      <w:r w:rsidRPr="00B2074B">
        <w:t>provinces</w:t>
      </w:r>
      <w:r>
        <w:t xml:space="preserve">, (iii) securing four tiers of local government - </w:t>
      </w:r>
      <w:r w:rsidRPr="00B2074B">
        <w:rPr>
          <w:color w:val="000000"/>
        </w:rPr>
        <w:t xml:space="preserve">Gram (Village) Sarkar, Union Parishad, Thana and Zila </w:t>
      </w:r>
      <w:r w:rsidRPr="009232FB">
        <w:rPr>
          <w:color w:val="000000"/>
        </w:rPr>
        <w:t>Parishad</w:t>
      </w:r>
      <w:r w:rsidRPr="009232FB">
        <w:t xml:space="preserve"> - for rural areas and two tiers - City Corporations and Paurashavas - for urban areas, (iii) Promoting fiscal decentralization to facilitate emergence of autonomous and accountable local governments (Sadiq 2016), (iv) keeping local governments totally independent of the influence of local political leadership and civil bureaucrats, (v) entrusting local governments with planning and implementation of local</w:t>
      </w:r>
      <w:r>
        <w:t xml:space="preserve"> development projects irrespective of sources of fund, (vi) legislating a comprehensive Law </w:t>
      </w:r>
      <w:r w:rsidRPr="001B06DC">
        <w:rPr>
          <w:color w:val="000000" w:themeColor="text1"/>
        </w:rPr>
        <w:t>clarifying powers and functions of local bodies at all levels.</w:t>
      </w:r>
      <w:r>
        <w:rPr>
          <w:color w:val="000000" w:themeColor="text1"/>
        </w:rPr>
        <w:t xml:space="preserve"> This Law will replace </w:t>
      </w:r>
      <w:r w:rsidRPr="001B06DC">
        <w:rPr>
          <w:color w:val="000000" w:themeColor="text1"/>
        </w:rPr>
        <w:t>130 laws and over 100 sub-laws and rules</w:t>
      </w:r>
      <w:r>
        <w:rPr>
          <w:color w:val="000000" w:themeColor="text1"/>
        </w:rPr>
        <w:t xml:space="preserve"> covering local bodies</w:t>
      </w:r>
      <w:r w:rsidRPr="00B2074B">
        <w:t>.</w:t>
      </w:r>
    </w:p>
    <w:p w:rsidR="00B062FB" w:rsidRDefault="00B062FB" w:rsidP="009C47D7">
      <w:pPr>
        <w:shd w:val="clear" w:color="auto" w:fill="FFFFFF"/>
        <w:spacing w:before="0" w:after="200" w:line="276" w:lineRule="auto"/>
        <w:ind w:left="1440"/>
        <w:rPr>
          <w:rFonts w:eastAsia="Times New Roman"/>
          <w:color w:val="000000"/>
        </w:rPr>
      </w:pPr>
      <w:r w:rsidRPr="00483592">
        <w:rPr>
          <w:rFonts w:eastAsia="Times New Roman"/>
          <w:color w:val="000000"/>
        </w:rPr>
        <w:lastRenderedPageBreak/>
        <w:t>Road ahead</w:t>
      </w:r>
    </w:p>
    <w:p w:rsidR="00B062FB" w:rsidRDefault="00B062FB" w:rsidP="00B062FB">
      <w:pPr>
        <w:shd w:val="clear" w:color="auto" w:fill="FFFFFF"/>
        <w:spacing w:before="0" w:after="200" w:line="276" w:lineRule="auto"/>
        <w:rPr>
          <w:rFonts w:eastAsia="Times New Roman"/>
          <w:color w:val="000000"/>
        </w:rPr>
      </w:pPr>
      <w:r>
        <w:rPr>
          <w:rFonts w:eastAsia="Times New Roman"/>
          <w:color w:val="000000"/>
        </w:rPr>
        <w:t>In order to be growth relevant, the challenges to decentralization will have to be met at two levels. First at the level of the structure of local government and second at the level of operations of local government.</w:t>
      </w:r>
    </w:p>
    <w:p w:rsidR="00B062FB" w:rsidRPr="00483592" w:rsidRDefault="00B062FB" w:rsidP="00B062FB">
      <w:pPr>
        <w:shd w:val="clear" w:color="auto" w:fill="FFFFFF"/>
        <w:spacing w:before="0" w:after="0" w:line="276" w:lineRule="auto"/>
        <w:rPr>
          <w:rFonts w:eastAsia="Times New Roman"/>
          <w:color w:val="000000"/>
        </w:rPr>
      </w:pPr>
      <w:r>
        <w:rPr>
          <w:rFonts w:eastAsia="Times New Roman"/>
          <w:color w:val="000000"/>
        </w:rPr>
        <w:tab/>
        <w:t>Structure of local government</w:t>
      </w:r>
    </w:p>
    <w:p w:rsidR="00B062FB" w:rsidRPr="006572EF" w:rsidRDefault="00B062FB" w:rsidP="00B062FB">
      <w:pPr>
        <w:pStyle w:val="ListParagraph"/>
        <w:numPr>
          <w:ilvl w:val="0"/>
          <w:numId w:val="7"/>
        </w:numPr>
        <w:shd w:val="clear" w:color="auto" w:fill="FFFFFF"/>
        <w:spacing w:before="0" w:after="0" w:line="276" w:lineRule="auto"/>
        <w:contextualSpacing w:val="0"/>
        <w:rPr>
          <w:rFonts w:ascii="Times New Roman" w:eastAsia="Times New Roman" w:hAnsi="Times New Roman" w:cs="Times New Roman"/>
          <w:color w:val="000000"/>
        </w:rPr>
      </w:pPr>
      <w:r w:rsidRPr="00483592">
        <w:rPr>
          <w:rFonts w:ascii="Times New Roman" w:eastAsia="Times New Roman" w:hAnsi="Times New Roman" w:cs="Times New Roman"/>
          <w:color w:val="000000"/>
        </w:rPr>
        <w:t>Redefine six divisions as six provinces</w:t>
      </w:r>
      <w:r>
        <w:rPr>
          <w:rFonts w:ascii="Times New Roman" w:eastAsia="Times New Roman" w:hAnsi="Times New Roman" w:cs="Times New Roman"/>
          <w:color w:val="000000"/>
        </w:rPr>
        <w:t xml:space="preserve"> as in</w:t>
      </w:r>
      <w:r w:rsidRPr="00483592">
        <w:rPr>
          <w:rFonts w:ascii="Times New Roman" w:eastAsia="Times New Roman" w:hAnsi="Times New Roman" w:cs="Times New Roman"/>
          <w:color w:val="000000"/>
        </w:rPr>
        <w:t xml:space="preserve"> Sri Lanka </w:t>
      </w:r>
      <w:r>
        <w:rPr>
          <w:rFonts w:ascii="Times New Roman" w:eastAsia="Times New Roman" w:hAnsi="Times New Roman" w:cs="Times New Roman"/>
          <w:color w:val="000000"/>
        </w:rPr>
        <w:t>which like Bangladesh has a s</w:t>
      </w:r>
      <w:r w:rsidRPr="00483592">
        <w:rPr>
          <w:rFonts w:ascii="Times New Roman" w:eastAsia="Times New Roman" w:hAnsi="Times New Roman" w:cs="Times New Roman"/>
          <w:color w:val="000000"/>
        </w:rPr>
        <w:t xml:space="preserve">mall territory. </w:t>
      </w:r>
      <w:r>
        <w:rPr>
          <w:rFonts w:ascii="Times New Roman" w:eastAsia="Times New Roman" w:hAnsi="Times New Roman" w:cs="Times New Roman"/>
          <w:color w:val="000000"/>
        </w:rPr>
        <w:t xml:space="preserve">Divisions were considered redundant by </w:t>
      </w:r>
      <w:r w:rsidRPr="00094549">
        <w:rPr>
          <w:rFonts w:ascii="Times New Roman" w:hAnsi="Times New Roman" w:cs="Times New Roman"/>
        </w:rPr>
        <w:t xml:space="preserve">the Bengal Administration Inquiry Committee (1944-45) the Administrative and Services Reorganization Committee instituted in 1972, and the Committee for Administrative Reorganization/Reform of 1982 </w:t>
      </w:r>
      <w:r>
        <w:rPr>
          <w:rFonts w:ascii="Times New Roman" w:hAnsi="Times New Roman" w:cs="Times New Roman"/>
        </w:rPr>
        <w:t>(</w:t>
      </w:r>
      <w:proofErr w:type="spellStart"/>
      <w:r>
        <w:rPr>
          <w:rFonts w:ascii="Times New Roman" w:hAnsi="Times New Roman" w:cs="Times New Roman"/>
        </w:rPr>
        <w:t>Wahhab</w:t>
      </w:r>
      <w:proofErr w:type="spellEnd"/>
      <w:r>
        <w:rPr>
          <w:rFonts w:ascii="Times New Roman" w:hAnsi="Times New Roman" w:cs="Times New Roman"/>
        </w:rPr>
        <w:t xml:space="preserve"> 2002)</w:t>
      </w:r>
    </w:p>
    <w:p w:rsidR="00B062FB" w:rsidRPr="005B08E3" w:rsidRDefault="00B062FB" w:rsidP="00B062FB">
      <w:pPr>
        <w:pStyle w:val="ListParagraph"/>
        <w:numPr>
          <w:ilvl w:val="0"/>
          <w:numId w:val="7"/>
        </w:numPr>
        <w:shd w:val="clear" w:color="auto" w:fill="FFFFFF"/>
        <w:spacing w:before="0" w:after="0" w:line="276" w:lineRule="auto"/>
        <w:contextualSpacing w:val="0"/>
        <w:rPr>
          <w:rFonts w:ascii="Times New Roman" w:eastAsia="Times New Roman" w:hAnsi="Times New Roman" w:cs="Times New Roman"/>
          <w:color w:val="000000"/>
        </w:rPr>
      </w:pPr>
      <w:r>
        <w:rPr>
          <w:rFonts w:ascii="Times New Roman" w:hAnsi="Times New Roman" w:cs="Times New Roman"/>
        </w:rPr>
        <w:t>Power sharing between center and provinces would be determined by agreed allocation of subjects</w:t>
      </w:r>
    </w:p>
    <w:p w:rsidR="00B062FB" w:rsidRPr="006E42EF" w:rsidRDefault="00B062FB" w:rsidP="00B062FB">
      <w:pPr>
        <w:pStyle w:val="ListParagraph"/>
        <w:numPr>
          <w:ilvl w:val="0"/>
          <w:numId w:val="7"/>
        </w:numPr>
        <w:shd w:val="clear" w:color="auto" w:fill="FFFFFF"/>
        <w:spacing w:before="0" w:after="0" w:line="276" w:lineRule="auto"/>
        <w:contextualSpacing w:val="0"/>
        <w:rPr>
          <w:rFonts w:ascii="Times New Roman" w:eastAsia="Times New Roman" w:hAnsi="Times New Roman" w:cs="Times New Roman"/>
          <w:color w:val="000000"/>
        </w:rPr>
      </w:pPr>
      <w:r>
        <w:rPr>
          <w:rFonts w:ascii="Times New Roman" w:hAnsi="Times New Roman" w:cs="Times New Roman"/>
        </w:rPr>
        <w:t xml:space="preserve">Provinces will have the power </w:t>
      </w:r>
      <w:r w:rsidRPr="00374AB5">
        <w:rPr>
          <w:rFonts w:ascii="Times New Roman" w:hAnsi="Times New Roman" w:cs="Times New Roman"/>
        </w:rPr>
        <w:t>to impose taxes to finance the provincial subjects</w:t>
      </w:r>
    </w:p>
    <w:p w:rsidR="00B062FB" w:rsidRPr="006572EF" w:rsidRDefault="00B062FB" w:rsidP="00B062FB">
      <w:pPr>
        <w:pStyle w:val="ListParagraph"/>
        <w:numPr>
          <w:ilvl w:val="0"/>
          <w:numId w:val="7"/>
        </w:numPr>
        <w:shd w:val="clear" w:color="auto" w:fill="FFFFFF"/>
        <w:spacing w:before="0" w:after="0" w:line="276" w:lineRule="auto"/>
        <w:contextualSpacing w:val="0"/>
        <w:rPr>
          <w:rFonts w:ascii="Times New Roman" w:eastAsia="Times New Roman" w:hAnsi="Times New Roman" w:cs="Times New Roman"/>
          <w:color w:val="000000"/>
        </w:rPr>
      </w:pPr>
      <w:r>
        <w:rPr>
          <w:rFonts w:ascii="Times New Roman" w:hAnsi="Times New Roman" w:cs="Times New Roman"/>
        </w:rPr>
        <w:t>Center will have the</w:t>
      </w:r>
      <w:r w:rsidRPr="00374AB5">
        <w:rPr>
          <w:rFonts w:ascii="Times New Roman" w:hAnsi="Times New Roman" w:cs="Times New Roman"/>
        </w:rPr>
        <w:t xml:space="preserve"> power to impose taxes to run the central subjects</w:t>
      </w:r>
      <w:r>
        <w:rPr>
          <w:rFonts w:ascii="Times New Roman" w:hAnsi="Times New Roman" w:cs="Times New Roman"/>
        </w:rPr>
        <w:t xml:space="preserve"> </w:t>
      </w:r>
    </w:p>
    <w:p w:rsidR="00B062FB" w:rsidRPr="00A06DB1" w:rsidRDefault="00B062FB" w:rsidP="00B062FB">
      <w:pPr>
        <w:pStyle w:val="ListParagraph"/>
        <w:numPr>
          <w:ilvl w:val="0"/>
          <w:numId w:val="7"/>
        </w:numPr>
        <w:shd w:val="clear" w:color="auto" w:fill="FFFFFF"/>
        <w:spacing w:before="0" w:after="0" w:line="276" w:lineRule="auto"/>
        <w:contextualSpacing w:val="0"/>
        <w:rPr>
          <w:rFonts w:ascii="Times New Roman" w:eastAsia="Times New Roman" w:hAnsi="Times New Roman" w:cs="Times New Roman"/>
          <w:color w:val="000000"/>
        </w:rPr>
      </w:pPr>
      <w:r>
        <w:rPr>
          <w:rFonts w:ascii="Times New Roman" w:hAnsi="Times New Roman" w:cs="Times New Roman"/>
        </w:rPr>
        <w:t>P</w:t>
      </w:r>
      <w:r w:rsidRPr="00A06DB1">
        <w:rPr>
          <w:rFonts w:ascii="Times New Roman" w:hAnsi="Times New Roman" w:cs="Times New Roman"/>
        </w:rPr>
        <w:t xml:space="preserve">rovincial government </w:t>
      </w:r>
      <w:r>
        <w:rPr>
          <w:rFonts w:ascii="Times New Roman" w:hAnsi="Times New Roman" w:cs="Times New Roman"/>
        </w:rPr>
        <w:t>will have a Governor elected by the unicameral provincial assembly</w:t>
      </w:r>
      <w:r w:rsidRPr="00A06DB1">
        <w:rPr>
          <w:rFonts w:ascii="Times New Roman" w:hAnsi="Times New Roman" w:cs="Times New Roman"/>
        </w:rPr>
        <w:t xml:space="preserve"> and </w:t>
      </w:r>
      <w:r>
        <w:rPr>
          <w:rFonts w:ascii="Times New Roman" w:hAnsi="Times New Roman" w:cs="Times New Roman"/>
        </w:rPr>
        <w:t xml:space="preserve">likewise an elected cabinet </w:t>
      </w:r>
      <w:r w:rsidRPr="00A06DB1">
        <w:rPr>
          <w:rFonts w:ascii="Times New Roman" w:hAnsi="Times New Roman" w:cs="Times New Roman"/>
        </w:rPr>
        <w:t xml:space="preserve">headed by a Chief Minister. </w:t>
      </w:r>
    </w:p>
    <w:p w:rsidR="00B062FB" w:rsidRPr="006572EF" w:rsidRDefault="00B062FB" w:rsidP="00B062FB">
      <w:pPr>
        <w:pStyle w:val="ListParagraph"/>
        <w:numPr>
          <w:ilvl w:val="0"/>
          <w:numId w:val="7"/>
        </w:numPr>
        <w:shd w:val="clear" w:color="auto" w:fill="FFFFFF"/>
        <w:spacing w:before="0" w:after="0" w:line="276" w:lineRule="auto"/>
        <w:contextualSpacing w:val="0"/>
        <w:rPr>
          <w:rFonts w:ascii="Times New Roman" w:eastAsia="Times New Roman" w:hAnsi="Times New Roman" w:cs="Times New Roman"/>
          <w:color w:val="000000"/>
        </w:rPr>
      </w:pPr>
      <w:r>
        <w:rPr>
          <w:rFonts w:ascii="Times New Roman" w:eastAsia="Times New Roman" w:hAnsi="Times New Roman" w:cs="Times New Roman"/>
          <w:color w:val="000000"/>
        </w:rPr>
        <w:t>The central legislature will be bicameral.</w:t>
      </w:r>
    </w:p>
    <w:p w:rsidR="00B062FB" w:rsidRDefault="00B062FB" w:rsidP="00B062FB">
      <w:pPr>
        <w:pStyle w:val="ListParagraph"/>
        <w:numPr>
          <w:ilvl w:val="0"/>
          <w:numId w:val="8"/>
        </w:numPr>
        <w:shd w:val="clear" w:color="auto" w:fill="FFFFFF"/>
        <w:spacing w:before="0" w:after="0" w:line="276" w:lineRule="auto"/>
        <w:ind w:left="1080"/>
        <w:contextualSpacing w:val="0"/>
        <w:rPr>
          <w:rFonts w:ascii="Times New Roman" w:hAnsi="Times New Roman" w:cs="Times New Roman"/>
        </w:rPr>
      </w:pPr>
      <w:r w:rsidRPr="00374AB5">
        <w:rPr>
          <w:rFonts w:ascii="Times New Roman" w:hAnsi="Times New Roman" w:cs="Times New Roman"/>
        </w:rPr>
        <w:t>Rural local government – four tiers</w:t>
      </w:r>
    </w:p>
    <w:p w:rsidR="00B062FB" w:rsidRDefault="00B062FB" w:rsidP="00B062FB">
      <w:pPr>
        <w:pStyle w:val="ListParagraph"/>
        <w:numPr>
          <w:ilvl w:val="1"/>
          <w:numId w:val="8"/>
        </w:numPr>
        <w:shd w:val="clear" w:color="auto" w:fill="FFFFFF"/>
        <w:spacing w:before="0" w:after="0" w:line="276" w:lineRule="auto"/>
        <w:contextualSpacing w:val="0"/>
        <w:rPr>
          <w:rFonts w:ascii="Times New Roman" w:hAnsi="Times New Roman" w:cs="Times New Roman"/>
        </w:rPr>
      </w:pPr>
      <w:r>
        <w:rPr>
          <w:rFonts w:ascii="Times New Roman" w:hAnsi="Times New Roman" w:cs="Times New Roman"/>
        </w:rPr>
        <w:t>Gram Sarkar</w:t>
      </w:r>
    </w:p>
    <w:p w:rsidR="00B062FB" w:rsidRDefault="00B062FB" w:rsidP="00B062FB">
      <w:pPr>
        <w:pStyle w:val="ListParagraph"/>
        <w:numPr>
          <w:ilvl w:val="1"/>
          <w:numId w:val="8"/>
        </w:numPr>
        <w:shd w:val="clear" w:color="auto" w:fill="FFFFFF"/>
        <w:spacing w:before="0" w:after="0" w:line="276" w:lineRule="auto"/>
        <w:contextualSpacing w:val="0"/>
        <w:rPr>
          <w:rFonts w:ascii="Times New Roman" w:hAnsi="Times New Roman" w:cs="Times New Roman"/>
        </w:rPr>
      </w:pPr>
      <w:r>
        <w:rPr>
          <w:rFonts w:ascii="Times New Roman" w:hAnsi="Times New Roman" w:cs="Times New Roman"/>
        </w:rPr>
        <w:t>Union Parishad</w:t>
      </w:r>
    </w:p>
    <w:p w:rsidR="00B062FB" w:rsidRDefault="00B062FB" w:rsidP="00B062FB">
      <w:pPr>
        <w:pStyle w:val="ListParagraph"/>
        <w:numPr>
          <w:ilvl w:val="1"/>
          <w:numId w:val="8"/>
        </w:numPr>
        <w:shd w:val="clear" w:color="auto" w:fill="FFFFFF"/>
        <w:spacing w:before="0" w:after="0" w:line="276" w:lineRule="auto"/>
        <w:contextualSpacing w:val="0"/>
        <w:rPr>
          <w:rFonts w:ascii="Times New Roman" w:hAnsi="Times New Roman" w:cs="Times New Roman"/>
        </w:rPr>
      </w:pPr>
      <w:r>
        <w:rPr>
          <w:rFonts w:ascii="Times New Roman" w:hAnsi="Times New Roman" w:cs="Times New Roman"/>
        </w:rPr>
        <w:t xml:space="preserve">Upazila Parishad and </w:t>
      </w:r>
    </w:p>
    <w:p w:rsidR="00B062FB" w:rsidRDefault="00B062FB" w:rsidP="00B062FB">
      <w:pPr>
        <w:pStyle w:val="ListParagraph"/>
        <w:numPr>
          <w:ilvl w:val="1"/>
          <w:numId w:val="8"/>
        </w:numPr>
        <w:shd w:val="clear" w:color="auto" w:fill="FFFFFF"/>
        <w:spacing w:before="0" w:after="0" w:line="276" w:lineRule="auto"/>
        <w:contextualSpacing w:val="0"/>
        <w:rPr>
          <w:rFonts w:ascii="Times New Roman" w:hAnsi="Times New Roman" w:cs="Times New Roman"/>
        </w:rPr>
      </w:pPr>
      <w:r>
        <w:rPr>
          <w:rFonts w:ascii="Times New Roman" w:hAnsi="Times New Roman" w:cs="Times New Roman"/>
        </w:rPr>
        <w:t>Zila Parishad</w:t>
      </w:r>
    </w:p>
    <w:p w:rsidR="00B062FB" w:rsidRDefault="00B062FB" w:rsidP="00B062FB">
      <w:pPr>
        <w:pStyle w:val="ListParagraph"/>
        <w:numPr>
          <w:ilvl w:val="0"/>
          <w:numId w:val="8"/>
        </w:numPr>
        <w:shd w:val="clear" w:color="auto" w:fill="FFFFFF"/>
        <w:spacing w:before="0" w:after="0" w:line="276" w:lineRule="auto"/>
        <w:ind w:left="1166" w:hanging="446"/>
        <w:contextualSpacing w:val="0"/>
        <w:rPr>
          <w:rFonts w:ascii="Times New Roman" w:hAnsi="Times New Roman" w:cs="Times New Roman"/>
        </w:rPr>
      </w:pPr>
      <w:r>
        <w:rPr>
          <w:rFonts w:ascii="Times New Roman" w:hAnsi="Times New Roman" w:cs="Times New Roman"/>
        </w:rPr>
        <w:t>Urban local government</w:t>
      </w:r>
    </w:p>
    <w:p w:rsidR="00B062FB" w:rsidRPr="00B062FB" w:rsidRDefault="00B062FB" w:rsidP="00B062FB">
      <w:pPr>
        <w:pStyle w:val="ListParagraph"/>
        <w:numPr>
          <w:ilvl w:val="1"/>
          <w:numId w:val="8"/>
        </w:numPr>
        <w:shd w:val="clear" w:color="auto" w:fill="FFFFFF"/>
        <w:spacing w:before="0" w:after="0" w:line="276" w:lineRule="auto"/>
        <w:contextualSpacing w:val="0"/>
        <w:rPr>
          <w:rFonts w:ascii="Times New Roman" w:hAnsi="Times New Roman" w:cs="Times New Roman"/>
          <w:color w:val="151515"/>
        </w:rPr>
      </w:pPr>
      <w:r w:rsidRPr="0092046B">
        <w:rPr>
          <w:rFonts w:ascii="Times New Roman" w:hAnsi="Times New Roman" w:cs="Times New Roman"/>
        </w:rPr>
        <w:t>City corporations</w:t>
      </w:r>
    </w:p>
    <w:p w:rsidR="00B062FB" w:rsidRPr="00B062FB" w:rsidRDefault="00B062FB" w:rsidP="00B062FB">
      <w:pPr>
        <w:pStyle w:val="ListParagraph"/>
        <w:numPr>
          <w:ilvl w:val="1"/>
          <w:numId w:val="8"/>
        </w:numPr>
        <w:shd w:val="clear" w:color="auto" w:fill="FFFFFF"/>
        <w:spacing w:before="0" w:after="200" w:line="276" w:lineRule="auto"/>
        <w:contextualSpacing w:val="0"/>
        <w:rPr>
          <w:rFonts w:ascii="Times New Roman" w:hAnsi="Times New Roman" w:cs="Times New Roman"/>
          <w:color w:val="151515"/>
        </w:rPr>
      </w:pPr>
      <w:r w:rsidRPr="0092046B">
        <w:rPr>
          <w:rFonts w:ascii="Times New Roman" w:hAnsi="Times New Roman" w:cs="Times New Roman"/>
        </w:rPr>
        <w:t>Paurashavas</w:t>
      </w:r>
    </w:p>
    <w:p w:rsidR="009C47D7" w:rsidRDefault="009C47D7" w:rsidP="00F82A79">
      <w:pPr>
        <w:spacing w:before="0" w:after="200" w:line="276" w:lineRule="auto"/>
        <w:rPr>
          <w:b/>
          <w:color w:val="000000" w:themeColor="text1"/>
        </w:rPr>
      </w:pPr>
      <w:r>
        <w:rPr>
          <w:b/>
          <w:color w:val="000000" w:themeColor="text1"/>
        </w:rPr>
        <w:t>Capacity building</w:t>
      </w:r>
    </w:p>
    <w:p w:rsidR="009C47D7" w:rsidRDefault="009C47D7" w:rsidP="00F82A79">
      <w:pPr>
        <w:spacing w:before="0" w:after="200" w:line="276" w:lineRule="auto"/>
        <w:rPr>
          <w:color w:val="000000" w:themeColor="text1"/>
        </w:rPr>
      </w:pPr>
      <w:r>
        <w:rPr>
          <w:b/>
          <w:color w:val="000000" w:themeColor="text1"/>
        </w:rPr>
        <w:tab/>
      </w:r>
      <w:r>
        <w:rPr>
          <w:color w:val="000000" w:themeColor="text1"/>
        </w:rPr>
        <w:t>Gender empowerment</w:t>
      </w:r>
    </w:p>
    <w:p w:rsidR="00267A71" w:rsidRDefault="009C47D7" w:rsidP="00F82A79">
      <w:pPr>
        <w:spacing w:before="0" w:after="200" w:line="276" w:lineRule="auto"/>
        <w:rPr>
          <w:color w:val="000000" w:themeColor="text1"/>
        </w:rPr>
      </w:pPr>
      <w:r>
        <w:rPr>
          <w:color w:val="000000" w:themeColor="text1"/>
        </w:rPr>
        <w:t xml:space="preserve">Bangladesh belongs to the group of countries with very high gender discrimination </w:t>
      </w:r>
      <w:r w:rsidR="00267A71">
        <w:rPr>
          <w:color w:val="000000" w:themeColor="text1"/>
        </w:rPr>
        <w:t>despite</w:t>
      </w:r>
      <w:r>
        <w:rPr>
          <w:color w:val="000000" w:themeColor="text1"/>
        </w:rPr>
        <w:t xml:space="preserve"> the fact that its progress with female, literacy, health, family welfare and access to credit and industrial labor force participation and political leadership has been appreciated worldwide. Gender relations </w:t>
      </w:r>
      <w:r w:rsidR="00267A71">
        <w:rPr>
          <w:color w:val="000000" w:themeColor="text1"/>
        </w:rPr>
        <w:t>are</w:t>
      </w:r>
      <w:r>
        <w:rPr>
          <w:color w:val="000000" w:themeColor="text1"/>
        </w:rPr>
        <w:t xml:space="preserve"> cultural, historical, political, social racial, ethnic, religious </w:t>
      </w:r>
      <w:r w:rsidR="00267A71">
        <w:rPr>
          <w:color w:val="000000" w:themeColor="text1"/>
        </w:rPr>
        <w:t>and administrative values and biases and prejudices. Longer term mitigation must be set in motion to undo these noting that social progress takes time even after needed legislations have been enacted.</w:t>
      </w:r>
    </w:p>
    <w:p w:rsidR="00267A71" w:rsidRDefault="00267A71" w:rsidP="00F82A79">
      <w:pPr>
        <w:spacing w:before="0" w:after="200" w:line="276" w:lineRule="auto"/>
        <w:rPr>
          <w:color w:val="000000" w:themeColor="text1"/>
        </w:rPr>
      </w:pPr>
      <w:r>
        <w:rPr>
          <w:color w:val="000000" w:themeColor="text1"/>
        </w:rPr>
        <w:t>Strategies for gender empowerment will include, among others, the following:</w:t>
      </w:r>
    </w:p>
    <w:p w:rsidR="00267A71" w:rsidRPr="00267A71" w:rsidRDefault="00267A71" w:rsidP="00267A71">
      <w:pPr>
        <w:pStyle w:val="ListParagraph"/>
        <w:numPr>
          <w:ilvl w:val="0"/>
          <w:numId w:val="21"/>
        </w:numPr>
        <w:tabs>
          <w:tab w:val="left" w:pos="156"/>
        </w:tabs>
        <w:spacing w:before="0" w:after="0" w:line="276" w:lineRule="auto"/>
        <w:ind w:firstLine="0"/>
        <w:contextualSpacing w:val="0"/>
        <w:rPr>
          <w:rFonts w:ascii="Times New Roman" w:hAnsi="Times New Roman" w:cs="Times New Roman"/>
          <w:b/>
        </w:rPr>
      </w:pPr>
      <w:r w:rsidRPr="00267A71">
        <w:rPr>
          <w:rFonts w:ascii="Times New Roman" w:hAnsi="Times New Roman" w:cs="Times New Roman"/>
        </w:rPr>
        <w:t>Make planning and budget process gender sensitive at all levels</w:t>
      </w:r>
    </w:p>
    <w:p w:rsidR="00267A71" w:rsidRPr="00267A71" w:rsidRDefault="00267A71" w:rsidP="00267A71">
      <w:pPr>
        <w:pStyle w:val="ListParagraph"/>
        <w:numPr>
          <w:ilvl w:val="0"/>
          <w:numId w:val="21"/>
        </w:numPr>
        <w:tabs>
          <w:tab w:val="left" w:pos="156"/>
        </w:tabs>
        <w:spacing w:before="0" w:after="0" w:line="276" w:lineRule="auto"/>
        <w:ind w:firstLine="0"/>
        <w:contextualSpacing w:val="0"/>
        <w:rPr>
          <w:rFonts w:ascii="Times New Roman" w:hAnsi="Times New Roman" w:cs="Times New Roman"/>
          <w:b/>
        </w:rPr>
      </w:pPr>
      <w:r w:rsidRPr="00267A71">
        <w:rPr>
          <w:rFonts w:ascii="Times New Roman" w:hAnsi="Times New Roman" w:cs="Times New Roman"/>
        </w:rPr>
        <w:lastRenderedPageBreak/>
        <w:t>Promote female participation in the electoral process</w:t>
      </w:r>
    </w:p>
    <w:p w:rsidR="00267A71" w:rsidRPr="00267A71" w:rsidRDefault="00267A71" w:rsidP="00267A71">
      <w:pPr>
        <w:pStyle w:val="ListParagraph"/>
        <w:numPr>
          <w:ilvl w:val="0"/>
          <w:numId w:val="21"/>
        </w:numPr>
        <w:tabs>
          <w:tab w:val="left" w:pos="156"/>
        </w:tabs>
        <w:spacing w:before="0" w:after="0" w:line="276" w:lineRule="auto"/>
        <w:ind w:firstLine="0"/>
        <w:contextualSpacing w:val="0"/>
        <w:rPr>
          <w:rFonts w:ascii="Times New Roman" w:hAnsi="Times New Roman" w:cs="Times New Roman"/>
          <w:b/>
        </w:rPr>
      </w:pPr>
      <w:r w:rsidRPr="00267A71">
        <w:rPr>
          <w:rFonts w:ascii="Times New Roman" w:hAnsi="Times New Roman" w:cs="Times New Roman"/>
        </w:rPr>
        <w:t>Strengthening gender-sensitive legislative, regulatory and institutional framework</w:t>
      </w:r>
    </w:p>
    <w:p w:rsidR="00267A71" w:rsidRPr="00267A71" w:rsidRDefault="00267A71" w:rsidP="00267A71">
      <w:pPr>
        <w:pStyle w:val="ListParagraph"/>
        <w:numPr>
          <w:ilvl w:val="0"/>
          <w:numId w:val="21"/>
        </w:numPr>
        <w:tabs>
          <w:tab w:val="left" w:pos="156"/>
        </w:tabs>
        <w:spacing w:before="0" w:after="0" w:line="276" w:lineRule="auto"/>
        <w:ind w:firstLine="0"/>
        <w:contextualSpacing w:val="0"/>
        <w:rPr>
          <w:rFonts w:ascii="Times New Roman" w:hAnsi="Times New Roman" w:cs="Times New Roman"/>
          <w:b/>
        </w:rPr>
      </w:pPr>
      <w:r w:rsidRPr="00267A71">
        <w:rPr>
          <w:rFonts w:ascii="Times New Roman" w:hAnsi="Times New Roman" w:cs="Times New Roman"/>
        </w:rPr>
        <w:t>Mainstreaming women in social and political institutions</w:t>
      </w:r>
    </w:p>
    <w:p w:rsidR="00267A71" w:rsidRPr="00267A71" w:rsidRDefault="00267A71" w:rsidP="00267A71">
      <w:pPr>
        <w:pStyle w:val="ListParagraph"/>
        <w:numPr>
          <w:ilvl w:val="0"/>
          <w:numId w:val="21"/>
        </w:numPr>
        <w:tabs>
          <w:tab w:val="left" w:pos="156"/>
        </w:tabs>
        <w:spacing w:before="0" w:after="0" w:line="276" w:lineRule="auto"/>
        <w:ind w:firstLine="0"/>
        <w:contextualSpacing w:val="0"/>
        <w:rPr>
          <w:rFonts w:ascii="Times New Roman" w:hAnsi="Times New Roman" w:cs="Times New Roman"/>
          <w:b/>
        </w:rPr>
      </w:pPr>
      <w:r w:rsidRPr="00267A71">
        <w:rPr>
          <w:rFonts w:ascii="Times New Roman" w:hAnsi="Times New Roman" w:cs="Times New Roman"/>
        </w:rPr>
        <w:t>Increasing and including women’s voice at all public for a</w:t>
      </w:r>
    </w:p>
    <w:p w:rsidR="00267A71" w:rsidRPr="00267A71" w:rsidRDefault="00267A71" w:rsidP="00267A71">
      <w:pPr>
        <w:pStyle w:val="ListParagraph"/>
        <w:numPr>
          <w:ilvl w:val="0"/>
          <w:numId w:val="21"/>
        </w:numPr>
        <w:tabs>
          <w:tab w:val="left" w:pos="156"/>
        </w:tabs>
        <w:spacing w:before="0" w:after="0" w:line="276" w:lineRule="auto"/>
        <w:ind w:firstLine="0"/>
        <w:contextualSpacing w:val="0"/>
        <w:rPr>
          <w:rFonts w:ascii="Times New Roman" w:hAnsi="Times New Roman" w:cs="Times New Roman"/>
          <w:b/>
        </w:rPr>
      </w:pPr>
      <w:r w:rsidRPr="00267A71">
        <w:rPr>
          <w:rFonts w:ascii="Times New Roman" w:hAnsi="Times New Roman" w:cs="Times New Roman"/>
        </w:rPr>
        <w:t>Securing women’s land and property rights</w:t>
      </w:r>
    </w:p>
    <w:p w:rsidR="009C47D7" w:rsidRPr="00267A71" w:rsidRDefault="00267A71" w:rsidP="00267A71">
      <w:pPr>
        <w:pStyle w:val="ListParagraph"/>
        <w:numPr>
          <w:ilvl w:val="0"/>
          <w:numId w:val="21"/>
        </w:numPr>
        <w:tabs>
          <w:tab w:val="left" w:pos="156"/>
        </w:tabs>
        <w:spacing w:before="0" w:after="200" w:line="276" w:lineRule="auto"/>
        <w:ind w:firstLine="0"/>
        <w:contextualSpacing w:val="0"/>
        <w:rPr>
          <w:rFonts w:ascii="Times New Roman" w:hAnsi="Times New Roman" w:cs="Times New Roman"/>
          <w:b/>
        </w:rPr>
      </w:pPr>
      <w:r w:rsidRPr="00267A71">
        <w:rPr>
          <w:rFonts w:ascii="Times New Roman" w:hAnsi="Times New Roman" w:cs="Times New Roman"/>
        </w:rPr>
        <w:t>Training and skill development</w:t>
      </w:r>
      <w:r w:rsidRPr="00267A71">
        <w:rPr>
          <w:color w:val="000000" w:themeColor="text1"/>
        </w:rPr>
        <w:t xml:space="preserve"> </w:t>
      </w:r>
      <w:r w:rsidR="009C47D7" w:rsidRPr="00267A71">
        <w:rPr>
          <w:color w:val="000000" w:themeColor="text1"/>
        </w:rPr>
        <w:t xml:space="preserve"> </w:t>
      </w:r>
    </w:p>
    <w:p w:rsidR="00E80AE9" w:rsidRPr="00267A71" w:rsidRDefault="00E80AE9" w:rsidP="00267A71">
      <w:pPr>
        <w:spacing w:before="0" w:after="200" w:line="276" w:lineRule="auto"/>
        <w:ind w:left="720"/>
        <w:rPr>
          <w:color w:val="000000" w:themeColor="text1"/>
        </w:rPr>
      </w:pPr>
      <w:r w:rsidRPr="00267A71">
        <w:rPr>
          <w:color w:val="000000" w:themeColor="text1"/>
        </w:rPr>
        <w:t>Legislature</w:t>
      </w:r>
    </w:p>
    <w:p w:rsidR="00E80AE9" w:rsidRDefault="00E80AE9" w:rsidP="00F82A79">
      <w:pPr>
        <w:spacing w:before="0" w:after="200" w:line="276" w:lineRule="auto"/>
      </w:pPr>
      <w:r w:rsidRPr="00E80AE9">
        <w:t>The challenge is to change the culture of chaos in the name of parliamentary proceedings. Over past decade, the parliament as a decision-making body has become almost dysfunctional with a culture of boycott dominating the landscape since 1991. The parliament is often completely dominated by one major political party or the other with one sided legislation and amendments to the constitution being the order of the day while the rather ineffective opposition makes it more ineffective by boycotting parliamentary proceedings.</w:t>
      </w:r>
    </w:p>
    <w:p w:rsidR="00281D61" w:rsidRPr="00327F62" w:rsidRDefault="008502BF" w:rsidP="00F82A79">
      <w:pPr>
        <w:spacing w:before="0" w:after="200" w:line="276" w:lineRule="auto"/>
      </w:pPr>
      <w:r>
        <w:rPr>
          <w:b/>
        </w:rPr>
        <w:t>Short to medium-term u</w:t>
      </w:r>
      <w:r w:rsidRPr="00757FFA">
        <w:rPr>
          <w:b/>
        </w:rPr>
        <w:t xml:space="preserve">p to 2030: </w:t>
      </w:r>
      <w:r w:rsidR="00281D61" w:rsidRPr="00281D61">
        <w:t>Establishing</w:t>
      </w:r>
      <w:r w:rsidR="00281D61" w:rsidRPr="00281D61">
        <w:rPr>
          <w:b/>
        </w:rPr>
        <w:t xml:space="preserve"> </w:t>
      </w:r>
      <w:r w:rsidR="00281D61" w:rsidRPr="00281D61">
        <w:t>Well-functioning legislature with diversity of interests represented paving the way for achieving the national target of developed Bangladesh by 2041 ruled by law, peaceful and tolerant and free of abusive corruption</w:t>
      </w:r>
      <w:r w:rsidR="00281D61">
        <w:t xml:space="preserve"> through </w:t>
      </w:r>
      <w:r w:rsidR="00971A3E">
        <w:t>(</w:t>
      </w:r>
      <w:proofErr w:type="spellStart"/>
      <w:r w:rsidR="00971A3E">
        <w:t>i</w:t>
      </w:r>
      <w:proofErr w:type="spellEnd"/>
      <w:r w:rsidR="00971A3E">
        <w:t>) e</w:t>
      </w:r>
      <w:r w:rsidR="00971A3E" w:rsidRPr="00EA3203">
        <w:t>stablish</w:t>
      </w:r>
      <w:r w:rsidR="00971A3E">
        <w:t>ment of</w:t>
      </w:r>
      <w:r w:rsidR="00971A3E" w:rsidRPr="00EA3203">
        <w:t xml:space="preserve"> bicameral legislature at the center</w:t>
      </w:r>
      <w:r w:rsidR="00971A3E">
        <w:t>, (ii) d</w:t>
      </w:r>
      <w:r w:rsidR="00971A3E" w:rsidRPr="00EA3203">
        <w:t>evelop</w:t>
      </w:r>
      <w:r w:rsidR="00971A3E">
        <w:t>ment of</w:t>
      </w:r>
      <w:r w:rsidR="00971A3E" w:rsidRPr="00EA3203">
        <w:t xml:space="preserve"> political consensus on the functioning of the legislature</w:t>
      </w:r>
      <w:r w:rsidR="00971A3E">
        <w:t>, (iii) s</w:t>
      </w:r>
      <w:r w:rsidR="00971A3E" w:rsidRPr="00EA3203">
        <w:t>trengthen</w:t>
      </w:r>
      <w:r w:rsidR="00971A3E">
        <w:t>ing</w:t>
      </w:r>
      <w:r w:rsidR="00971A3E" w:rsidRPr="00EA3203">
        <w:t xml:space="preserve"> </w:t>
      </w:r>
      <w:r w:rsidR="00971A3E">
        <w:t xml:space="preserve">of </w:t>
      </w:r>
      <w:r w:rsidR="00971A3E" w:rsidRPr="00EA3203">
        <w:t xml:space="preserve">legislature through finance, infrastructure, technology, human resources including </w:t>
      </w:r>
      <w:r w:rsidR="00971A3E">
        <w:t xml:space="preserve">upgrading of skills of </w:t>
      </w:r>
      <w:r w:rsidR="00971A3E" w:rsidRPr="00EA3203">
        <w:t>legislators and research and monitoring</w:t>
      </w:r>
      <w:r w:rsidR="00971A3E">
        <w:t>, (iv) e</w:t>
      </w:r>
      <w:r w:rsidR="00971A3E" w:rsidRPr="00EA3203">
        <w:t>stablish</w:t>
      </w:r>
      <w:r w:rsidR="00971A3E">
        <w:t>ment of</w:t>
      </w:r>
      <w:r w:rsidR="00971A3E" w:rsidRPr="00EA3203">
        <w:t xml:space="preserve"> strategic, organizational &amp; operational planning and accountability system and outcome </w:t>
      </w:r>
      <w:r w:rsidR="00971A3E" w:rsidRPr="00327F62">
        <w:t>measurement, and (v) establishment of a system for internal operations and management (administrative, financial and human resources, facility, quality assurance, technology and risks)</w:t>
      </w:r>
      <w:r w:rsidR="000D676C" w:rsidRPr="00327F62">
        <w:t>.</w:t>
      </w:r>
    </w:p>
    <w:p w:rsidR="000D676C" w:rsidRPr="00327F62" w:rsidRDefault="008502BF" w:rsidP="00F82A79">
      <w:pPr>
        <w:spacing w:before="0" w:after="200" w:line="276" w:lineRule="auto"/>
        <w:rPr>
          <w:color w:val="000000" w:themeColor="text1"/>
        </w:rPr>
      </w:pPr>
      <w:r>
        <w:rPr>
          <w:b/>
        </w:rPr>
        <w:t>Longer-term u</w:t>
      </w:r>
      <w:r w:rsidR="000D676C" w:rsidRPr="00327F62">
        <w:rPr>
          <w:b/>
        </w:rPr>
        <w:t>p to 2041:</w:t>
      </w:r>
      <w:r w:rsidR="000D676C" w:rsidRPr="00327F62">
        <w:t xml:space="preserve"> Continuation of the above. </w:t>
      </w:r>
    </w:p>
    <w:p w:rsidR="005508E4" w:rsidRPr="00E35393" w:rsidRDefault="005508E4" w:rsidP="00E35393">
      <w:pPr>
        <w:spacing w:before="0" w:after="200" w:line="276" w:lineRule="auto"/>
        <w:ind w:left="720"/>
        <w:rPr>
          <w:color w:val="000000" w:themeColor="text1"/>
        </w:rPr>
      </w:pPr>
      <w:r w:rsidRPr="00E35393">
        <w:rPr>
          <w:color w:val="000000" w:themeColor="text1"/>
        </w:rPr>
        <w:t>The Judiciary</w:t>
      </w:r>
      <w:r w:rsidR="00327F62" w:rsidRPr="00E35393">
        <w:rPr>
          <w:color w:val="000000" w:themeColor="text1"/>
        </w:rPr>
        <w:t xml:space="preserve"> </w:t>
      </w:r>
    </w:p>
    <w:p w:rsidR="00327F62" w:rsidRPr="00887556" w:rsidRDefault="00327F62" w:rsidP="00F82A79">
      <w:pPr>
        <w:spacing w:before="0" w:after="200" w:line="276" w:lineRule="auto"/>
      </w:pPr>
      <w:r w:rsidRPr="00327F62">
        <w:t xml:space="preserve">There is an eternal search for independent, separate, effective, efficient, just, impartial, corruption-free, a political and victim-friendly judiciary all over the world Bangladesh </w:t>
      </w:r>
      <w:r w:rsidRPr="00887556">
        <w:t xml:space="preserve">included. </w:t>
      </w:r>
      <w:r w:rsidR="00D40940">
        <w:t xml:space="preserve">This is Bangladesh’s perspective for 2041. </w:t>
      </w:r>
      <w:r w:rsidRPr="00887556">
        <w:t>Challenges are case overload, quality of people, poor incentive, litigating public, political influence, corruption, poor legal education and capacity.</w:t>
      </w:r>
    </w:p>
    <w:p w:rsidR="00D40940" w:rsidRDefault="008502BF" w:rsidP="00F82A79">
      <w:pPr>
        <w:spacing w:before="0" w:after="200" w:line="276" w:lineRule="auto"/>
      </w:pPr>
      <w:r>
        <w:rPr>
          <w:b/>
        </w:rPr>
        <w:t>Short to medium-term u</w:t>
      </w:r>
      <w:r w:rsidRPr="00757FFA">
        <w:rPr>
          <w:b/>
        </w:rPr>
        <w:t>p to 2030:</w:t>
      </w:r>
      <w:r w:rsidR="00887556">
        <w:rPr>
          <w:b/>
        </w:rPr>
        <w:t xml:space="preserve"> </w:t>
      </w:r>
      <w:r w:rsidR="00887556" w:rsidRPr="00887556">
        <w:t xml:space="preserve">An independent commission may review the macro environment of the judicial system and its operation in Bangladesh with a view to providing a road map for promoting its independence, integrity, efficiency and accountability and ensuring complete separation of power of the judiciary and the executive so that the pluralistic democracy can function and thrive in Bangladesh upholding democratic principles no matter what. In the meanwhile, note should be taken of and followed what the Constitution of Bangladesh provides for independence of judiciary under Articles 7, 35(3) and 116A of Part VI that deals with </w:t>
      </w:r>
      <w:r w:rsidR="00887556" w:rsidRPr="00887556">
        <w:lastRenderedPageBreak/>
        <w:t>judiciary and for the separation of judiciary in Articles 22, 95 (1), 107, 113, 115 and 116. The action taken by the caretaker government to institutionalize separation of power in 2007 has to be upheld.</w:t>
      </w:r>
      <w:r w:rsidR="00420097">
        <w:t xml:space="preserve"> All governments of Bangladesh must do away with their ambivalent attitude towards independence of judiciary trying to muzzle it by constitutional </w:t>
      </w:r>
      <w:r w:rsidR="00420097" w:rsidRPr="00420097">
        <w:t>amendments (the much discussed 16</w:t>
      </w:r>
      <w:r w:rsidR="00420097" w:rsidRPr="00420097">
        <w:rPr>
          <w:vertAlign w:val="superscript"/>
        </w:rPr>
        <w:t>th</w:t>
      </w:r>
      <w:r w:rsidR="00420097" w:rsidRPr="00420097">
        <w:t xml:space="preserve"> amendment giving the Parliament power to dismiss judges under certain conditions). There has to be a strategic shift in this regard recognizing that true independence of the judiciary and separation of judiciary hinge on the government’s willingness to accommodate changes as many in the government see it as curtailment of their own power, hence the reluctance to reform and temptation to interfere.</w:t>
      </w:r>
      <w:r w:rsidR="00420097">
        <w:t xml:space="preserve"> On the side of institutional development, in order for the judiciary to function as </w:t>
      </w:r>
      <w:r w:rsidR="00420097" w:rsidRPr="00327F62">
        <w:t>independent, separate, effect</w:t>
      </w:r>
      <w:r w:rsidR="00420097">
        <w:t>ive, efficient, just, impartial and</w:t>
      </w:r>
      <w:r w:rsidR="00420097" w:rsidRPr="00327F62">
        <w:t xml:space="preserve"> corruption-free</w:t>
      </w:r>
      <w:r w:rsidR="00420097">
        <w:t>, the judicial institution has to be strengthened</w:t>
      </w:r>
      <w:r w:rsidR="00D40940">
        <w:t xml:space="preserve"> through finance, infrastructure, technology, manpower and research and monitoring.</w:t>
      </w:r>
    </w:p>
    <w:p w:rsidR="00887556" w:rsidRPr="005508E4" w:rsidRDefault="008502BF" w:rsidP="00F82A79">
      <w:pPr>
        <w:spacing w:before="0" w:after="200" w:line="276" w:lineRule="auto"/>
        <w:jc w:val="both"/>
        <w:rPr>
          <w:b/>
          <w:color w:val="000000" w:themeColor="text1"/>
        </w:rPr>
      </w:pPr>
      <w:r>
        <w:rPr>
          <w:b/>
        </w:rPr>
        <w:t>Longer-term u</w:t>
      </w:r>
      <w:r w:rsidR="00D40940" w:rsidRPr="00327F62">
        <w:rPr>
          <w:b/>
        </w:rPr>
        <w:t>p to 2041:</w:t>
      </w:r>
      <w:r w:rsidR="00D40940" w:rsidRPr="00327F62">
        <w:t xml:space="preserve"> </w:t>
      </w:r>
      <w:r w:rsidR="00D40940">
        <w:t xml:space="preserve">The judicial reform is a long process. The strategies recommended above has to be </w:t>
      </w:r>
      <w:r w:rsidR="00D40940" w:rsidRPr="005508E4">
        <w:t xml:space="preserve">continued up to 2041 and beyond with periodic review of progress and adjustments in strategies as required. </w:t>
      </w:r>
      <w:r w:rsidR="00420097" w:rsidRPr="005508E4">
        <w:t xml:space="preserve"> </w:t>
      </w:r>
    </w:p>
    <w:p w:rsidR="005508E4" w:rsidRPr="00E35393" w:rsidRDefault="005508E4" w:rsidP="00E35393">
      <w:pPr>
        <w:spacing w:before="0" w:after="200" w:line="276" w:lineRule="auto"/>
        <w:ind w:left="720"/>
        <w:rPr>
          <w:color w:val="000000" w:themeColor="text1"/>
        </w:rPr>
      </w:pPr>
      <w:r w:rsidRPr="00E35393">
        <w:rPr>
          <w:color w:val="000000" w:themeColor="text1"/>
        </w:rPr>
        <w:t>Bureaucracy</w:t>
      </w:r>
    </w:p>
    <w:p w:rsidR="005508E4" w:rsidRDefault="005508E4" w:rsidP="00F82A79">
      <w:pPr>
        <w:spacing w:before="0" w:after="200" w:line="276" w:lineRule="auto"/>
      </w:pPr>
      <w:r>
        <w:t>The challenge of bureaucracy in Bangladesh can be found in t</w:t>
      </w:r>
      <w:r w:rsidRPr="005508E4">
        <w:t>his</w:t>
      </w:r>
      <w:r>
        <w:t>,</w:t>
      </w:r>
      <w:r w:rsidRPr="005508E4">
        <w:t xml:space="preserve"> “The structure and working patterns of bureaucracy in Bangladesh are a legacy of British colonial rule, which impeded reform efforts after Independence and caused </w:t>
      </w:r>
      <w:r w:rsidR="00E35393" w:rsidRPr="005508E4">
        <w:t>politicization</w:t>
      </w:r>
      <w:r w:rsidRPr="005508E4">
        <w:t xml:space="preserve"> of the administration and governance. Civil-military elitisms reduced accountability of the administration, resulting in a dominating bureaucratic structure with corruption.” (Mollah 2011)</w:t>
      </w:r>
      <w:r w:rsidR="00C95629">
        <w:rPr>
          <w:rStyle w:val="FootnoteReference"/>
        </w:rPr>
        <w:footnoteReference w:id="18"/>
      </w:r>
      <w:r>
        <w:t xml:space="preserve">  </w:t>
      </w:r>
    </w:p>
    <w:p w:rsidR="0092046B" w:rsidRDefault="005508E4" w:rsidP="00B062FB">
      <w:pPr>
        <w:spacing w:before="0" w:after="200" w:line="276" w:lineRule="auto"/>
      </w:pPr>
      <w:r>
        <w:t xml:space="preserve">The bureaucracy </w:t>
      </w:r>
      <w:r w:rsidR="00C95629">
        <w:t>has to come out of its shell and open up to reform.</w:t>
      </w:r>
    </w:p>
    <w:p w:rsidR="00E35393" w:rsidRDefault="00E35393" w:rsidP="00E35393">
      <w:pPr>
        <w:spacing w:before="0" w:after="200" w:line="276" w:lineRule="auto"/>
      </w:pPr>
      <w:r w:rsidRPr="00E35393">
        <w:t>As for rule of law the twin challenges are corruption and institutional subversion of the rule of law.</w:t>
      </w:r>
    </w:p>
    <w:p w:rsidR="00E35393" w:rsidRDefault="005A3329" w:rsidP="00E35393">
      <w:pPr>
        <w:spacing w:before="0" w:after="200" w:line="276" w:lineRule="auto"/>
      </w:pPr>
      <w:r>
        <w:t xml:space="preserve">In order to establish a strong, reformed and independent bureaucracy </w:t>
      </w:r>
      <w:proofErr w:type="gramStart"/>
      <w:r>
        <w:t>a</w:t>
      </w:r>
      <w:proofErr w:type="gramEnd"/>
      <w:r>
        <w:t xml:space="preserve"> </w:t>
      </w:r>
      <w:proofErr w:type="spellStart"/>
      <w:r>
        <w:t>umber</w:t>
      </w:r>
      <w:proofErr w:type="spellEnd"/>
      <w:r>
        <w:t xml:space="preserve"> of strategies will have to be pursued:</w:t>
      </w:r>
    </w:p>
    <w:p w:rsidR="005A3329" w:rsidRPr="005A3329" w:rsidRDefault="005A3329" w:rsidP="005A3329">
      <w:pPr>
        <w:pStyle w:val="ListParagraph"/>
        <w:numPr>
          <w:ilvl w:val="0"/>
          <w:numId w:val="24"/>
        </w:numPr>
        <w:tabs>
          <w:tab w:val="left" w:pos="126"/>
        </w:tabs>
        <w:spacing w:before="0" w:after="0" w:line="276" w:lineRule="auto"/>
        <w:ind w:left="-58" w:firstLine="508"/>
        <w:rPr>
          <w:rFonts w:ascii="Times New Roman" w:hAnsi="Times New Roman" w:cs="Times New Roman"/>
          <w:b/>
        </w:rPr>
      </w:pPr>
      <w:r w:rsidRPr="005A3329">
        <w:rPr>
          <w:rFonts w:ascii="Times New Roman" w:hAnsi="Times New Roman" w:cs="Times New Roman"/>
        </w:rPr>
        <w:t>A Commission to look into civil service reform taking account of previous attempts</w:t>
      </w:r>
    </w:p>
    <w:p w:rsidR="005A3329" w:rsidRPr="005A3329" w:rsidRDefault="005A3329" w:rsidP="005A3329">
      <w:pPr>
        <w:pStyle w:val="ListParagraph"/>
        <w:numPr>
          <w:ilvl w:val="0"/>
          <w:numId w:val="24"/>
        </w:numPr>
        <w:tabs>
          <w:tab w:val="left" w:pos="126"/>
        </w:tabs>
        <w:spacing w:before="0" w:after="0" w:line="276" w:lineRule="auto"/>
        <w:ind w:left="-58" w:firstLine="508"/>
        <w:rPr>
          <w:rFonts w:ascii="Times New Roman" w:hAnsi="Times New Roman" w:cs="Times New Roman"/>
          <w:b/>
        </w:rPr>
      </w:pPr>
      <w:r w:rsidRPr="005A3329">
        <w:rPr>
          <w:rFonts w:ascii="Times New Roman" w:hAnsi="Times New Roman" w:cs="Times New Roman"/>
        </w:rPr>
        <w:t>A periodic Pay and Services Commission to keep the incentive framework up to date</w:t>
      </w:r>
    </w:p>
    <w:p w:rsidR="005A3329" w:rsidRPr="005A3329" w:rsidRDefault="005A3329" w:rsidP="005A3329">
      <w:pPr>
        <w:pStyle w:val="ListParagraph"/>
        <w:numPr>
          <w:ilvl w:val="0"/>
          <w:numId w:val="24"/>
        </w:numPr>
        <w:tabs>
          <w:tab w:val="left" w:pos="126"/>
        </w:tabs>
        <w:spacing w:before="0" w:after="0" w:line="276" w:lineRule="auto"/>
        <w:ind w:left="-58" w:firstLine="508"/>
        <w:rPr>
          <w:rFonts w:ascii="Times New Roman" w:hAnsi="Times New Roman" w:cs="Times New Roman"/>
          <w:b/>
        </w:rPr>
      </w:pPr>
      <w:r w:rsidRPr="005A3329">
        <w:rPr>
          <w:rFonts w:ascii="Times New Roman" w:hAnsi="Times New Roman" w:cs="Times New Roman"/>
        </w:rPr>
        <w:t>Politicians “Hands off bureaucracy”</w:t>
      </w:r>
    </w:p>
    <w:p w:rsidR="005A3329" w:rsidRPr="005A3329" w:rsidRDefault="005A3329" w:rsidP="005A3329">
      <w:pPr>
        <w:pStyle w:val="ListParagraph"/>
        <w:numPr>
          <w:ilvl w:val="0"/>
          <w:numId w:val="24"/>
        </w:numPr>
        <w:tabs>
          <w:tab w:val="left" w:pos="126"/>
        </w:tabs>
        <w:spacing w:before="0" w:after="0" w:line="276" w:lineRule="auto"/>
        <w:ind w:left="720" w:hanging="270"/>
        <w:rPr>
          <w:rFonts w:ascii="Times New Roman" w:hAnsi="Times New Roman" w:cs="Times New Roman"/>
          <w:b/>
        </w:rPr>
      </w:pPr>
      <w:r w:rsidRPr="005A3329">
        <w:rPr>
          <w:rFonts w:ascii="Times New Roman" w:hAnsi="Times New Roman" w:cs="Times New Roman"/>
        </w:rPr>
        <w:t xml:space="preserve"> Strengthen the civil service institution through finance, infrastructure, technology, manpower and research and monitoring</w:t>
      </w:r>
    </w:p>
    <w:p w:rsidR="005A3329" w:rsidRPr="005A3329" w:rsidRDefault="005A3329" w:rsidP="005A3329">
      <w:pPr>
        <w:pStyle w:val="ListParagraph"/>
        <w:numPr>
          <w:ilvl w:val="0"/>
          <w:numId w:val="24"/>
        </w:numPr>
        <w:tabs>
          <w:tab w:val="left" w:pos="126"/>
        </w:tabs>
        <w:spacing w:before="0" w:after="200" w:line="276" w:lineRule="auto"/>
        <w:ind w:left="720" w:hanging="274"/>
        <w:contextualSpacing w:val="0"/>
        <w:rPr>
          <w:rFonts w:ascii="Times New Roman" w:hAnsi="Times New Roman" w:cs="Times New Roman"/>
          <w:b/>
        </w:rPr>
      </w:pPr>
      <w:r w:rsidRPr="005A3329">
        <w:rPr>
          <w:rFonts w:ascii="Times New Roman" w:hAnsi="Times New Roman" w:cs="Times New Roman"/>
        </w:rPr>
        <w:lastRenderedPageBreak/>
        <w:t>Strengthen law enforcement agencies, implement skill development and training program with emphasis on attitudinal approach to maintenance of law and order and enhance manpower</w:t>
      </w:r>
    </w:p>
    <w:p w:rsidR="005A3329" w:rsidRDefault="005A3329" w:rsidP="005A3329">
      <w:pPr>
        <w:spacing w:before="0" w:after="200" w:line="276" w:lineRule="auto"/>
        <w:ind w:left="446"/>
        <w:rPr>
          <w:color w:val="000000" w:themeColor="text1"/>
        </w:rPr>
      </w:pPr>
      <w:r>
        <w:rPr>
          <w:color w:val="000000" w:themeColor="text1"/>
        </w:rPr>
        <w:t>Political institutions</w:t>
      </w:r>
    </w:p>
    <w:p w:rsidR="005A3329" w:rsidRDefault="005A3329" w:rsidP="005A3329">
      <w:pPr>
        <w:spacing w:before="0" w:after="200" w:line="276" w:lineRule="auto"/>
      </w:pPr>
      <w:r w:rsidRPr="005A3329">
        <w:t>The challenge is to strengthen political institutions to steer the country along stable and inclusive development path in a sustainable way. The related challenge is to prod political parties to adhere to the principles of pluralistic democracy</w:t>
      </w:r>
      <w:r>
        <w:t>.</w:t>
      </w:r>
    </w:p>
    <w:p w:rsidR="005A3329" w:rsidRPr="00510D57" w:rsidRDefault="005A3329" w:rsidP="005A3329">
      <w:pPr>
        <w:spacing w:before="0" w:after="200" w:line="276" w:lineRule="auto"/>
        <w:rPr>
          <w:color w:val="000000" w:themeColor="text1"/>
        </w:rPr>
      </w:pPr>
      <w:r>
        <w:rPr>
          <w:color w:val="000000" w:themeColor="text1"/>
        </w:rPr>
        <w:t xml:space="preserve">Political parties have their own dynamics and they operate accordingly. Therefore, the </w:t>
      </w:r>
      <w:r w:rsidR="00510D57">
        <w:rPr>
          <w:color w:val="000000" w:themeColor="text1"/>
        </w:rPr>
        <w:t xml:space="preserve">felt need for reform and the content of reform has to come from within. It is difficult to dictate anything from </w:t>
      </w:r>
      <w:r w:rsidR="00510D57" w:rsidRPr="00510D57">
        <w:rPr>
          <w:color w:val="000000" w:themeColor="text1"/>
        </w:rPr>
        <w:t>outside except highlighting issues and engaging in constructive dialogue. Two simple recommendations are made here: (</w:t>
      </w:r>
      <w:proofErr w:type="spellStart"/>
      <w:r w:rsidR="00510D57" w:rsidRPr="00510D57">
        <w:rPr>
          <w:color w:val="000000" w:themeColor="text1"/>
        </w:rPr>
        <w:t>i</w:t>
      </w:r>
      <w:proofErr w:type="spellEnd"/>
      <w:r w:rsidR="00510D57" w:rsidRPr="00510D57">
        <w:rPr>
          <w:color w:val="000000" w:themeColor="text1"/>
        </w:rPr>
        <w:t xml:space="preserve">) review and revise party constitution as appropriate; (ii) establish </w:t>
      </w:r>
      <w:r w:rsidR="00510D57" w:rsidRPr="00510D57">
        <w:t>consultative bodies to seek members’ views on important issues.</w:t>
      </w:r>
      <w:r w:rsidR="00510D57">
        <w:rPr>
          <w:color w:val="000000" w:themeColor="text1"/>
        </w:rPr>
        <w:t xml:space="preserve"> The point is pluralistic democracy cannot be pursued in good faith, without true democracy within political parties.</w:t>
      </w:r>
      <w:r w:rsidR="00510D57" w:rsidRPr="00510D57">
        <w:rPr>
          <w:color w:val="000000" w:themeColor="text1"/>
        </w:rPr>
        <w:t xml:space="preserve"> </w:t>
      </w:r>
    </w:p>
    <w:p w:rsidR="005A3329" w:rsidRDefault="005A3329" w:rsidP="005A3329">
      <w:pPr>
        <w:spacing w:before="0" w:after="200" w:line="276" w:lineRule="auto"/>
        <w:ind w:left="446"/>
        <w:rPr>
          <w:color w:val="000000" w:themeColor="text1"/>
        </w:rPr>
      </w:pPr>
      <w:r>
        <w:rPr>
          <w:color w:val="000000" w:themeColor="text1"/>
        </w:rPr>
        <w:t>Social institutions</w:t>
      </w:r>
    </w:p>
    <w:p w:rsidR="00510D57" w:rsidRDefault="00510D57" w:rsidP="00510D57">
      <w:pPr>
        <w:spacing w:before="0" w:after="200" w:line="276" w:lineRule="auto"/>
      </w:pPr>
      <w:r w:rsidRPr="00510D57">
        <w:rPr>
          <w:color w:val="000000" w:themeColor="text1"/>
        </w:rPr>
        <w:t xml:space="preserve">Focus here is on civil society organizations (CSOs). </w:t>
      </w:r>
      <w:r w:rsidRPr="00510D57">
        <w:t>Challenges facing civil society organizations are: (</w:t>
      </w:r>
      <w:proofErr w:type="spellStart"/>
      <w:r w:rsidRPr="00510D57">
        <w:t>i</w:t>
      </w:r>
      <w:proofErr w:type="spellEnd"/>
      <w:r w:rsidRPr="00510D57">
        <w:t xml:space="preserve">) mutually suspicious and divisive relationship with the government; (ii) attempted excessive control by the government; (iii) political, administrative and financial repression; (iv) lack of financial independence, (v) foreign aid dependence; (vi) degeneration into contractor status; (vii) limited or no innovation; (viii) poor governance with lack of transparency, accountability and corruption; (ix) internal conflict and tension; (x) autocracy of the top; (xi) mixed quality of staff and personnel; (xii) fraud and lack of professionalism; (xiv) lack of matching skill; (xv) waning idealism; (xvi) unproductive competition and rivalry undermining the quality of services provided; (xvii) slow death of early optimism of alterative to public sector service delivery; (xix) no clear succession plan by the founder philosopher be it Yunus or Abed or Dr. Zafrullah Chowdhury or any other; </w:t>
      </w:r>
      <w:r w:rsidR="00C765EC">
        <w:t xml:space="preserve">and </w:t>
      </w:r>
      <w:r w:rsidRPr="00510D57">
        <w:t>(xx) personality cult</w:t>
      </w:r>
      <w:r w:rsidR="00C765EC">
        <w:t>.</w:t>
      </w:r>
    </w:p>
    <w:p w:rsidR="00C765EC" w:rsidRPr="00C765EC" w:rsidRDefault="00C765EC" w:rsidP="00510D57">
      <w:pPr>
        <w:spacing w:before="0" w:after="200" w:line="276" w:lineRule="auto"/>
      </w:pPr>
      <w:r w:rsidRPr="00C765EC">
        <w:t>Vision 2041 seeks to create an environment so that all CSOs in Bangladesh emerge as mature high quality broad-based operations with some as international best practice and all institutionalized under normal regulatory and business practices. To achieve this the following strategies are recommended:</w:t>
      </w:r>
    </w:p>
    <w:p w:rsidR="00C765EC" w:rsidRPr="00C765EC" w:rsidRDefault="00C765EC" w:rsidP="00C765EC">
      <w:pPr>
        <w:pStyle w:val="ListParagraph"/>
        <w:numPr>
          <w:ilvl w:val="0"/>
          <w:numId w:val="32"/>
        </w:numPr>
        <w:tabs>
          <w:tab w:val="left" w:pos="108"/>
        </w:tabs>
        <w:spacing w:before="0" w:after="0" w:line="276" w:lineRule="auto"/>
        <w:ind w:left="-29" w:firstLine="475"/>
        <w:contextualSpacing w:val="0"/>
        <w:rPr>
          <w:rFonts w:ascii="Times New Roman" w:hAnsi="Times New Roman" w:cs="Times New Roman"/>
          <w:b/>
        </w:rPr>
      </w:pPr>
      <w:r w:rsidRPr="00C765EC">
        <w:rPr>
          <w:rFonts w:ascii="Times New Roman" w:hAnsi="Times New Roman" w:cs="Times New Roman"/>
        </w:rPr>
        <w:t>Recognize freedom of association and operation</w:t>
      </w:r>
    </w:p>
    <w:p w:rsidR="00C765EC" w:rsidRPr="00C765EC" w:rsidRDefault="00C765EC" w:rsidP="00C765EC">
      <w:pPr>
        <w:pStyle w:val="ListParagraph"/>
        <w:numPr>
          <w:ilvl w:val="0"/>
          <w:numId w:val="32"/>
        </w:numPr>
        <w:tabs>
          <w:tab w:val="left" w:pos="108"/>
        </w:tabs>
        <w:spacing w:before="0" w:after="0" w:line="276" w:lineRule="auto"/>
        <w:ind w:left="-29" w:firstLine="475"/>
        <w:contextualSpacing w:val="0"/>
        <w:rPr>
          <w:rFonts w:ascii="Times New Roman" w:hAnsi="Times New Roman" w:cs="Times New Roman"/>
          <w:b/>
        </w:rPr>
      </w:pPr>
      <w:r w:rsidRPr="00C765EC">
        <w:rPr>
          <w:rFonts w:ascii="Times New Roman" w:hAnsi="Times New Roman" w:cs="Times New Roman"/>
        </w:rPr>
        <w:t xml:space="preserve"> Provide legal and regulatory framework</w:t>
      </w:r>
    </w:p>
    <w:p w:rsidR="00C765EC" w:rsidRPr="00C765EC" w:rsidRDefault="00C765EC" w:rsidP="00C765EC">
      <w:pPr>
        <w:pStyle w:val="ListParagraph"/>
        <w:numPr>
          <w:ilvl w:val="0"/>
          <w:numId w:val="32"/>
        </w:numPr>
        <w:tabs>
          <w:tab w:val="left" w:pos="108"/>
        </w:tabs>
        <w:spacing w:before="0" w:after="0" w:line="276" w:lineRule="auto"/>
        <w:ind w:left="-29" w:firstLine="475"/>
        <w:contextualSpacing w:val="0"/>
        <w:rPr>
          <w:rFonts w:ascii="Times New Roman" w:hAnsi="Times New Roman" w:cs="Times New Roman"/>
          <w:b/>
        </w:rPr>
      </w:pPr>
      <w:r w:rsidRPr="00C765EC">
        <w:rPr>
          <w:rFonts w:ascii="Times New Roman" w:hAnsi="Times New Roman" w:cs="Times New Roman"/>
        </w:rPr>
        <w:t xml:space="preserve"> Organize external monitoring and evaluation on selected basis using agreed criteria</w:t>
      </w:r>
    </w:p>
    <w:p w:rsidR="00C765EC" w:rsidRPr="00C765EC" w:rsidRDefault="00C765EC" w:rsidP="00C765EC">
      <w:pPr>
        <w:pStyle w:val="ListParagraph"/>
        <w:numPr>
          <w:ilvl w:val="0"/>
          <w:numId w:val="32"/>
        </w:numPr>
        <w:tabs>
          <w:tab w:val="left" w:pos="108"/>
        </w:tabs>
        <w:spacing w:before="0" w:after="0" w:line="276" w:lineRule="auto"/>
        <w:ind w:left="-29" w:firstLine="475"/>
        <w:contextualSpacing w:val="0"/>
        <w:rPr>
          <w:rFonts w:ascii="Times New Roman" w:hAnsi="Times New Roman" w:cs="Times New Roman"/>
          <w:b/>
        </w:rPr>
      </w:pPr>
      <w:r w:rsidRPr="00C765EC">
        <w:rPr>
          <w:rFonts w:ascii="Times New Roman" w:hAnsi="Times New Roman" w:cs="Times New Roman"/>
        </w:rPr>
        <w:t xml:space="preserve"> Provide, financial, moral, administrative and political support as appropriate</w:t>
      </w:r>
    </w:p>
    <w:p w:rsidR="00C765EC" w:rsidRPr="00C765EC" w:rsidRDefault="00C765EC" w:rsidP="00C765EC">
      <w:pPr>
        <w:pStyle w:val="ListParagraph"/>
        <w:numPr>
          <w:ilvl w:val="0"/>
          <w:numId w:val="32"/>
        </w:numPr>
        <w:tabs>
          <w:tab w:val="left" w:pos="108"/>
        </w:tabs>
        <w:spacing w:before="0" w:after="0" w:line="276" w:lineRule="auto"/>
        <w:ind w:left="-29" w:firstLine="475"/>
        <w:contextualSpacing w:val="0"/>
        <w:rPr>
          <w:rFonts w:ascii="Times New Roman" w:hAnsi="Times New Roman" w:cs="Times New Roman"/>
          <w:b/>
        </w:rPr>
      </w:pPr>
      <w:r w:rsidRPr="00C765EC">
        <w:rPr>
          <w:rFonts w:ascii="Times New Roman" w:hAnsi="Times New Roman" w:cs="Times New Roman"/>
        </w:rPr>
        <w:t>No witch hunting under any pretext</w:t>
      </w:r>
    </w:p>
    <w:p w:rsidR="00C765EC" w:rsidRPr="00C765EC" w:rsidRDefault="00C765EC" w:rsidP="00C765EC">
      <w:pPr>
        <w:pStyle w:val="ListParagraph"/>
        <w:numPr>
          <w:ilvl w:val="0"/>
          <w:numId w:val="32"/>
        </w:numPr>
        <w:tabs>
          <w:tab w:val="left" w:pos="108"/>
        </w:tabs>
        <w:spacing w:before="0" w:after="0" w:line="276" w:lineRule="auto"/>
        <w:ind w:left="-29" w:firstLine="475"/>
        <w:contextualSpacing w:val="0"/>
        <w:rPr>
          <w:rFonts w:ascii="Times New Roman" w:hAnsi="Times New Roman" w:cs="Times New Roman"/>
          <w:b/>
        </w:rPr>
      </w:pPr>
      <w:r w:rsidRPr="00C765EC">
        <w:rPr>
          <w:rFonts w:ascii="Times New Roman" w:hAnsi="Times New Roman" w:cs="Times New Roman"/>
        </w:rPr>
        <w:t xml:space="preserve"> All CSOs should be operating under a social compact draw up for all organizations</w:t>
      </w:r>
    </w:p>
    <w:p w:rsidR="00C765EC" w:rsidRPr="00C765EC" w:rsidRDefault="00C765EC" w:rsidP="00C765EC">
      <w:pPr>
        <w:pStyle w:val="ListParagraph"/>
        <w:numPr>
          <w:ilvl w:val="0"/>
          <w:numId w:val="32"/>
        </w:numPr>
        <w:tabs>
          <w:tab w:val="left" w:pos="108"/>
        </w:tabs>
        <w:spacing w:before="0" w:after="0" w:line="276" w:lineRule="auto"/>
        <w:ind w:left="-29" w:firstLine="475"/>
        <w:contextualSpacing w:val="0"/>
        <w:rPr>
          <w:rFonts w:ascii="Times New Roman" w:hAnsi="Times New Roman" w:cs="Times New Roman"/>
          <w:b/>
        </w:rPr>
      </w:pPr>
      <w:r w:rsidRPr="00C765EC">
        <w:rPr>
          <w:rFonts w:ascii="Times New Roman" w:hAnsi="Times New Roman" w:cs="Times New Roman"/>
        </w:rPr>
        <w:t>Implement government and independent audit</w:t>
      </w:r>
    </w:p>
    <w:p w:rsidR="00C765EC" w:rsidRPr="00C765EC" w:rsidRDefault="00C765EC" w:rsidP="00C765EC">
      <w:pPr>
        <w:pStyle w:val="ListParagraph"/>
        <w:numPr>
          <w:ilvl w:val="0"/>
          <w:numId w:val="32"/>
        </w:numPr>
        <w:tabs>
          <w:tab w:val="left" w:pos="108"/>
        </w:tabs>
        <w:spacing w:before="0" w:after="200" w:line="276" w:lineRule="auto"/>
        <w:ind w:left="-29" w:firstLine="475"/>
        <w:contextualSpacing w:val="0"/>
        <w:rPr>
          <w:rFonts w:ascii="Times New Roman" w:hAnsi="Times New Roman" w:cs="Times New Roman"/>
          <w:b/>
        </w:rPr>
      </w:pPr>
      <w:r w:rsidRPr="00C765EC">
        <w:rPr>
          <w:rFonts w:ascii="Times New Roman" w:hAnsi="Times New Roman" w:cs="Times New Roman"/>
        </w:rPr>
        <w:lastRenderedPageBreak/>
        <w:t>Deal with the challenges outlined here in a strategic way</w:t>
      </w:r>
    </w:p>
    <w:p w:rsidR="001A4324" w:rsidRPr="005A3329" w:rsidRDefault="001A4324" w:rsidP="005A3329">
      <w:pPr>
        <w:spacing w:before="0" w:after="200" w:line="276" w:lineRule="auto"/>
        <w:ind w:left="446"/>
        <w:rPr>
          <w:color w:val="000000" w:themeColor="text1"/>
        </w:rPr>
      </w:pPr>
      <w:r w:rsidRPr="005A3329">
        <w:rPr>
          <w:color w:val="000000" w:themeColor="text1"/>
        </w:rPr>
        <w:t>Land</w:t>
      </w:r>
      <w:r w:rsidR="00920EEF" w:rsidRPr="005A3329">
        <w:rPr>
          <w:color w:val="000000" w:themeColor="text1"/>
        </w:rPr>
        <w:t>; Rational land-use planning</w:t>
      </w:r>
    </w:p>
    <w:p w:rsidR="001A4324" w:rsidRPr="001A4324" w:rsidRDefault="001A4324" w:rsidP="00F82A79">
      <w:pPr>
        <w:spacing w:before="0" w:after="200" w:line="276" w:lineRule="auto"/>
      </w:pPr>
      <w:r w:rsidRPr="00887556">
        <w:rPr>
          <w:color w:val="000000" w:themeColor="text1"/>
          <w:kern w:val="24"/>
        </w:rPr>
        <w:t xml:space="preserve">Resources are on the decline both </w:t>
      </w:r>
      <w:r w:rsidRPr="00887556">
        <w:t xml:space="preserve">quality and quantity </w:t>
      </w:r>
      <w:r w:rsidR="000D676C" w:rsidRPr="00887556">
        <w:t>wise; declining</w:t>
      </w:r>
      <w:r w:rsidRPr="00887556">
        <w:t xml:space="preserve"> trend in the availability of arable land; land productivity under threat; land use intensity, degradation, and poor management are undermining sustainability; inadequate investment in land conservation, reclamation and development; lack of cadastral survey; backlog of land titling and registration; inadequate protection of tenants</w:t>
      </w:r>
      <w:r w:rsidRPr="001A4324">
        <w:t>; and land speculation distorting resource allocation and reducing growth potential.</w:t>
      </w:r>
    </w:p>
    <w:p w:rsidR="001A4324" w:rsidRDefault="008502BF" w:rsidP="00F82A79">
      <w:pPr>
        <w:spacing w:before="0" w:after="200" w:line="276" w:lineRule="auto"/>
      </w:pPr>
      <w:r>
        <w:rPr>
          <w:b/>
        </w:rPr>
        <w:t>Short to medium-term u</w:t>
      </w:r>
      <w:r w:rsidRPr="00757FFA">
        <w:rPr>
          <w:b/>
        </w:rPr>
        <w:t xml:space="preserve">p to 2030: </w:t>
      </w:r>
      <w:r w:rsidR="001A4324" w:rsidRPr="001A4324">
        <w:t>Considering the prospect of a highly urbanized Bangladesh by 2030, formulating a forward looking urban development strategy around sound spatial planning, land zoning and mass transit; pursuing an urbanization policy for improved management of the accelerated urbanization process already under way in a somewhat chaotic manner; increasing investment in research, training and technological innovation including integrated farm practices for increasing rice and diversified food production; increasing investment in land rehabilitation, development and protection; increasing budget allocation for development;  implementing legislation enacted for ownership and tenurial rights; proceeding cautiously with digitization of land records in Bangladesh. On new institution, set up a very strong ‘urban and regional development authority’ (proposed by Khalid Shams</w:t>
      </w:r>
      <w:r w:rsidR="000A5418">
        <w:t>)</w:t>
      </w:r>
      <w:r w:rsidR="001A4324" w:rsidRPr="001A4324">
        <w:t>.</w:t>
      </w:r>
    </w:p>
    <w:p w:rsidR="00B51AE9" w:rsidRDefault="00B51AE9" w:rsidP="00F82A79">
      <w:pPr>
        <w:spacing w:before="0" w:after="200" w:line="276" w:lineRule="auto"/>
      </w:pPr>
      <w:r>
        <w:t>More specific recommendation should deal with the following:</w:t>
      </w:r>
    </w:p>
    <w:p w:rsidR="00B51AE9" w:rsidRPr="00A93FFA" w:rsidRDefault="00B51AE9" w:rsidP="00A93FFA">
      <w:pPr>
        <w:pStyle w:val="ListParagraph"/>
        <w:numPr>
          <w:ilvl w:val="0"/>
          <w:numId w:val="25"/>
        </w:numPr>
        <w:tabs>
          <w:tab w:val="left" w:pos="126"/>
        </w:tabs>
        <w:spacing w:before="0" w:after="0" w:line="276" w:lineRule="auto"/>
        <w:ind w:left="720" w:hanging="270"/>
        <w:contextualSpacing w:val="0"/>
        <w:rPr>
          <w:rFonts w:ascii="Times New Roman" w:hAnsi="Times New Roman" w:cs="Times New Roman"/>
          <w:b/>
        </w:rPr>
      </w:pPr>
      <w:r w:rsidRPr="00A93FFA">
        <w:rPr>
          <w:rFonts w:ascii="Times New Roman" w:hAnsi="Times New Roman" w:cs="Times New Roman"/>
        </w:rPr>
        <w:t>Formulate a balanced Land-use Planning Policy following examples of India, Korea, Indonesia and Thailand</w:t>
      </w:r>
    </w:p>
    <w:p w:rsidR="00B51AE9" w:rsidRPr="00A93FFA" w:rsidRDefault="00B51AE9" w:rsidP="00A93FFA">
      <w:pPr>
        <w:pStyle w:val="ListParagraph"/>
        <w:numPr>
          <w:ilvl w:val="0"/>
          <w:numId w:val="25"/>
        </w:numPr>
        <w:tabs>
          <w:tab w:val="left" w:pos="126"/>
        </w:tabs>
        <w:spacing w:before="0" w:after="0" w:line="276" w:lineRule="auto"/>
        <w:ind w:left="720" w:hanging="270"/>
        <w:contextualSpacing w:val="0"/>
        <w:rPr>
          <w:rFonts w:ascii="Times New Roman" w:hAnsi="Times New Roman" w:cs="Times New Roman"/>
          <w:b/>
        </w:rPr>
      </w:pPr>
      <w:r w:rsidRPr="00A93FFA">
        <w:rPr>
          <w:rFonts w:ascii="Times New Roman" w:hAnsi="Times New Roman" w:cs="Times New Roman"/>
        </w:rPr>
        <w:t xml:space="preserve">Prepare land-use plan/spatial plan at national, regional, urban and rural levels with special consideration for compact townships in rural areas (Salim Rashid) </w:t>
      </w:r>
    </w:p>
    <w:p w:rsidR="00B51AE9" w:rsidRPr="00A93FFA" w:rsidRDefault="00B51AE9" w:rsidP="00A93FFA">
      <w:pPr>
        <w:pStyle w:val="ListParagraph"/>
        <w:numPr>
          <w:ilvl w:val="0"/>
          <w:numId w:val="25"/>
        </w:numPr>
        <w:tabs>
          <w:tab w:val="left" w:pos="450"/>
        </w:tabs>
        <w:spacing w:before="0" w:after="0" w:line="276" w:lineRule="auto"/>
        <w:ind w:left="720" w:hanging="270"/>
        <w:contextualSpacing w:val="0"/>
        <w:rPr>
          <w:rFonts w:ascii="Times New Roman" w:hAnsi="Times New Roman" w:cs="Times New Roman"/>
          <w:b/>
        </w:rPr>
      </w:pPr>
      <w:r w:rsidRPr="00A93FFA">
        <w:rPr>
          <w:rFonts w:ascii="Times New Roman" w:hAnsi="Times New Roman" w:cs="Times New Roman"/>
        </w:rPr>
        <w:t>Formulate a forward looking urban development strategy around sound spatial planning, land zoning and mass transit</w:t>
      </w:r>
    </w:p>
    <w:p w:rsidR="00B51AE9" w:rsidRPr="00A93FFA" w:rsidRDefault="00B51AE9" w:rsidP="00A93FFA">
      <w:pPr>
        <w:pStyle w:val="ListParagraph"/>
        <w:numPr>
          <w:ilvl w:val="0"/>
          <w:numId w:val="25"/>
        </w:numPr>
        <w:tabs>
          <w:tab w:val="left" w:pos="126"/>
        </w:tabs>
        <w:spacing w:before="0" w:after="0" w:line="276" w:lineRule="auto"/>
        <w:ind w:left="720" w:hanging="270"/>
        <w:contextualSpacing w:val="0"/>
        <w:rPr>
          <w:rFonts w:ascii="Times New Roman" w:hAnsi="Times New Roman" w:cs="Times New Roman"/>
          <w:b/>
        </w:rPr>
      </w:pPr>
      <w:r w:rsidRPr="00A93FFA">
        <w:rPr>
          <w:rFonts w:ascii="Times New Roman" w:hAnsi="Times New Roman" w:cs="Times New Roman"/>
        </w:rPr>
        <w:t>Pursue an urbanization policy for improved management of the accelerated urbanization process already under way in a somewhat chaotic manner</w:t>
      </w:r>
    </w:p>
    <w:p w:rsidR="00B51AE9" w:rsidRPr="00A93FFA" w:rsidRDefault="00B51AE9" w:rsidP="00A93FFA">
      <w:pPr>
        <w:pStyle w:val="ListParagraph"/>
        <w:numPr>
          <w:ilvl w:val="0"/>
          <w:numId w:val="25"/>
        </w:numPr>
        <w:tabs>
          <w:tab w:val="left" w:pos="126"/>
        </w:tabs>
        <w:spacing w:before="0" w:after="0" w:line="276" w:lineRule="auto"/>
        <w:ind w:left="-58" w:firstLine="508"/>
        <w:contextualSpacing w:val="0"/>
        <w:rPr>
          <w:rFonts w:ascii="Times New Roman" w:hAnsi="Times New Roman" w:cs="Times New Roman"/>
          <w:b/>
        </w:rPr>
      </w:pPr>
      <w:r w:rsidRPr="00A93FFA">
        <w:rPr>
          <w:rFonts w:ascii="Times New Roman" w:hAnsi="Times New Roman" w:cs="Times New Roman"/>
        </w:rPr>
        <w:t>Increase investment in land rehabilitation, development and protection</w:t>
      </w:r>
    </w:p>
    <w:p w:rsidR="00B51AE9" w:rsidRPr="00A93FFA" w:rsidRDefault="00B51AE9" w:rsidP="00A93FFA">
      <w:pPr>
        <w:pStyle w:val="ListParagraph"/>
        <w:numPr>
          <w:ilvl w:val="0"/>
          <w:numId w:val="25"/>
        </w:numPr>
        <w:tabs>
          <w:tab w:val="left" w:pos="126"/>
        </w:tabs>
        <w:spacing w:before="0" w:after="0" w:line="276" w:lineRule="auto"/>
        <w:ind w:left="-58" w:firstLine="508"/>
        <w:contextualSpacing w:val="0"/>
        <w:rPr>
          <w:rFonts w:ascii="Times New Roman" w:hAnsi="Times New Roman" w:cs="Times New Roman"/>
          <w:b/>
        </w:rPr>
      </w:pPr>
      <w:r w:rsidRPr="00A93FFA">
        <w:rPr>
          <w:rFonts w:ascii="Times New Roman" w:hAnsi="Times New Roman" w:cs="Times New Roman"/>
        </w:rPr>
        <w:t>Implement legislation enacted for ownership and tenurial rights</w:t>
      </w:r>
    </w:p>
    <w:p w:rsidR="00A93FFA" w:rsidRPr="00A93FFA" w:rsidRDefault="00B51AE9" w:rsidP="00A93FFA">
      <w:pPr>
        <w:pStyle w:val="ListParagraph"/>
        <w:numPr>
          <w:ilvl w:val="0"/>
          <w:numId w:val="25"/>
        </w:numPr>
        <w:tabs>
          <w:tab w:val="left" w:pos="126"/>
        </w:tabs>
        <w:spacing w:before="0" w:after="0" w:line="276" w:lineRule="auto"/>
        <w:ind w:left="-58" w:firstLine="508"/>
        <w:contextualSpacing w:val="0"/>
        <w:rPr>
          <w:rFonts w:ascii="Times New Roman" w:hAnsi="Times New Roman" w:cs="Times New Roman"/>
          <w:b/>
        </w:rPr>
      </w:pPr>
      <w:r w:rsidRPr="00A93FFA">
        <w:rPr>
          <w:rFonts w:ascii="Times New Roman" w:hAnsi="Times New Roman" w:cs="Times New Roman"/>
        </w:rPr>
        <w:t>Pay special attention to land administration; digitize land records but proceed cautiously;</w:t>
      </w:r>
    </w:p>
    <w:p w:rsidR="00B51AE9" w:rsidRPr="00A93FFA" w:rsidRDefault="00B51AE9" w:rsidP="00A93FFA">
      <w:pPr>
        <w:pStyle w:val="ListParagraph"/>
        <w:numPr>
          <w:ilvl w:val="0"/>
          <w:numId w:val="25"/>
        </w:numPr>
        <w:tabs>
          <w:tab w:val="left" w:pos="126"/>
        </w:tabs>
        <w:spacing w:before="0" w:after="200" w:line="276" w:lineRule="auto"/>
        <w:ind w:left="720" w:hanging="274"/>
        <w:contextualSpacing w:val="0"/>
        <w:rPr>
          <w:rFonts w:ascii="Times New Roman" w:hAnsi="Times New Roman" w:cs="Times New Roman"/>
          <w:b/>
        </w:rPr>
      </w:pPr>
      <w:r w:rsidRPr="00A93FFA">
        <w:rPr>
          <w:rFonts w:ascii="Times New Roman" w:hAnsi="Times New Roman" w:cs="Times New Roman"/>
        </w:rPr>
        <w:t>Formulate Alternative Dispute Resolution (ADR) Mechanism to expedite disposal of cases</w:t>
      </w:r>
    </w:p>
    <w:p w:rsidR="001A4324" w:rsidRPr="00925F07" w:rsidRDefault="008502BF" w:rsidP="00F82A79">
      <w:pPr>
        <w:spacing w:before="0" w:after="200" w:line="276" w:lineRule="auto"/>
        <w:rPr>
          <w:color w:val="000000" w:themeColor="text1"/>
        </w:rPr>
      </w:pPr>
      <w:r>
        <w:rPr>
          <w:b/>
        </w:rPr>
        <w:t>Longer-term b</w:t>
      </w:r>
      <w:r w:rsidR="001A4324" w:rsidRPr="001A4324">
        <w:rPr>
          <w:b/>
        </w:rPr>
        <w:t>eyond 2030:</w:t>
      </w:r>
      <w:r w:rsidR="001A4324" w:rsidRPr="001A4324">
        <w:t xml:space="preserve"> Continuation of the above strategy and elaboration of a revised Land Policy </w:t>
      </w:r>
      <w:r w:rsidR="001A4324" w:rsidRPr="00925F07">
        <w:t>backed up by a revised Land Law aimed at promoting land saving and efficient land use and a more aggressive push to digitization of land records and transfer.</w:t>
      </w:r>
    </w:p>
    <w:p w:rsidR="00225DBF" w:rsidRDefault="00225DBF">
      <w:pPr>
        <w:rPr>
          <w:b/>
          <w:color w:val="000000" w:themeColor="text1"/>
        </w:rPr>
      </w:pPr>
      <w:r>
        <w:rPr>
          <w:b/>
          <w:color w:val="000000" w:themeColor="text1"/>
        </w:rPr>
        <w:br w:type="page"/>
      </w:r>
    </w:p>
    <w:p w:rsidR="00925F07" w:rsidRPr="00225DBF" w:rsidRDefault="00925F07" w:rsidP="00225DBF">
      <w:pPr>
        <w:spacing w:before="0" w:after="200" w:line="276" w:lineRule="auto"/>
        <w:ind w:left="720"/>
        <w:rPr>
          <w:color w:val="000000" w:themeColor="text1"/>
        </w:rPr>
      </w:pPr>
      <w:r w:rsidRPr="00225DBF">
        <w:rPr>
          <w:color w:val="000000" w:themeColor="text1"/>
        </w:rPr>
        <w:lastRenderedPageBreak/>
        <w:t>Basic education: Quality over quantity</w:t>
      </w:r>
    </w:p>
    <w:p w:rsidR="00925F07" w:rsidRPr="008D0892" w:rsidRDefault="00925F07" w:rsidP="008D0892">
      <w:pPr>
        <w:spacing w:before="0" w:after="200" w:line="276" w:lineRule="auto"/>
        <w:rPr>
          <w:b/>
        </w:rPr>
      </w:pPr>
      <w:r w:rsidRPr="00925F07">
        <w:t xml:space="preserve">Bangladesh has performed well in terms of basic education indicators (primary school enrolment and female enrolment for example) but is haunted by poor quality and dropout problems. </w:t>
      </w:r>
      <w:r w:rsidRPr="00925F07">
        <w:rPr>
          <w:color w:val="000000" w:themeColor="text1"/>
          <w:kern w:val="24"/>
        </w:rPr>
        <w:t xml:space="preserve">Inadequate preparation for </w:t>
      </w:r>
      <w:r w:rsidRPr="008D0892">
        <w:rPr>
          <w:color w:val="000000" w:themeColor="text1"/>
          <w:kern w:val="24"/>
        </w:rPr>
        <w:t>participation in a tech savvy, multilingual, multi-skilled and multi-tasked world is the issue.</w:t>
      </w:r>
    </w:p>
    <w:p w:rsidR="00925F07" w:rsidRPr="008803D2" w:rsidRDefault="008502BF" w:rsidP="008D0892">
      <w:pPr>
        <w:spacing w:before="0" w:after="200" w:line="276" w:lineRule="auto"/>
      </w:pPr>
      <w:r w:rsidRPr="008D0892">
        <w:rPr>
          <w:b/>
        </w:rPr>
        <w:t>Short to medium-term up to 2030:</w:t>
      </w:r>
      <w:r w:rsidR="00925F07" w:rsidRPr="008D0892">
        <w:rPr>
          <w:b/>
        </w:rPr>
        <w:t xml:space="preserve"> </w:t>
      </w:r>
      <w:r w:rsidR="008D0892" w:rsidRPr="008D0892">
        <w:t xml:space="preserve">Raising public spending on education as % of GDP gradually to 5% and above. Decentralizing educational governance. Raising teacher quantity and quality with upgraded teacher education which suffer from serious gap.  Providing support to pre-primary education. Bringing Primary and secondary education under one administrative jurisdiction. </w:t>
      </w:r>
      <w:r w:rsidR="00925F07" w:rsidRPr="008D0892">
        <w:t>Promoting skill development anchored in a drive for universal English and computer literacy from an early stage of schooling and competency in at least one additional foreign language and skill for all higher secondary certificate (</w:t>
      </w:r>
      <w:smartTag w:uri="urn:schemas-microsoft-com:office:smarttags" w:element="stockticker">
        <w:r w:rsidR="00925F07" w:rsidRPr="008D0892">
          <w:t>HSC</w:t>
        </w:r>
      </w:smartTag>
      <w:r w:rsidR="00925F07" w:rsidRPr="008D0892">
        <w:t>) graduates; harnessing mathematical skills; helping students from an early stage to overcome the so called fear of math; Taking steps to contextualize and operationalize the thrust for education for all; tackling the two challenges of basic education that is meaningful quality and</w:t>
      </w:r>
      <w:r w:rsidR="00925F07" w:rsidRPr="008803D2">
        <w:t xml:space="preserve"> system dropouts through six strategic actions: (</w:t>
      </w:r>
      <w:proofErr w:type="spellStart"/>
      <w:r w:rsidR="00925F07" w:rsidRPr="008803D2">
        <w:t>i</w:t>
      </w:r>
      <w:proofErr w:type="spellEnd"/>
      <w:r w:rsidR="00925F07" w:rsidRPr="008803D2">
        <w:t>) teacher quality, (ii) curriculum, (iii) teaching materials and physical facilities, and (iv) educational support both at school and at home for those vulnerable to falling through cracks; (v) developing open school platforms (TV, net, mobile applications) with specific ICT support. (Like India did in some areas, distribute $20 Tablet PC to all HSC students for about only $50 million); and (vi) developing vocational experts: programmers, gardeners, welders, cooks and drivers (for export as migrant workers</w:t>
      </w:r>
      <w:r w:rsidR="006F5A02">
        <w:t>)</w:t>
      </w:r>
      <w:r w:rsidR="00925F07" w:rsidRPr="008803D2">
        <w:t>.</w:t>
      </w:r>
    </w:p>
    <w:p w:rsidR="005508E4" w:rsidRDefault="008502BF" w:rsidP="00F82A79">
      <w:pPr>
        <w:spacing w:before="0" w:after="200" w:line="276" w:lineRule="auto"/>
      </w:pPr>
      <w:r>
        <w:rPr>
          <w:b/>
        </w:rPr>
        <w:t>Longer-term b</w:t>
      </w:r>
      <w:r w:rsidR="00925F07" w:rsidRPr="008803D2">
        <w:rPr>
          <w:b/>
        </w:rPr>
        <w:t>eyond 2030:</w:t>
      </w:r>
      <w:r w:rsidR="00925F07" w:rsidRPr="008803D2">
        <w:t xml:space="preserve"> Continuation of the above policy and strategy with educational flexibility, namely, (</w:t>
      </w:r>
      <w:proofErr w:type="spellStart"/>
      <w:r w:rsidR="00925F07" w:rsidRPr="008803D2">
        <w:t>i</w:t>
      </w:r>
      <w:proofErr w:type="spellEnd"/>
      <w:r w:rsidR="00925F07" w:rsidRPr="008803D2">
        <w:t>) allowing people to change courses at any point in time, (ii) allowing people to enter the educational system at any level at any time on the basis of proficiency tests, (iii)   introducing international best practices and content into the basic education system as much as practicable to make students at par with those in other countries, (iv) making basic education increasingly ICT based which is more than just knowing how to use the computer, (v) introducing additional emphasis on language proficiency, (vi) orienting  basic education to build the base for the development of high level scientific skills in which Bangladesh has been lagging behind, (vii) putting greater emphasis on the development of original thinking and management of day to day problems and issues, and (viii) making the educational system in tune with environmental and climate change issues.</w:t>
      </w:r>
    </w:p>
    <w:p w:rsidR="00757FFA" w:rsidRPr="00225DBF" w:rsidRDefault="008803D2" w:rsidP="00225DBF">
      <w:pPr>
        <w:spacing w:before="0" w:after="200" w:line="276" w:lineRule="auto"/>
        <w:ind w:left="720"/>
        <w:rPr>
          <w:color w:val="000000" w:themeColor="text1"/>
        </w:rPr>
      </w:pPr>
      <w:r w:rsidRPr="00225DBF">
        <w:rPr>
          <w:color w:val="000000" w:themeColor="text1"/>
        </w:rPr>
        <w:t>Skill</w:t>
      </w:r>
      <w:r w:rsidR="00920EEF" w:rsidRPr="00225DBF">
        <w:rPr>
          <w:color w:val="000000" w:themeColor="text1"/>
        </w:rPr>
        <w:t>: Upgrading low skill-low productivity to high skill-high productivity of labor</w:t>
      </w:r>
    </w:p>
    <w:p w:rsidR="00757FFA" w:rsidRDefault="008803D2" w:rsidP="00F82A79">
      <w:pPr>
        <w:spacing w:before="0" w:after="200" w:line="276" w:lineRule="auto"/>
        <w:rPr>
          <w:color w:val="000000" w:themeColor="text1"/>
          <w:kern w:val="24"/>
        </w:rPr>
      </w:pPr>
      <w:r w:rsidRPr="008803D2">
        <w:rPr>
          <w:color w:val="000000" w:themeColor="text1"/>
          <w:kern w:val="24"/>
        </w:rPr>
        <w:t xml:space="preserve">The challenge is </w:t>
      </w:r>
      <w:r w:rsidR="00920EEF">
        <w:rPr>
          <w:color w:val="000000" w:themeColor="text1"/>
          <w:kern w:val="24"/>
        </w:rPr>
        <w:t>a</w:t>
      </w:r>
      <w:r w:rsidRPr="008803D2">
        <w:rPr>
          <w:color w:val="000000" w:themeColor="text1"/>
          <w:kern w:val="24"/>
        </w:rPr>
        <w:t xml:space="preserve">nnual addition of 2 million plus labor is difficult to absorb in the absence of appropriate training and skill development; low skill pervades the entire labor force causing low productivity; training and skill development facilities are inadequate and poorly equipped; competency based training is missing; and skill mix of overseas workers is unfavorable to raising </w:t>
      </w:r>
      <w:r w:rsidRPr="008803D2">
        <w:rPr>
          <w:color w:val="000000" w:themeColor="text1"/>
          <w:kern w:val="24"/>
        </w:rPr>
        <w:lastRenderedPageBreak/>
        <w:t>average earnings/remittances to the level of other Asian countries like India, Pakistan and Sri Lanka</w:t>
      </w:r>
      <w:r>
        <w:rPr>
          <w:color w:val="000000" w:themeColor="text1"/>
          <w:kern w:val="24"/>
        </w:rPr>
        <w:t>.</w:t>
      </w:r>
    </w:p>
    <w:p w:rsidR="008803D2" w:rsidRPr="00221A74" w:rsidRDefault="008502BF" w:rsidP="00F82A79">
      <w:pPr>
        <w:spacing w:before="0" w:after="200" w:line="276" w:lineRule="auto"/>
      </w:pPr>
      <w:r>
        <w:rPr>
          <w:b/>
        </w:rPr>
        <w:t>Short to medium-term u</w:t>
      </w:r>
      <w:r w:rsidRPr="00757FFA">
        <w:rPr>
          <w:b/>
        </w:rPr>
        <w:t xml:space="preserve">p to 2030: </w:t>
      </w:r>
      <w:r w:rsidR="008803D2" w:rsidRPr="008803D2">
        <w:t xml:space="preserve">Articulating a skill development policy and strategy in response to structural changes in the economy and global opportunities abroad;  following up the policy and strategy with larger investments in skill development; synchronizing skill development with the exploitation of the demographic dividend on the one hand and growth and structural change based on productivity growth on the other;  reorienting skill development towards export-led growth which is critical for Bangladesh to work its way out of the impending middle income trap and jobless growth; transforming the skill mix and productivity of overseas employment to achieve greater employment openings and higher return in terms of average remittances; developing specific policies and incentives to attract non-resident Bangladeshis to actively engage in skills transfer and investment in Bangladesh; increasing public investments and mobilizing private resources including PPP for the development of ICT and related skills; and making </w:t>
      </w:r>
      <w:r w:rsidR="008803D2" w:rsidRPr="00221A74">
        <w:t>additional investments in female literacy, greater participation of women in skill development programs, increased female labor force participation in formal sector employment and creating greater opportunities for women in business.</w:t>
      </w:r>
    </w:p>
    <w:p w:rsidR="008D0892" w:rsidRPr="00221A74" w:rsidRDefault="008D0892" w:rsidP="00F82A79">
      <w:pPr>
        <w:spacing w:before="0" w:after="200" w:line="276" w:lineRule="auto"/>
      </w:pPr>
      <w:r w:rsidRPr="00221A74">
        <w:t>Given complexity of longer-term skill development, other imperatives would have to be strategized. These include</w:t>
      </w:r>
      <w:r w:rsidR="00221A74" w:rsidRPr="00221A74">
        <w:t>:</w:t>
      </w:r>
      <w:r w:rsidRPr="00221A74">
        <w:t xml:space="preserve"> </w:t>
      </w:r>
    </w:p>
    <w:p w:rsidR="008D0892" w:rsidRPr="00221A74" w:rsidRDefault="008D0892" w:rsidP="00221A74">
      <w:pPr>
        <w:pStyle w:val="ListParagraph"/>
        <w:numPr>
          <w:ilvl w:val="0"/>
          <w:numId w:val="27"/>
        </w:numPr>
        <w:tabs>
          <w:tab w:val="left" w:pos="126"/>
        </w:tabs>
        <w:spacing w:before="0" w:after="0" w:line="276" w:lineRule="auto"/>
        <w:ind w:left="633" w:hanging="187"/>
        <w:contextualSpacing w:val="0"/>
        <w:rPr>
          <w:rFonts w:ascii="Times New Roman" w:hAnsi="Times New Roman" w:cs="Times New Roman"/>
          <w:b/>
        </w:rPr>
      </w:pPr>
      <w:r w:rsidRPr="00221A74">
        <w:rPr>
          <w:rFonts w:ascii="Times New Roman" w:hAnsi="Times New Roman" w:cs="Times New Roman"/>
        </w:rPr>
        <w:t>Strengthen</w:t>
      </w:r>
      <w:r w:rsidR="00221A74" w:rsidRPr="00221A74">
        <w:rPr>
          <w:rFonts w:ascii="Times New Roman" w:hAnsi="Times New Roman" w:cs="Times New Roman"/>
        </w:rPr>
        <w:t>ing</w:t>
      </w:r>
      <w:r w:rsidRPr="00221A74">
        <w:rPr>
          <w:rFonts w:ascii="Times New Roman" w:hAnsi="Times New Roman" w:cs="Times New Roman"/>
        </w:rPr>
        <w:t xml:space="preserve"> TVET education through finance, infrastructure, manpower and research and monitoring</w:t>
      </w:r>
    </w:p>
    <w:p w:rsidR="008D0892" w:rsidRPr="00221A74" w:rsidRDefault="008D0892" w:rsidP="00221A74">
      <w:pPr>
        <w:pStyle w:val="ListParagraph"/>
        <w:numPr>
          <w:ilvl w:val="0"/>
          <w:numId w:val="27"/>
        </w:numPr>
        <w:tabs>
          <w:tab w:val="left" w:pos="126"/>
        </w:tabs>
        <w:spacing w:before="0" w:after="0" w:line="276" w:lineRule="auto"/>
        <w:ind w:left="633" w:hanging="187"/>
        <w:contextualSpacing w:val="0"/>
        <w:rPr>
          <w:rFonts w:ascii="Times New Roman" w:hAnsi="Times New Roman" w:cs="Times New Roman"/>
          <w:b/>
        </w:rPr>
      </w:pPr>
      <w:r w:rsidRPr="00221A74">
        <w:rPr>
          <w:rFonts w:ascii="Times New Roman" w:hAnsi="Times New Roman" w:cs="Times New Roman"/>
        </w:rPr>
        <w:t>Introduc</w:t>
      </w:r>
      <w:r w:rsidR="00221A74" w:rsidRPr="00221A74">
        <w:rPr>
          <w:rFonts w:ascii="Times New Roman" w:hAnsi="Times New Roman" w:cs="Times New Roman"/>
        </w:rPr>
        <w:t>ing</w:t>
      </w:r>
      <w:r w:rsidRPr="00221A74">
        <w:rPr>
          <w:rFonts w:ascii="Times New Roman" w:hAnsi="Times New Roman" w:cs="Times New Roman"/>
        </w:rPr>
        <w:t xml:space="preserve"> skill orientation in school, college, university education with all secondary graduates being equipped with at least one vocational skill and one foreign language</w:t>
      </w:r>
    </w:p>
    <w:p w:rsidR="008D0892" w:rsidRPr="00221A74" w:rsidRDefault="008D0892" w:rsidP="00221A74">
      <w:pPr>
        <w:pStyle w:val="ListParagraph"/>
        <w:numPr>
          <w:ilvl w:val="0"/>
          <w:numId w:val="27"/>
        </w:numPr>
        <w:tabs>
          <w:tab w:val="left" w:pos="126"/>
        </w:tabs>
        <w:spacing w:before="0" w:after="0" w:line="276" w:lineRule="auto"/>
        <w:ind w:left="633" w:hanging="187"/>
        <w:contextualSpacing w:val="0"/>
        <w:rPr>
          <w:rFonts w:ascii="Times New Roman" w:hAnsi="Times New Roman" w:cs="Times New Roman"/>
          <w:b/>
        </w:rPr>
      </w:pPr>
      <w:r w:rsidRPr="00221A74">
        <w:rPr>
          <w:rFonts w:ascii="Times New Roman" w:hAnsi="Times New Roman" w:cs="Times New Roman"/>
        </w:rPr>
        <w:t>Mak</w:t>
      </w:r>
      <w:r w:rsidR="00221A74" w:rsidRPr="00221A74">
        <w:rPr>
          <w:rFonts w:ascii="Times New Roman" w:hAnsi="Times New Roman" w:cs="Times New Roman"/>
        </w:rPr>
        <w:t>ing</w:t>
      </w:r>
      <w:r w:rsidRPr="00221A74">
        <w:rPr>
          <w:rFonts w:ascii="Times New Roman" w:hAnsi="Times New Roman" w:cs="Times New Roman"/>
        </w:rPr>
        <w:t xml:space="preserve"> MOF’s Skill for Employment Investment Program (SEIP) a national platform for skill development through public-private partnership fostered by operationalization of the newly established the National Skill Development Authority (NSDA) and the National Human Resources Development Fund (NHRDF) to support m</w:t>
      </w:r>
      <w:r w:rsidRPr="00221A74">
        <w:rPr>
          <w:rFonts w:ascii="Times New Roman" w:hAnsi="Times New Roman" w:cs="Times New Roman"/>
          <w:bCs/>
        </w:rPr>
        <w:t xml:space="preserve">arket responsive inclusive skills training by public and private training institutions’ </w:t>
      </w:r>
      <w:r w:rsidRPr="00221A74">
        <w:rPr>
          <w:rFonts w:ascii="Times New Roman" w:hAnsi="Times New Roman" w:cs="Times New Roman"/>
        </w:rPr>
        <w:t>programs to meet projected skills gap in the future years</w:t>
      </w:r>
    </w:p>
    <w:p w:rsidR="00221A74" w:rsidRPr="00221A74" w:rsidRDefault="00221A74" w:rsidP="00221A74">
      <w:pPr>
        <w:pStyle w:val="ListParagraph"/>
        <w:numPr>
          <w:ilvl w:val="0"/>
          <w:numId w:val="27"/>
        </w:numPr>
        <w:tabs>
          <w:tab w:val="left" w:pos="126"/>
        </w:tabs>
        <w:spacing w:before="0" w:after="0" w:line="276" w:lineRule="auto"/>
        <w:ind w:left="633" w:hanging="187"/>
        <w:contextualSpacing w:val="0"/>
        <w:rPr>
          <w:rFonts w:ascii="Times New Roman" w:hAnsi="Times New Roman" w:cs="Times New Roman"/>
          <w:b/>
        </w:rPr>
      </w:pPr>
      <w:r w:rsidRPr="00221A74">
        <w:rPr>
          <w:rFonts w:ascii="Times New Roman" w:hAnsi="Times New Roman" w:cs="Times New Roman"/>
        </w:rPr>
        <w:t xml:space="preserve">Making pilot </w:t>
      </w:r>
      <w:r w:rsidR="008D0892" w:rsidRPr="00221A74">
        <w:rPr>
          <w:rFonts w:ascii="Times New Roman" w:hAnsi="Times New Roman" w:cs="Times New Roman"/>
        </w:rPr>
        <w:t xml:space="preserve">Executive </w:t>
      </w:r>
      <w:r w:rsidRPr="00221A74">
        <w:rPr>
          <w:rFonts w:ascii="Times New Roman" w:hAnsi="Times New Roman" w:cs="Times New Roman"/>
        </w:rPr>
        <w:t>Development</w:t>
      </w:r>
      <w:r w:rsidR="008D0892" w:rsidRPr="00221A74">
        <w:rPr>
          <w:rFonts w:ascii="Times New Roman" w:hAnsi="Times New Roman" w:cs="Times New Roman"/>
        </w:rPr>
        <w:t xml:space="preserve"> Program</w:t>
      </w:r>
      <w:r w:rsidRPr="00221A74">
        <w:rPr>
          <w:rFonts w:ascii="Times New Roman" w:hAnsi="Times New Roman" w:cs="Times New Roman"/>
        </w:rPr>
        <w:t xml:space="preserve"> (EDP) into a university program across the nation</w:t>
      </w:r>
    </w:p>
    <w:p w:rsidR="008D0892" w:rsidRPr="00221A74" w:rsidRDefault="00221A74" w:rsidP="00221A74">
      <w:pPr>
        <w:pStyle w:val="ListParagraph"/>
        <w:numPr>
          <w:ilvl w:val="0"/>
          <w:numId w:val="27"/>
        </w:numPr>
        <w:tabs>
          <w:tab w:val="left" w:pos="126"/>
        </w:tabs>
        <w:spacing w:before="0" w:after="200" w:line="276" w:lineRule="auto"/>
        <w:ind w:left="633" w:hanging="187"/>
        <w:contextualSpacing w:val="0"/>
        <w:rPr>
          <w:rFonts w:ascii="Times New Roman" w:hAnsi="Times New Roman" w:cs="Times New Roman"/>
          <w:b/>
        </w:rPr>
      </w:pPr>
      <w:r w:rsidRPr="00221A74">
        <w:rPr>
          <w:rFonts w:ascii="Times New Roman" w:hAnsi="Times New Roman" w:cs="Times New Roman"/>
        </w:rPr>
        <w:t xml:space="preserve">Making the </w:t>
      </w:r>
      <w:r w:rsidR="008D0892" w:rsidRPr="00221A74">
        <w:rPr>
          <w:rFonts w:ascii="Times New Roman" w:hAnsi="Times New Roman" w:cs="Times New Roman"/>
        </w:rPr>
        <w:t xml:space="preserve">Policy analysis training </w:t>
      </w:r>
      <w:r w:rsidRPr="00221A74">
        <w:rPr>
          <w:rFonts w:ascii="Times New Roman" w:hAnsi="Times New Roman" w:cs="Times New Roman"/>
        </w:rPr>
        <w:t>practical and user friendly</w:t>
      </w:r>
    </w:p>
    <w:p w:rsidR="001A4324" w:rsidRDefault="008502BF" w:rsidP="00F82A79">
      <w:pPr>
        <w:spacing w:before="0" w:after="200" w:line="276" w:lineRule="auto"/>
      </w:pPr>
      <w:r w:rsidRPr="00221A74">
        <w:rPr>
          <w:b/>
        </w:rPr>
        <w:t>Longer-term b</w:t>
      </w:r>
      <w:r w:rsidR="008803D2" w:rsidRPr="00221A74">
        <w:rPr>
          <w:b/>
        </w:rPr>
        <w:t xml:space="preserve">eyond 2030: </w:t>
      </w:r>
      <w:r w:rsidR="008803D2" w:rsidRPr="00221A74">
        <w:t>Continuation of the above strategy with added emphasis on reducing supply-demand mismatch and unemployment and under-employment at all levels and among all groups; adapting skill composition to changes in technology; ensuring that training and skill development is mostly private sector based as skill development develops and matures as a market based activity;  facilitating</w:t>
      </w:r>
      <w:r w:rsidR="008803D2" w:rsidRPr="008803D2">
        <w:t xml:space="preserve"> selected import of skilled labor to fill gaps; and continuing manpower exports for overseas employment; and making the development of ICT and related skills an integral part of strategies for longer term skill development.</w:t>
      </w:r>
    </w:p>
    <w:p w:rsidR="00221A74" w:rsidRDefault="00221A74" w:rsidP="00225DBF">
      <w:pPr>
        <w:spacing w:before="0" w:after="200" w:line="276" w:lineRule="auto"/>
        <w:ind w:left="720"/>
        <w:rPr>
          <w:color w:val="000000" w:themeColor="text1"/>
        </w:rPr>
      </w:pPr>
      <w:r>
        <w:rPr>
          <w:color w:val="000000" w:themeColor="text1"/>
        </w:rPr>
        <w:lastRenderedPageBreak/>
        <w:t>Technology</w:t>
      </w:r>
    </w:p>
    <w:p w:rsidR="00044334" w:rsidRPr="0024208A" w:rsidRDefault="00044334" w:rsidP="00221A74">
      <w:pPr>
        <w:spacing w:before="0" w:after="200" w:line="276" w:lineRule="auto"/>
      </w:pPr>
      <w:r w:rsidRPr="0024208A">
        <w:rPr>
          <w:color w:val="000000" w:themeColor="text1"/>
        </w:rPr>
        <w:t xml:space="preserve">Technology has five components: technology platform, advanced universities for science and technology, </w:t>
      </w:r>
      <w:r w:rsidRPr="0024208A">
        <w:t>Centers of excellence (</w:t>
      </w:r>
      <w:proofErr w:type="spellStart"/>
      <w:r w:rsidRPr="0024208A">
        <w:t>CoE</w:t>
      </w:r>
      <w:proofErr w:type="spellEnd"/>
      <w:r w:rsidRPr="0024208A">
        <w:t>). IT Parks, IT education in universities, National Institute for Information and Communication Technology and ICT service exports. This is an ambitious program but achievable given that Bangladesh has achieved much under its Digital Bangladesh Program. To make this feasible, the following strategic thrust has to be pursued:</w:t>
      </w:r>
    </w:p>
    <w:p w:rsidR="0024208A" w:rsidRPr="0024208A" w:rsidRDefault="0024208A" w:rsidP="0024208A">
      <w:pPr>
        <w:pStyle w:val="ListParagraph"/>
        <w:numPr>
          <w:ilvl w:val="0"/>
          <w:numId w:val="33"/>
        </w:numPr>
        <w:tabs>
          <w:tab w:val="left" w:pos="156"/>
        </w:tabs>
        <w:spacing w:before="0" w:after="0" w:line="276" w:lineRule="auto"/>
        <w:ind w:left="1080"/>
        <w:rPr>
          <w:rFonts w:ascii="Times New Roman" w:hAnsi="Times New Roman" w:cs="Times New Roman"/>
        </w:rPr>
      </w:pPr>
      <w:r w:rsidRPr="0024208A">
        <w:rPr>
          <w:rFonts w:ascii="Times New Roman" w:hAnsi="Times New Roman" w:cs="Times New Roman"/>
        </w:rPr>
        <w:t>Infrastructure support – enabling infrastructure</w:t>
      </w:r>
    </w:p>
    <w:p w:rsidR="0024208A" w:rsidRPr="0024208A" w:rsidRDefault="0024208A" w:rsidP="0024208A">
      <w:pPr>
        <w:pStyle w:val="ListParagraph"/>
        <w:numPr>
          <w:ilvl w:val="0"/>
          <w:numId w:val="33"/>
        </w:numPr>
        <w:tabs>
          <w:tab w:val="left" w:pos="156"/>
        </w:tabs>
        <w:spacing w:before="0" w:after="0" w:line="276" w:lineRule="auto"/>
        <w:ind w:left="1080"/>
        <w:rPr>
          <w:rFonts w:ascii="Times New Roman" w:hAnsi="Times New Roman" w:cs="Times New Roman"/>
        </w:rPr>
      </w:pPr>
      <w:r w:rsidRPr="0024208A">
        <w:rPr>
          <w:rFonts w:ascii="Times New Roman" w:hAnsi="Times New Roman" w:cs="Times New Roman"/>
        </w:rPr>
        <w:t>Manpower support – training and skill development to develop talent supply pipeline</w:t>
      </w:r>
    </w:p>
    <w:p w:rsidR="0024208A" w:rsidRDefault="0024208A" w:rsidP="0024208A">
      <w:pPr>
        <w:pStyle w:val="ListParagraph"/>
        <w:numPr>
          <w:ilvl w:val="0"/>
          <w:numId w:val="33"/>
        </w:numPr>
        <w:spacing w:before="0" w:after="0" w:line="276" w:lineRule="auto"/>
        <w:ind w:left="1080"/>
        <w:rPr>
          <w:rFonts w:ascii="Times New Roman" w:hAnsi="Times New Roman" w:cs="Times New Roman"/>
        </w:rPr>
      </w:pPr>
      <w:r w:rsidRPr="0024208A">
        <w:rPr>
          <w:rFonts w:ascii="Times New Roman" w:hAnsi="Times New Roman" w:cs="Times New Roman"/>
        </w:rPr>
        <w:t>Budget allocation for upgraded IT education at universities, CoEs and the National Institute for Information and Communication Technology</w:t>
      </w:r>
    </w:p>
    <w:p w:rsidR="0024208A" w:rsidRPr="0024208A" w:rsidRDefault="0024208A" w:rsidP="0024208A">
      <w:pPr>
        <w:pStyle w:val="ListParagraph"/>
        <w:numPr>
          <w:ilvl w:val="0"/>
          <w:numId w:val="33"/>
        </w:numPr>
        <w:spacing w:before="0" w:after="0" w:line="276" w:lineRule="auto"/>
        <w:ind w:left="1080"/>
        <w:rPr>
          <w:rFonts w:ascii="Times New Roman" w:hAnsi="Times New Roman" w:cs="Times New Roman"/>
        </w:rPr>
      </w:pPr>
      <w:r>
        <w:rPr>
          <w:rFonts w:ascii="Times New Roman" w:hAnsi="Times New Roman" w:cs="Times New Roman"/>
        </w:rPr>
        <w:t>Develop joint education and skill development program with foreign universities</w:t>
      </w:r>
      <w:r w:rsidRPr="0024208A">
        <w:rPr>
          <w:rFonts w:ascii="Times New Roman" w:hAnsi="Times New Roman" w:cs="Times New Roman"/>
        </w:rPr>
        <w:t xml:space="preserve"> </w:t>
      </w:r>
    </w:p>
    <w:p w:rsidR="0024208A" w:rsidRPr="0024208A" w:rsidRDefault="0024208A" w:rsidP="0024208A">
      <w:pPr>
        <w:pStyle w:val="ListParagraph"/>
        <w:numPr>
          <w:ilvl w:val="0"/>
          <w:numId w:val="33"/>
        </w:numPr>
        <w:spacing w:before="0" w:after="0" w:line="276" w:lineRule="auto"/>
        <w:ind w:left="1080"/>
        <w:rPr>
          <w:rFonts w:ascii="Times New Roman" w:hAnsi="Times New Roman" w:cs="Times New Roman"/>
        </w:rPr>
      </w:pPr>
      <w:r w:rsidRPr="0024208A">
        <w:rPr>
          <w:rFonts w:ascii="Times New Roman" w:hAnsi="Times New Roman" w:cs="Times New Roman"/>
        </w:rPr>
        <w:t>Policy support</w:t>
      </w:r>
    </w:p>
    <w:p w:rsidR="0024208A" w:rsidRPr="0024208A" w:rsidRDefault="0024208A" w:rsidP="0024208A">
      <w:pPr>
        <w:pStyle w:val="ListParagraph"/>
        <w:numPr>
          <w:ilvl w:val="0"/>
          <w:numId w:val="33"/>
        </w:numPr>
        <w:tabs>
          <w:tab w:val="left" w:pos="156"/>
        </w:tabs>
        <w:spacing w:before="0" w:after="0" w:line="276" w:lineRule="auto"/>
        <w:ind w:left="1080"/>
        <w:rPr>
          <w:rFonts w:ascii="Times New Roman" w:hAnsi="Times New Roman" w:cs="Times New Roman"/>
        </w:rPr>
      </w:pPr>
      <w:r w:rsidRPr="0024208A">
        <w:rPr>
          <w:rFonts w:ascii="Times New Roman" w:hAnsi="Times New Roman" w:cs="Times New Roman"/>
        </w:rPr>
        <w:t>Establishment of public-private forum involving the Ministry of Science and Technology, other relevant agencies and the private sector</w:t>
      </w:r>
    </w:p>
    <w:p w:rsidR="0024208A" w:rsidRPr="0024208A" w:rsidRDefault="0024208A" w:rsidP="0024208A">
      <w:pPr>
        <w:pStyle w:val="ListParagraph"/>
        <w:numPr>
          <w:ilvl w:val="0"/>
          <w:numId w:val="33"/>
        </w:numPr>
        <w:tabs>
          <w:tab w:val="left" w:pos="156"/>
        </w:tabs>
        <w:spacing w:before="0" w:after="0" w:line="276" w:lineRule="auto"/>
        <w:ind w:left="1080"/>
        <w:rPr>
          <w:rFonts w:ascii="Times New Roman" w:hAnsi="Times New Roman" w:cs="Times New Roman"/>
        </w:rPr>
      </w:pPr>
      <w:r w:rsidRPr="0024208A">
        <w:rPr>
          <w:rFonts w:ascii="Times New Roman" w:hAnsi="Times New Roman" w:cs="Times New Roman"/>
        </w:rPr>
        <w:t>Industry-university collaboration</w:t>
      </w:r>
    </w:p>
    <w:p w:rsidR="0024208A" w:rsidRPr="0024208A" w:rsidRDefault="0024208A" w:rsidP="0024208A">
      <w:pPr>
        <w:pStyle w:val="ListParagraph"/>
        <w:numPr>
          <w:ilvl w:val="0"/>
          <w:numId w:val="33"/>
        </w:numPr>
        <w:tabs>
          <w:tab w:val="left" w:pos="156"/>
        </w:tabs>
        <w:spacing w:before="0" w:after="0" w:line="276" w:lineRule="auto"/>
        <w:ind w:left="1080"/>
        <w:rPr>
          <w:rFonts w:ascii="Times New Roman" w:hAnsi="Times New Roman" w:cs="Times New Roman"/>
        </w:rPr>
      </w:pPr>
      <w:r w:rsidRPr="0024208A">
        <w:rPr>
          <w:rFonts w:ascii="Times New Roman" w:hAnsi="Times New Roman" w:cs="Times New Roman"/>
        </w:rPr>
        <w:t>Long-term marketing and promotions planning</w:t>
      </w:r>
    </w:p>
    <w:p w:rsidR="0024208A" w:rsidRPr="0024208A" w:rsidRDefault="0024208A" w:rsidP="0024208A">
      <w:pPr>
        <w:pStyle w:val="ListParagraph"/>
        <w:numPr>
          <w:ilvl w:val="0"/>
          <w:numId w:val="33"/>
        </w:numPr>
        <w:tabs>
          <w:tab w:val="left" w:pos="156"/>
        </w:tabs>
        <w:spacing w:before="0" w:after="0" w:line="276" w:lineRule="auto"/>
        <w:ind w:left="1080"/>
        <w:rPr>
          <w:rFonts w:ascii="Times New Roman" w:hAnsi="Times New Roman" w:cs="Times New Roman"/>
        </w:rPr>
      </w:pPr>
      <w:r w:rsidRPr="0024208A">
        <w:rPr>
          <w:rFonts w:ascii="Times New Roman" w:hAnsi="Times New Roman" w:cs="Times New Roman"/>
        </w:rPr>
        <w:t>Identity and brand management</w:t>
      </w:r>
    </w:p>
    <w:p w:rsidR="0024208A" w:rsidRPr="0024208A" w:rsidRDefault="0024208A" w:rsidP="0024208A">
      <w:pPr>
        <w:pStyle w:val="ListParagraph"/>
        <w:numPr>
          <w:ilvl w:val="0"/>
          <w:numId w:val="33"/>
        </w:numPr>
        <w:tabs>
          <w:tab w:val="left" w:pos="156"/>
        </w:tabs>
        <w:spacing w:before="0" w:after="0" w:line="276" w:lineRule="auto"/>
        <w:ind w:left="1080"/>
        <w:rPr>
          <w:rFonts w:ascii="Times New Roman" w:hAnsi="Times New Roman" w:cs="Times New Roman"/>
        </w:rPr>
      </w:pPr>
      <w:r w:rsidRPr="0024208A">
        <w:rPr>
          <w:rFonts w:ascii="Times New Roman" w:hAnsi="Times New Roman" w:cs="Times New Roman"/>
        </w:rPr>
        <w:t>Periodic review and revision of the incentive structure for the IT/</w:t>
      </w:r>
      <w:proofErr w:type="spellStart"/>
      <w:r w:rsidRPr="0024208A">
        <w:rPr>
          <w:rFonts w:ascii="Times New Roman" w:hAnsi="Times New Roman" w:cs="Times New Roman"/>
        </w:rPr>
        <w:t>ITeS</w:t>
      </w:r>
      <w:proofErr w:type="spellEnd"/>
      <w:r w:rsidRPr="0024208A">
        <w:rPr>
          <w:rFonts w:ascii="Times New Roman" w:hAnsi="Times New Roman" w:cs="Times New Roman"/>
        </w:rPr>
        <w:t xml:space="preserve"> sector</w:t>
      </w:r>
    </w:p>
    <w:p w:rsidR="0024208A" w:rsidRPr="0024208A" w:rsidRDefault="0024208A" w:rsidP="0024208A">
      <w:pPr>
        <w:pStyle w:val="ListParagraph"/>
        <w:numPr>
          <w:ilvl w:val="0"/>
          <w:numId w:val="33"/>
        </w:numPr>
        <w:tabs>
          <w:tab w:val="left" w:pos="156"/>
        </w:tabs>
        <w:spacing w:before="0" w:after="0" w:line="276" w:lineRule="auto"/>
        <w:ind w:left="1080"/>
        <w:rPr>
          <w:rFonts w:ascii="Times New Roman" w:hAnsi="Times New Roman" w:cs="Times New Roman"/>
        </w:rPr>
      </w:pPr>
      <w:r w:rsidRPr="0024208A">
        <w:rPr>
          <w:rFonts w:ascii="Times New Roman" w:hAnsi="Times New Roman" w:cs="Times New Roman"/>
        </w:rPr>
        <w:t>UGC strengthened</w:t>
      </w:r>
    </w:p>
    <w:p w:rsidR="0024208A" w:rsidRPr="0024208A" w:rsidRDefault="0024208A" w:rsidP="0024208A">
      <w:pPr>
        <w:pStyle w:val="ListParagraph"/>
        <w:numPr>
          <w:ilvl w:val="0"/>
          <w:numId w:val="33"/>
        </w:numPr>
        <w:tabs>
          <w:tab w:val="left" w:pos="156"/>
        </w:tabs>
        <w:spacing w:before="0" w:after="0" w:line="276" w:lineRule="auto"/>
        <w:ind w:left="1080"/>
        <w:rPr>
          <w:rFonts w:ascii="Times New Roman" w:hAnsi="Times New Roman" w:cs="Times New Roman"/>
        </w:rPr>
      </w:pPr>
      <w:r w:rsidRPr="0024208A">
        <w:rPr>
          <w:rFonts w:ascii="Times New Roman" w:hAnsi="Times New Roman" w:cs="Times New Roman"/>
        </w:rPr>
        <w:t>Serious capacity building at the relevant ministry and agencies undertaken</w:t>
      </w:r>
    </w:p>
    <w:p w:rsidR="00221A74" w:rsidRPr="0024208A" w:rsidRDefault="0024208A" w:rsidP="0024208A">
      <w:pPr>
        <w:pStyle w:val="ListParagraph"/>
        <w:numPr>
          <w:ilvl w:val="0"/>
          <w:numId w:val="33"/>
        </w:numPr>
        <w:tabs>
          <w:tab w:val="left" w:pos="156"/>
        </w:tabs>
        <w:spacing w:before="0" w:after="200" w:line="276" w:lineRule="auto"/>
        <w:ind w:left="1080"/>
        <w:rPr>
          <w:rFonts w:ascii="Times New Roman" w:hAnsi="Times New Roman" w:cs="Times New Roman"/>
        </w:rPr>
      </w:pPr>
      <w:r w:rsidRPr="0024208A">
        <w:rPr>
          <w:rFonts w:ascii="Times New Roman" w:hAnsi="Times New Roman" w:cs="Times New Roman"/>
        </w:rPr>
        <w:t>Partnership and cooperation arrangements with recognized and reputed foreign businesses, industries, universities, think tanks and research institutions</w:t>
      </w:r>
      <w:r w:rsidR="00044334" w:rsidRPr="0024208A">
        <w:rPr>
          <w:rFonts w:ascii="Times New Roman" w:hAnsi="Times New Roman" w:cs="Times New Roman"/>
          <w:color w:val="000000" w:themeColor="text1"/>
        </w:rPr>
        <w:t xml:space="preserve"> </w:t>
      </w:r>
    </w:p>
    <w:p w:rsidR="001A4324" w:rsidRPr="00225DBF" w:rsidRDefault="001A4324" w:rsidP="00225DBF">
      <w:pPr>
        <w:spacing w:before="0" w:after="200" w:line="276" w:lineRule="auto"/>
        <w:ind w:left="720"/>
        <w:rPr>
          <w:color w:val="000000" w:themeColor="text1"/>
        </w:rPr>
      </w:pPr>
      <w:r w:rsidRPr="00225DBF">
        <w:rPr>
          <w:color w:val="000000" w:themeColor="text1"/>
        </w:rPr>
        <w:t>Markets</w:t>
      </w:r>
      <w:r w:rsidR="00E251DE" w:rsidRPr="00225DBF">
        <w:rPr>
          <w:color w:val="000000" w:themeColor="text1"/>
        </w:rPr>
        <w:t xml:space="preserve">: </w:t>
      </w:r>
      <w:r w:rsidR="00E251DE" w:rsidRPr="00225DBF">
        <w:rPr>
          <w:color w:val="000000" w:themeColor="text1"/>
          <w:kern w:val="24"/>
        </w:rPr>
        <w:t>Size, structure and functioning of the domestic market</w:t>
      </w:r>
    </w:p>
    <w:p w:rsidR="001A4324" w:rsidRPr="001A4324" w:rsidRDefault="001A4324" w:rsidP="00F82A79">
      <w:pPr>
        <w:spacing w:before="0" w:after="200" w:line="276" w:lineRule="auto"/>
        <w:rPr>
          <w:color w:val="000000" w:themeColor="text1"/>
          <w:kern w:val="24"/>
        </w:rPr>
      </w:pPr>
      <w:r w:rsidRPr="001A4324">
        <w:rPr>
          <w:color w:val="000000" w:themeColor="text1"/>
          <w:kern w:val="24"/>
        </w:rPr>
        <w:t>Small size of the domestic market; fragmented market; lack of infrastructure for smooth market operation; monopolistic and monopsonistic market control by few; barriers to competition; barriers to entry; the lack of finance; lack of application of modern technology especially ICT, and the lack of policy continuity.</w:t>
      </w:r>
    </w:p>
    <w:p w:rsidR="001A4324" w:rsidRPr="001A4324" w:rsidRDefault="008502BF" w:rsidP="00F82A79">
      <w:pPr>
        <w:spacing w:before="0" w:after="200" w:line="276" w:lineRule="auto"/>
      </w:pPr>
      <w:r>
        <w:rPr>
          <w:b/>
        </w:rPr>
        <w:t>Short to medium-term u</w:t>
      </w:r>
      <w:r w:rsidRPr="00757FFA">
        <w:rPr>
          <w:b/>
        </w:rPr>
        <w:t xml:space="preserve">p to 2030: </w:t>
      </w:r>
      <w:r w:rsidR="001A4324" w:rsidRPr="001A4324">
        <w:t xml:space="preserve">Removing barriers to entry; eliminating cost of intermediation; reducing transaction costs by improving regulation, infrastructure (transport, storage and processing), and ICT; eliminating information asymmetry; stimulating demand and supply in response to income and price changes and technological progress, regional and international cooperation and climate change; formulating pricing policy with the objective of avoiding prolonged excess supply or demand and achieving other social and economic objectives; formulating policies and strategies to eliminate market fragmentation; implementing export promotion policies in line with comparative and competitive advantage; developing market institutions and pricing instruments to promote quality, cope with seasonality and </w:t>
      </w:r>
      <w:r w:rsidR="001A4324" w:rsidRPr="001A4324">
        <w:lastRenderedPageBreak/>
        <w:t xml:space="preserve">changing food habit; and rationalizing  the functioning of the produce, input, land, labor, capital and entrepreneur market </w:t>
      </w:r>
    </w:p>
    <w:p w:rsidR="00FC1DC7" w:rsidRDefault="008502BF" w:rsidP="00F82A79">
      <w:pPr>
        <w:spacing w:before="0" w:after="200" w:line="276" w:lineRule="auto"/>
      </w:pPr>
      <w:r>
        <w:rPr>
          <w:b/>
        </w:rPr>
        <w:t>Longer-term b</w:t>
      </w:r>
      <w:r w:rsidR="001A4324" w:rsidRPr="001A4324">
        <w:rPr>
          <w:b/>
        </w:rPr>
        <w:t xml:space="preserve">eyond 2030: </w:t>
      </w:r>
      <w:r w:rsidR="001A4324" w:rsidRPr="001A4324">
        <w:t>Continuation of the above</w:t>
      </w:r>
      <w:r w:rsidR="001A4324" w:rsidRPr="001A4324">
        <w:rPr>
          <w:b/>
        </w:rPr>
        <w:t xml:space="preserve"> </w:t>
      </w:r>
      <w:r w:rsidR="001A4324" w:rsidRPr="001A4324">
        <w:t xml:space="preserve">policy and strategy with a view to achieving complete market integration and liberalization with full application of </w:t>
      </w:r>
      <w:r w:rsidR="00FC1DC7" w:rsidRPr="001A4324">
        <w:t>ICT.</w:t>
      </w:r>
    </w:p>
    <w:p w:rsidR="00BF29A2" w:rsidRPr="00BF29A2" w:rsidRDefault="00FC1DC7" w:rsidP="00F82A79">
      <w:pPr>
        <w:spacing w:before="0" w:after="200" w:line="276" w:lineRule="auto"/>
      </w:pPr>
      <w:r>
        <w:t xml:space="preserve">On </w:t>
      </w:r>
      <w:r w:rsidRPr="00BF29A2">
        <w:t>important strategic approach to market development is integration that cuts across short, medium and longer term. The target as explained earlier is to improve connectivity within Bangladesh through investments in nine proposed economic corridors incorporating also the Southern Economic Corridor. This is costly and complex but returns are high as analysis shows. This program has to be pursued</w:t>
      </w:r>
      <w:r w:rsidR="00BF29A2" w:rsidRPr="00BF29A2">
        <w:t xml:space="preserve"> within a strategic framework containing the following:</w:t>
      </w:r>
    </w:p>
    <w:p w:rsidR="00BF29A2" w:rsidRPr="00BF29A2" w:rsidRDefault="00BF29A2" w:rsidP="00BF29A2">
      <w:pPr>
        <w:pStyle w:val="ListParagraph"/>
        <w:numPr>
          <w:ilvl w:val="0"/>
          <w:numId w:val="28"/>
        </w:numPr>
        <w:tabs>
          <w:tab w:val="left" w:pos="126"/>
        </w:tabs>
        <w:spacing w:before="0" w:after="0" w:line="276" w:lineRule="auto"/>
        <w:ind w:left="1166" w:hanging="446"/>
        <w:rPr>
          <w:rFonts w:ascii="Times New Roman" w:hAnsi="Times New Roman" w:cs="Times New Roman"/>
          <w:b/>
        </w:rPr>
      </w:pPr>
      <w:r w:rsidRPr="00BF29A2">
        <w:rPr>
          <w:rFonts w:ascii="Times New Roman" w:hAnsi="Times New Roman" w:cs="Times New Roman"/>
        </w:rPr>
        <w:t xml:space="preserve">Adopt the strategic approach to establish Comprehensive Integrated Multimodal Economic Corridor Network (CIMECON) for Bangladesh which is a precondition for sustained robust economic growth over the longer run </w:t>
      </w:r>
    </w:p>
    <w:p w:rsidR="00BF29A2" w:rsidRPr="00BF29A2" w:rsidRDefault="00BF29A2" w:rsidP="00BF29A2">
      <w:pPr>
        <w:pStyle w:val="ListParagraph"/>
        <w:numPr>
          <w:ilvl w:val="0"/>
          <w:numId w:val="28"/>
        </w:numPr>
        <w:tabs>
          <w:tab w:val="left" w:pos="126"/>
        </w:tabs>
        <w:spacing w:before="0" w:after="0" w:line="276" w:lineRule="auto"/>
        <w:ind w:left="1166" w:hanging="446"/>
        <w:rPr>
          <w:rFonts w:ascii="Times New Roman" w:hAnsi="Times New Roman" w:cs="Times New Roman"/>
          <w:b/>
        </w:rPr>
      </w:pPr>
      <w:r w:rsidRPr="00BF29A2">
        <w:rPr>
          <w:rFonts w:ascii="Times New Roman" w:hAnsi="Times New Roman" w:cs="Times New Roman"/>
        </w:rPr>
        <w:t>Invest in the nine corridors of CIMECON satisfying market integration and link criteria</w:t>
      </w:r>
    </w:p>
    <w:p w:rsidR="00BF29A2" w:rsidRPr="00BF29A2" w:rsidRDefault="00BF29A2" w:rsidP="00BF29A2">
      <w:pPr>
        <w:pStyle w:val="ListParagraph"/>
        <w:numPr>
          <w:ilvl w:val="0"/>
          <w:numId w:val="28"/>
        </w:numPr>
        <w:tabs>
          <w:tab w:val="left" w:pos="126"/>
        </w:tabs>
        <w:spacing w:before="0" w:after="0" w:line="276" w:lineRule="auto"/>
        <w:ind w:left="1166" w:hanging="446"/>
        <w:rPr>
          <w:rFonts w:ascii="Times New Roman" w:hAnsi="Times New Roman" w:cs="Times New Roman"/>
          <w:b/>
        </w:rPr>
      </w:pPr>
      <w:r w:rsidRPr="00BF29A2">
        <w:rPr>
          <w:rFonts w:ascii="Times New Roman" w:hAnsi="Times New Roman" w:cs="Times New Roman"/>
        </w:rPr>
        <w:t>Invest in manpower development to support CIMECON</w:t>
      </w:r>
    </w:p>
    <w:p w:rsidR="00BF29A2" w:rsidRPr="00BF29A2" w:rsidRDefault="00BF29A2" w:rsidP="00BF29A2">
      <w:pPr>
        <w:pStyle w:val="ListParagraph"/>
        <w:numPr>
          <w:ilvl w:val="0"/>
          <w:numId w:val="28"/>
        </w:numPr>
        <w:tabs>
          <w:tab w:val="left" w:pos="126"/>
        </w:tabs>
        <w:spacing w:before="0" w:after="0" w:line="276" w:lineRule="auto"/>
        <w:ind w:left="1166" w:hanging="446"/>
        <w:rPr>
          <w:rFonts w:ascii="Times New Roman" w:hAnsi="Times New Roman" w:cs="Times New Roman"/>
          <w:b/>
        </w:rPr>
      </w:pPr>
      <w:r w:rsidRPr="00BF29A2">
        <w:rPr>
          <w:rFonts w:ascii="Times New Roman" w:hAnsi="Times New Roman" w:cs="Times New Roman"/>
        </w:rPr>
        <w:t>Establish a CIMECON Management Authority</w:t>
      </w:r>
    </w:p>
    <w:p w:rsidR="00BF29A2" w:rsidRPr="00BF29A2" w:rsidRDefault="00BF29A2" w:rsidP="00BF29A2">
      <w:pPr>
        <w:pStyle w:val="ListParagraph"/>
        <w:numPr>
          <w:ilvl w:val="0"/>
          <w:numId w:val="28"/>
        </w:numPr>
        <w:tabs>
          <w:tab w:val="left" w:pos="126"/>
        </w:tabs>
        <w:spacing w:before="0" w:after="0" w:line="276" w:lineRule="auto"/>
        <w:ind w:left="1166" w:hanging="446"/>
        <w:rPr>
          <w:rFonts w:ascii="Times New Roman" w:hAnsi="Times New Roman" w:cs="Times New Roman"/>
          <w:b/>
        </w:rPr>
      </w:pPr>
      <w:r w:rsidRPr="00BF29A2">
        <w:rPr>
          <w:rFonts w:ascii="Times New Roman" w:hAnsi="Times New Roman" w:cs="Times New Roman"/>
        </w:rPr>
        <w:t>Harness private-public resources to construct and maintain economic corridors and related facilities</w:t>
      </w:r>
    </w:p>
    <w:p w:rsidR="00BF29A2" w:rsidRPr="00BF29A2" w:rsidRDefault="00BF29A2" w:rsidP="00BF29A2">
      <w:pPr>
        <w:pStyle w:val="ListParagraph"/>
        <w:numPr>
          <w:ilvl w:val="0"/>
          <w:numId w:val="28"/>
        </w:numPr>
        <w:tabs>
          <w:tab w:val="left" w:pos="126"/>
        </w:tabs>
        <w:spacing w:before="0" w:after="0" w:line="276" w:lineRule="auto"/>
        <w:ind w:left="1166" w:hanging="446"/>
        <w:rPr>
          <w:rFonts w:ascii="Times New Roman" w:hAnsi="Times New Roman" w:cs="Times New Roman"/>
          <w:b/>
        </w:rPr>
      </w:pPr>
      <w:r w:rsidRPr="00BF29A2">
        <w:rPr>
          <w:rFonts w:ascii="Times New Roman" w:hAnsi="Times New Roman" w:cs="Times New Roman"/>
        </w:rPr>
        <w:t>Develop a policy framework to facilitate Bangladesh’s integration into regional value chain</w:t>
      </w:r>
    </w:p>
    <w:p w:rsidR="00BF29A2" w:rsidRPr="00BF29A2" w:rsidRDefault="00BF29A2" w:rsidP="00BF29A2">
      <w:pPr>
        <w:pStyle w:val="ListParagraph"/>
        <w:numPr>
          <w:ilvl w:val="0"/>
          <w:numId w:val="28"/>
        </w:numPr>
        <w:tabs>
          <w:tab w:val="left" w:pos="126"/>
        </w:tabs>
        <w:spacing w:before="0" w:after="0" w:line="276" w:lineRule="auto"/>
        <w:ind w:left="1166" w:hanging="446"/>
        <w:rPr>
          <w:rFonts w:ascii="Times New Roman" w:hAnsi="Times New Roman" w:cs="Times New Roman"/>
          <w:b/>
        </w:rPr>
      </w:pPr>
      <w:r w:rsidRPr="00BF29A2">
        <w:rPr>
          <w:rFonts w:ascii="Times New Roman" w:hAnsi="Times New Roman" w:cs="Times New Roman"/>
        </w:rPr>
        <w:t>Promote public-private participation in investments for infrastructure supporting environmentally sustainable and climate resilient integrated agricultural value chain supplying safe and quality products to the rapidly rising urban population and also rural residents whose income will also be rising as growth accelerates during SPPB</w:t>
      </w:r>
    </w:p>
    <w:p w:rsidR="008803D2" w:rsidRPr="00BF29A2" w:rsidRDefault="00BF29A2" w:rsidP="00BF29A2">
      <w:pPr>
        <w:pStyle w:val="ListParagraph"/>
        <w:numPr>
          <w:ilvl w:val="0"/>
          <w:numId w:val="28"/>
        </w:numPr>
        <w:tabs>
          <w:tab w:val="left" w:pos="126"/>
        </w:tabs>
        <w:spacing w:before="0" w:after="0" w:line="276" w:lineRule="auto"/>
        <w:ind w:left="1166" w:hanging="446"/>
        <w:rPr>
          <w:rFonts w:ascii="Times New Roman" w:hAnsi="Times New Roman" w:cs="Times New Roman"/>
          <w:b/>
          <w:sz w:val="18"/>
          <w:szCs w:val="18"/>
        </w:rPr>
      </w:pPr>
      <w:r w:rsidRPr="00BF29A2">
        <w:rPr>
          <w:rFonts w:ascii="Times New Roman" w:hAnsi="Times New Roman" w:cs="Times New Roman"/>
        </w:rPr>
        <w:t>Promote the development of economic zones along economic corridors on a priority basis</w:t>
      </w:r>
      <w:r w:rsidR="00FC1DC7">
        <w:t xml:space="preserve"> </w:t>
      </w:r>
      <w:r w:rsidR="008803D2" w:rsidRPr="00BF29A2">
        <w:rPr>
          <w:b/>
          <w:caps/>
          <w:color w:val="0070C0"/>
        </w:rPr>
        <w:br w:type="page"/>
      </w:r>
    </w:p>
    <w:p w:rsidR="00A26F90" w:rsidRPr="00265E01" w:rsidRDefault="00A26F90" w:rsidP="00265E01">
      <w:pPr>
        <w:spacing w:before="0" w:after="200" w:line="276" w:lineRule="auto"/>
        <w:jc w:val="center"/>
        <w:rPr>
          <w:b/>
          <w:caps/>
          <w:color w:val="0070C0"/>
        </w:rPr>
      </w:pPr>
      <w:r w:rsidRPr="00265E01">
        <w:rPr>
          <w:b/>
          <w:caps/>
          <w:color w:val="0070C0"/>
        </w:rPr>
        <w:lastRenderedPageBreak/>
        <w:t>references</w:t>
      </w:r>
    </w:p>
    <w:p w:rsidR="002B4074" w:rsidRPr="00C82DC2" w:rsidRDefault="002B4074" w:rsidP="00C82DC2">
      <w:pPr>
        <w:spacing w:line="276" w:lineRule="auto"/>
      </w:pPr>
      <w:proofErr w:type="spellStart"/>
      <w:r w:rsidRPr="00C82DC2">
        <w:rPr>
          <w:rFonts w:eastAsia="Times New Roman"/>
          <w:color w:val="000000"/>
        </w:rPr>
        <w:t>Abdin</w:t>
      </w:r>
      <w:proofErr w:type="spellEnd"/>
      <w:r w:rsidRPr="00C82DC2">
        <w:rPr>
          <w:rFonts w:eastAsia="Times New Roman"/>
          <w:color w:val="000000"/>
        </w:rPr>
        <w:t xml:space="preserve"> MJ. 2015. Foreign Direct Investment (FDI) in Bangladesh: Trends, Challenges and Recommendations. Int J Econ </w:t>
      </w:r>
      <w:proofErr w:type="spellStart"/>
      <w:r w:rsidRPr="00C82DC2">
        <w:rPr>
          <w:rFonts w:eastAsia="Times New Roman"/>
          <w:color w:val="000000"/>
        </w:rPr>
        <w:t>Manag</w:t>
      </w:r>
      <w:proofErr w:type="spellEnd"/>
      <w:r w:rsidRPr="00C82DC2">
        <w:rPr>
          <w:rFonts w:eastAsia="Times New Roman"/>
          <w:color w:val="000000"/>
        </w:rPr>
        <w:t xml:space="preserve"> Sci 4:276.</w:t>
      </w:r>
    </w:p>
    <w:p w:rsidR="002B4074" w:rsidRPr="00C82DC2" w:rsidRDefault="002B4074" w:rsidP="00C82DC2">
      <w:pPr>
        <w:spacing w:line="276" w:lineRule="auto"/>
      </w:pPr>
      <w:r w:rsidRPr="00C82DC2">
        <w:t xml:space="preserve">Acemoglu, Daron, Francisco A. Gallego and James A. Robinson. 2014. Institutions, Human Capital and Development.  NBER Working Paper 19933, National Bureau of Economic Research, 1050 Massachusetts Avenue Cambridge, MA 02138 February 2014 </w:t>
      </w:r>
      <w:hyperlink r:id="rId136" w:history="1">
        <w:r w:rsidRPr="00C82DC2">
          <w:rPr>
            <w:rStyle w:val="Hyperlink"/>
          </w:rPr>
          <w:t>http://www.nber.org/papers/w19933</w:t>
        </w:r>
      </w:hyperlink>
    </w:p>
    <w:p w:rsidR="002B4074" w:rsidRPr="00C82DC2" w:rsidRDefault="002B4074" w:rsidP="00C82DC2">
      <w:pPr>
        <w:pStyle w:val="NormalWeb"/>
        <w:shd w:val="clear" w:color="auto" w:fill="FFFFFF"/>
        <w:spacing w:before="120" w:beforeAutospacing="0" w:after="120" w:afterAutospacing="0"/>
        <w:jc w:val="both"/>
        <w:rPr>
          <w:b w:val="0"/>
        </w:rPr>
      </w:pPr>
      <w:r w:rsidRPr="00C82DC2">
        <w:rPr>
          <w:b w:val="0"/>
        </w:rPr>
        <w:t xml:space="preserve">ADB. 2011. </w:t>
      </w:r>
      <w:r w:rsidRPr="00C82DC2">
        <w:rPr>
          <w:b w:val="0"/>
          <w:i/>
        </w:rPr>
        <w:t>Higher Education Across Asia: An Overview of Issues and Strategies.</w:t>
      </w:r>
      <w:r w:rsidRPr="00C82DC2">
        <w:rPr>
          <w:b w:val="0"/>
        </w:rPr>
        <w:t xml:space="preserve"> Manila.</w:t>
      </w:r>
    </w:p>
    <w:p w:rsidR="002B4074" w:rsidRPr="00C82DC2" w:rsidRDefault="002B4074" w:rsidP="00C82DC2">
      <w:pPr>
        <w:pStyle w:val="NormalWeb"/>
        <w:shd w:val="clear" w:color="auto" w:fill="FFFFFF"/>
        <w:spacing w:before="120" w:beforeAutospacing="0" w:after="120" w:afterAutospacing="0"/>
        <w:jc w:val="both"/>
        <w:rPr>
          <w:b w:val="0"/>
        </w:rPr>
      </w:pPr>
      <w:r w:rsidRPr="00C82DC2">
        <w:rPr>
          <w:b w:val="0"/>
        </w:rPr>
        <w:t xml:space="preserve">Ahmed, Sadiq, Mohiuddin Alamgir and Mustafa Kamal Mujeri. 2016.  </w:t>
      </w:r>
      <w:r w:rsidRPr="00C82DC2">
        <w:rPr>
          <w:b w:val="0"/>
          <w:i/>
        </w:rPr>
        <w:t xml:space="preserve">Strengthening Institutions to Accelerate Growth and Lower Poverty.  </w:t>
      </w:r>
      <w:r w:rsidRPr="00C82DC2">
        <w:rPr>
          <w:b w:val="0"/>
        </w:rPr>
        <w:t>Bangladesh Economists Forum, Dhaka.</w:t>
      </w:r>
    </w:p>
    <w:p w:rsidR="002B4074" w:rsidRPr="00C82DC2" w:rsidRDefault="002B4074" w:rsidP="00C82DC2">
      <w:pPr>
        <w:spacing w:line="276" w:lineRule="auto"/>
      </w:pPr>
      <w:r w:rsidRPr="00C82DC2">
        <w:t>Ahmed, Sadiq. 2015. Employment, Productivity, Real Wages and Labor Markets in Bangladesh. Policy Research Institute of Bangladesh.</w:t>
      </w:r>
    </w:p>
    <w:p w:rsidR="002B4074" w:rsidRPr="00C82DC2" w:rsidRDefault="002B4074" w:rsidP="00C82DC2">
      <w:pPr>
        <w:spacing w:line="276" w:lineRule="auto"/>
      </w:pPr>
      <w:r w:rsidRPr="00C82DC2">
        <w:t xml:space="preserve">Ahmed, Sadiq. 2015. Searching for Sources of Growth in Bangladesh. </w:t>
      </w:r>
      <w:r w:rsidRPr="00C82DC2">
        <w:rPr>
          <w:bCs/>
        </w:rPr>
        <w:t xml:space="preserve">In </w:t>
      </w:r>
      <w:r w:rsidRPr="00C82DC2">
        <w:t xml:space="preserve">Sadiq Ahmed, Mohiuddin Alamgir, Mustafa K. Mujeri and Atiur Rahman (eds.), </w:t>
      </w:r>
      <w:r w:rsidRPr="00C82DC2">
        <w:rPr>
          <w:bCs/>
        </w:rPr>
        <w:t>Vision 2030: A Framework for Economic Policy Making and Strategy Formulation in a Pluralistic Democracy</w:t>
      </w:r>
      <w:r w:rsidRPr="00C82DC2">
        <w:t>. Dhaka: Bangladesh Institute of Banking Management 2015, pp 49-83.</w:t>
      </w:r>
    </w:p>
    <w:p w:rsidR="002B4074" w:rsidRPr="00C82DC2" w:rsidRDefault="002B4074" w:rsidP="00C82DC2">
      <w:pPr>
        <w:spacing w:line="276" w:lineRule="auto"/>
        <w:rPr>
          <w:color w:val="000000" w:themeColor="text1"/>
        </w:rPr>
      </w:pPr>
      <w:r w:rsidRPr="00C82DC2">
        <w:t>Ahmed, Sadiq. 2016. Fiscal Policy for a middle income Bangladesh. Financial Express, Dhaka, 25 May 2016.</w:t>
      </w:r>
    </w:p>
    <w:p w:rsidR="002B4074" w:rsidRPr="00C82DC2" w:rsidRDefault="002B4074" w:rsidP="00C82DC2">
      <w:pPr>
        <w:spacing w:line="276" w:lineRule="auto"/>
        <w:rPr>
          <w:color w:val="000000" w:themeColor="text1"/>
        </w:rPr>
      </w:pPr>
      <w:r w:rsidRPr="00C82DC2">
        <w:rPr>
          <w:color w:val="000000" w:themeColor="text1"/>
        </w:rPr>
        <w:t xml:space="preserve">Ahmed, Sadiq. 2017. Service Sector Development to Support High Growth in a Transforming Economy. Background paper for the 2041 Perspective Plan. Prepared for the General Economics Division of the Planning Commission, Government of Bangladesh </w:t>
      </w:r>
    </w:p>
    <w:p w:rsidR="002B4074" w:rsidRPr="00C82DC2" w:rsidRDefault="002B4074" w:rsidP="00C82DC2">
      <w:pPr>
        <w:spacing w:line="276" w:lineRule="auto"/>
        <w:rPr>
          <w:color w:val="000000" w:themeColor="text1"/>
        </w:rPr>
      </w:pPr>
      <w:r w:rsidRPr="00C82DC2">
        <w:rPr>
          <w:color w:val="000000" w:themeColor="text1"/>
        </w:rPr>
        <w:t>Alamgir, Mohiuddin</w:t>
      </w:r>
      <w:r w:rsidRPr="00C82DC2">
        <w:rPr>
          <w:rFonts w:eastAsia="Times New Roman"/>
          <w:color w:val="000000" w:themeColor="text1"/>
        </w:rPr>
        <w:t xml:space="preserve">. 2015a. </w:t>
      </w:r>
      <w:r w:rsidRPr="00C82DC2">
        <w:t>“Avoiding Middle Income Trap and Jobless Growth in Bangladesh</w:t>
      </w:r>
      <w:r w:rsidRPr="00C82DC2">
        <w:rPr>
          <w:bCs/>
        </w:rPr>
        <w:t xml:space="preserve">”. In </w:t>
      </w:r>
      <w:r w:rsidRPr="00C82DC2">
        <w:t xml:space="preserve">Sadiq Ahmed, Mohiuddin Alamgir, Mustafa K. Mujeri and Atiur Rahman (eds.), </w:t>
      </w:r>
      <w:r w:rsidRPr="00C82DC2">
        <w:rPr>
          <w:bCs/>
        </w:rPr>
        <w:t>Vision 2030: A Framework for Economic Policy Making and Strategy Formulation in a Pluralistic Democracy</w:t>
      </w:r>
      <w:r w:rsidRPr="00C82DC2">
        <w:t>. Dhaka: Bangladesh Institute of Banking Management 2015, pp 65-122.</w:t>
      </w:r>
    </w:p>
    <w:p w:rsidR="002B4074" w:rsidRPr="00C82DC2" w:rsidRDefault="002B4074" w:rsidP="00C82DC2">
      <w:pPr>
        <w:spacing w:line="276" w:lineRule="auto"/>
        <w:rPr>
          <w:rFonts w:eastAsia="Times New Roman"/>
          <w:bCs/>
          <w:color w:val="000000"/>
          <w:kern w:val="36"/>
        </w:rPr>
      </w:pPr>
      <w:r w:rsidRPr="00C82DC2">
        <w:rPr>
          <w:color w:val="000000" w:themeColor="text1"/>
        </w:rPr>
        <w:t>Alamgir, Mohiuddin</w:t>
      </w:r>
      <w:r w:rsidRPr="00C82DC2">
        <w:rPr>
          <w:rFonts w:eastAsia="Times New Roman"/>
          <w:color w:val="000000" w:themeColor="text1"/>
        </w:rPr>
        <w:t xml:space="preserve">. 2015b. </w:t>
      </w:r>
      <w:r w:rsidRPr="00C82DC2">
        <w:rPr>
          <w:i/>
        </w:rPr>
        <w:t>Ethics in Banking: A Human Folly or Systemic Failure?</w:t>
      </w:r>
      <w:r w:rsidRPr="00C82DC2">
        <w:t xml:space="preserve"> (Dhaka: Bangladesh Institute of Banking Management 2015).</w:t>
      </w:r>
    </w:p>
    <w:p w:rsidR="002B4074" w:rsidRPr="00C82DC2" w:rsidRDefault="002B4074" w:rsidP="00C82DC2">
      <w:pPr>
        <w:spacing w:line="276" w:lineRule="auto"/>
        <w:rPr>
          <w:rFonts w:eastAsia="Times New Roman"/>
          <w:bCs/>
          <w:color w:val="000000"/>
          <w:kern w:val="36"/>
        </w:rPr>
      </w:pPr>
      <w:r w:rsidRPr="00C82DC2">
        <w:rPr>
          <w:rFonts w:eastAsia="Times New Roman"/>
          <w:bCs/>
          <w:color w:val="000000"/>
          <w:kern w:val="36"/>
        </w:rPr>
        <w:t xml:space="preserve">Alamgir, Mohiuddin. 2016. </w:t>
      </w:r>
      <w:r w:rsidRPr="00C82DC2">
        <w:t>“Land-use planning in Bangladesh: balancing equity and efficiency”. Paper presented at the Third Annual Conference of the Bangladesh Economists’ Forum (BEF) at the Bangladesh Bank Training Academy (BBTA) Auditorium, Dhaka 31 December 2016.</w:t>
      </w:r>
    </w:p>
    <w:p w:rsidR="002B4074" w:rsidRPr="00C82DC2" w:rsidRDefault="002B4074" w:rsidP="00C82DC2">
      <w:pPr>
        <w:spacing w:line="276" w:lineRule="auto"/>
        <w:rPr>
          <w:bCs/>
        </w:rPr>
      </w:pPr>
      <w:r w:rsidRPr="00C82DC2">
        <w:t xml:space="preserve">Alamgir, Mohiuddin. 2016. Framework for ICT Skills Development. </w:t>
      </w:r>
      <w:r w:rsidRPr="00C82DC2">
        <w:rPr>
          <w:bCs/>
        </w:rPr>
        <w:t xml:space="preserve">Presentation </w:t>
      </w:r>
      <w:r w:rsidRPr="00C82DC2">
        <w:rPr>
          <w:bCs/>
          <w:lang w:eastAsia="ko-KR"/>
        </w:rPr>
        <w:t>at the Seminar on University-Industry Linkages to Address IT/ITES Sector Skills Gaps in Bangladesh, ADB Bangladesh Resident Mission Conference Room</w:t>
      </w:r>
      <w:r w:rsidRPr="00C82DC2">
        <w:rPr>
          <w:bCs/>
        </w:rPr>
        <w:t>, Dhaka, 13 December 2016</w:t>
      </w:r>
    </w:p>
    <w:p w:rsidR="002B4074" w:rsidRPr="00C82DC2" w:rsidRDefault="002B4074" w:rsidP="00C82DC2">
      <w:pPr>
        <w:spacing w:line="276" w:lineRule="auto"/>
        <w:rPr>
          <w:rFonts w:eastAsia="Times New Roman"/>
          <w:bCs/>
          <w:color w:val="000000"/>
          <w:kern w:val="36"/>
        </w:rPr>
      </w:pPr>
      <w:r w:rsidRPr="00C82DC2">
        <w:rPr>
          <w:rFonts w:eastAsia="Times New Roman"/>
          <w:bCs/>
          <w:color w:val="000000"/>
          <w:kern w:val="36"/>
        </w:rPr>
        <w:t xml:space="preserve">Alamgir, Mohiuddin. 2017. </w:t>
      </w:r>
      <w:r w:rsidRPr="00C82DC2">
        <w:rPr>
          <w:i/>
        </w:rPr>
        <w:t xml:space="preserve">Connecting Bangladesh: Economic Corridor Network. </w:t>
      </w:r>
      <w:r w:rsidRPr="00C82DC2">
        <w:t>2016. ADB South Asia Working Paper Series No. 49. Asian Development Bank, Manila.</w:t>
      </w:r>
    </w:p>
    <w:p w:rsidR="002B4074" w:rsidRPr="00C82DC2" w:rsidRDefault="002B4074" w:rsidP="00C82DC2">
      <w:pPr>
        <w:spacing w:line="276" w:lineRule="auto"/>
        <w:rPr>
          <w:color w:val="000000" w:themeColor="text1"/>
        </w:rPr>
      </w:pPr>
      <w:proofErr w:type="spellStart"/>
      <w:r w:rsidRPr="00C82DC2">
        <w:rPr>
          <w:rFonts w:eastAsia="Times New Roman"/>
          <w:bCs/>
          <w:color w:val="000000"/>
          <w:kern w:val="36"/>
        </w:rPr>
        <w:lastRenderedPageBreak/>
        <w:t>Alim</w:t>
      </w:r>
      <w:proofErr w:type="spellEnd"/>
      <w:r w:rsidRPr="00C82DC2">
        <w:rPr>
          <w:rFonts w:eastAsia="Times New Roman"/>
          <w:bCs/>
          <w:color w:val="000000"/>
          <w:kern w:val="36"/>
        </w:rPr>
        <w:t xml:space="preserve">, Abdul. 2015. Local Government Polls: Partisan vs non-partisan. The Daily Star, October 28, 2015. </w:t>
      </w:r>
      <w:hyperlink r:id="rId137" w:history="1">
        <w:r w:rsidRPr="00C82DC2">
          <w:rPr>
            <w:rStyle w:val="Hyperlink"/>
            <w:rFonts w:eastAsia="Times New Roman"/>
            <w:bCs/>
            <w:kern w:val="36"/>
          </w:rPr>
          <w:t>http://www.thedailystar.net/op-ed/politics/local-government-polls-partisan-vs-non-partisan-163177</w:t>
        </w:r>
      </w:hyperlink>
      <w:r w:rsidRPr="00C82DC2">
        <w:rPr>
          <w:rFonts w:eastAsia="Times New Roman"/>
          <w:bCs/>
          <w:color w:val="000000"/>
          <w:kern w:val="36"/>
        </w:rPr>
        <w:t xml:space="preserve"> </w:t>
      </w:r>
    </w:p>
    <w:p w:rsidR="002B4074" w:rsidRPr="00C82DC2" w:rsidRDefault="002B4074" w:rsidP="00C82DC2">
      <w:pPr>
        <w:pStyle w:val="NormalWeb"/>
        <w:shd w:val="clear" w:color="auto" w:fill="FFFFFF"/>
        <w:spacing w:before="120" w:beforeAutospacing="0" w:after="120" w:afterAutospacing="0"/>
        <w:jc w:val="both"/>
        <w:rPr>
          <w:b w:val="0"/>
        </w:rPr>
      </w:pPr>
      <w:r w:rsidRPr="00C82DC2">
        <w:rPr>
          <w:b w:val="0"/>
          <w:color w:val="000000" w:themeColor="text1"/>
        </w:rPr>
        <w:t xml:space="preserve">Asadullah, M. Niaz, Antonio </w:t>
      </w:r>
      <w:proofErr w:type="spellStart"/>
      <w:r w:rsidRPr="00C82DC2">
        <w:rPr>
          <w:b w:val="0"/>
          <w:color w:val="000000" w:themeColor="text1"/>
        </w:rPr>
        <w:t>Savoia</w:t>
      </w:r>
      <w:proofErr w:type="spellEnd"/>
      <w:r w:rsidRPr="00C82DC2">
        <w:rPr>
          <w:b w:val="0"/>
          <w:color w:val="000000" w:themeColor="text1"/>
        </w:rPr>
        <w:t xml:space="preserve"> and </w:t>
      </w:r>
      <w:proofErr w:type="spellStart"/>
      <w:r w:rsidRPr="00C82DC2">
        <w:rPr>
          <w:b w:val="0"/>
          <w:color w:val="000000" w:themeColor="text1"/>
        </w:rPr>
        <w:t>Wahiduddin</w:t>
      </w:r>
      <w:proofErr w:type="spellEnd"/>
      <w:r w:rsidRPr="00C82DC2">
        <w:rPr>
          <w:b w:val="0"/>
          <w:color w:val="000000" w:themeColor="text1"/>
        </w:rPr>
        <w:t xml:space="preserve"> Mahmud. 2014. </w:t>
      </w:r>
      <w:r w:rsidRPr="00C82DC2">
        <w:rPr>
          <w:b w:val="0"/>
          <w:iCs/>
          <w:color w:val="000000" w:themeColor="text1"/>
          <w:w w:val="95"/>
        </w:rPr>
        <w:t>Paths</w:t>
      </w:r>
      <w:r w:rsidRPr="00C82DC2">
        <w:rPr>
          <w:b w:val="0"/>
          <w:iCs/>
          <w:color w:val="000000" w:themeColor="text1"/>
          <w:spacing w:val="-38"/>
          <w:w w:val="95"/>
        </w:rPr>
        <w:t xml:space="preserve"> </w:t>
      </w:r>
      <w:r w:rsidRPr="00C82DC2">
        <w:rPr>
          <w:b w:val="0"/>
          <w:iCs/>
          <w:color w:val="000000" w:themeColor="text1"/>
          <w:w w:val="95"/>
        </w:rPr>
        <w:t>to</w:t>
      </w:r>
      <w:r w:rsidRPr="00C82DC2">
        <w:rPr>
          <w:b w:val="0"/>
          <w:iCs/>
          <w:color w:val="000000" w:themeColor="text1"/>
          <w:spacing w:val="-37"/>
          <w:w w:val="95"/>
        </w:rPr>
        <w:t xml:space="preserve"> </w:t>
      </w:r>
      <w:r w:rsidRPr="00C82DC2">
        <w:rPr>
          <w:b w:val="0"/>
          <w:iCs/>
          <w:color w:val="000000" w:themeColor="text1"/>
          <w:w w:val="95"/>
        </w:rPr>
        <w:t>Development:</w:t>
      </w:r>
      <w:r w:rsidRPr="00C82DC2">
        <w:rPr>
          <w:b w:val="0"/>
          <w:iCs/>
          <w:color w:val="000000" w:themeColor="text1"/>
          <w:spacing w:val="-37"/>
          <w:w w:val="95"/>
        </w:rPr>
        <w:t xml:space="preserve"> </w:t>
      </w:r>
      <w:r w:rsidRPr="00C82DC2">
        <w:rPr>
          <w:b w:val="0"/>
          <w:iCs/>
          <w:color w:val="000000" w:themeColor="text1"/>
          <w:w w:val="95"/>
        </w:rPr>
        <w:t>Is</w:t>
      </w:r>
      <w:r w:rsidRPr="00C82DC2">
        <w:rPr>
          <w:b w:val="0"/>
          <w:iCs/>
          <w:color w:val="000000" w:themeColor="text1"/>
          <w:spacing w:val="-38"/>
          <w:w w:val="95"/>
        </w:rPr>
        <w:t xml:space="preserve"> </w:t>
      </w:r>
      <w:r w:rsidRPr="00C82DC2">
        <w:rPr>
          <w:b w:val="0"/>
          <w:iCs/>
          <w:color w:val="000000" w:themeColor="text1"/>
          <w:w w:val="95"/>
        </w:rPr>
        <w:t>there</w:t>
      </w:r>
      <w:r w:rsidRPr="00C82DC2">
        <w:rPr>
          <w:b w:val="0"/>
          <w:iCs/>
          <w:color w:val="000000" w:themeColor="text1"/>
          <w:spacing w:val="-37"/>
          <w:w w:val="95"/>
        </w:rPr>
        <w:t xml:space="preserve"> </w:t>
      </w:r>
      <w:r w:rsidRPr="00C82DC2">
        <w:rPr>
          <w:b w:val="0"/>
          <w:iCs/>
          <w:color w:val="000000" w:themeColor="text1"/>
          <w:w w:val="95"/>
        </w:rPr>
        <w:t>a</w:t>
      </w:r>
      <w:r w:rsidRPr="00C82DC2">
        <w:rPr>
          <w:b w:val="0"/>
          <w:iCs/>
          <w:color w:val="000000" w:themeColor="text1"/>
          <w:spacing w:val="-37"/>
          <w:w w:val="95"/>
        </w:rPr>
        <w:t xml:space="preserve"> </w:t>
      </w:r>
      <w:r w:rsidRPr="00C82DC2">
        <w:rPr>
          <w:b w:val="0"/>
          <w:iCs/>
          <w:color w:val="000000" w:themeColor="text1"/>
          <w:w w:val="95"/>
        </w:rPr>
        <w:t>Bangladesh</w:t>
      </w:r>
      <w:r w:rsidRPr="00C82DC2">
        <w:rPr>
          <w:b w:val="0"/>
          <w:iCs/>
          <w:color w:val="000000" w:themeColor="text1"/>
          <w:spacing w:val="-36"/>
          <w:w w:val="95"/>
        </w:rPr>
        <w:t xml:space="preserve"> </w:t>
      </w:r>
      <w:r w:rsidRPr="00C82DC2">
        <w:rPr>
          <w:b w:val="0"/>
          <w:iCs/>
          <w:color w:val="000000" w:themeColor="text1"/>
          <w:w w:val="95"/>
        </w:rPr>
        <w:t xml:space="preserve">Surprise? </w:t>
      </w:r>
      <w:r w:rsidRPr="00C82DC2">
        <w:rPr>
          <w:b w:val="0"/>
          <w:color w:val="000000" w:themeColor="text1"/>
          <w:w w:val="95"/>
        </w:rPr>
        <w:t>World</w:t>
      </w:r>
      <w:r w:rsidRPr="00C82DC2">
        <w:rPr>
          <w:b w:val="0"/>
          <w:color w:val="000000" w:themeColor="text1"/>
          <w:spacing w:val="-5"/>
          <w:w w:val="95"/>
        </w:rPr>
        <w:t xml:space="preserve"> </w:t>
      </w:r>
      <w:r w:rsidRPr="00C82DC2">
        <w:rPr>
          <w:b w:val="0"/>
          <w:color w:val="000000" w:themeColor="text1"/>
          <w:w w:val="95"/>
        </w:rPr>
        <w:t>Development</w:t>
      </w:r>
      <w:r w:rsidRPr="00C82DC2">
        <w:rPr>
          <w:b w:val="0"/>
          <w:iCs/>
          <w:color w:val="000000" w:themeColor="text1"/>
          <w:w w:val="95"/>
        </w:rPr>
        <w:t xml:space="preserve"> Vol.</w:t>
      </w:r>
      <w:r w:rsidRPr="00C82DC2">
        <w:rPr>
          <w:b w:val="0"/>
          <w:iCs/>
          <w:color w:val="000000" w:themeColor="text1"/>
          <w:spacing w:val="-9"/>
          <w:w w:val="95"/>
        </w:rPr>
        <w:t xml:space="preserve"> </w:t>
      </w:r>
      <w:r w:rsidRPr="00C82DC2">
        <w:rPr>
          <w:b w:val="0"/>
          <w:iCs/>
          <w:color w:val="000000" w:themeColor="text1"/>
          <w:w w:val="95"/>
        </w:rPr>
        <w:t>62,</w:t>
      </w:r>
      <w:r w:rsidRPr="00C82DC2">
        <w:rPr>
          <w:b w:val="0"/>
          <w:iCs/>
          <w:color w:val="000000" w:themeColor="text1"/>
          <w:spacing w:val="-9"/>
          <w:w w:val="95"/>
        </w:rPr>
        <w:t xml:space="preserve"> </w:t>
      </w:r>
      <w:r w:rsidRPr="00C82DC2">
        <w:rPr>
          <w:b w:val="0"/>
          <w:iCs/>
          <w:color w:val="000000" w:themeColor="text1"/>
          <w:w w:val="95"/>
        </w:rPr>
        <w:t>pp.</w:t>
      </w:r>
      <w:r w:rsidRPr="00C82DC2">
        <w:rPr>
          <w:b w:val="0"/>
          <w:iCs/>
          <w:color w:val="000000" w:themeColor="text1"/>
          <w:spacing w:val="-9"/>
          <w:w w:val="95"/>
        </w:rPr>
        <w:t xml:space="preserve"> </w:t>
      </w:r>
      <w:r w:rsidRPr="00C82DC2">
        <w:rPr>
          <w:b w:val="0"/>
          <w:iCs/>
          <w:color w:val="000000" w:themeColor="text1"/>
          <w:w w:val="95"/>
        </w:rPr>
        <w:t>138–154.</w:t>
      </w:r>
    </w:p>
    <w:p w:rsidR="002B4074" w:rsidRPr="00C82DC2" w:rsidRDefault="002B4074" w:rsidP="00C82DC2">
      <w:pPr>
        <w:spacing w:line="276" w:lineRule="auto"/>
      </w:pPr>
      <w:r w:rsidRPr="00C82DC2">
        <w:t>Asian Development Bank. 2015.  Road Map for Skill Development in Bangladesh. Skill for Employment Investment Program (SEIP). South Asia Regional Department. Manila, June 2015.</w:t>
      </w:r>
    </w:p>
    <w:p w:rsidR="002B4074" w:rsidRPr="00C82DC2" w:rsidRDefault="002B4074" w:rsidP="00C82DC2">
      <w:pPr>
        <w:spacing w:line="276" w:lineRule="auto"/>
      </w:pPr>
      <w:r w:rsidRPr="00C82DC2">
        <w:t xml:space="preserve">Bangladesh Bank. 2016. Foreign Direct Investment (FDI) in Bangladesh Survey Report January-June, 2016. Statistics Department Bangladesh Bank. </w:t>
      </w:r>
      <w:hyperlink r:id="rId138" w:history="1">
        <w:r w:rsidRPr="00C82DC2">
          <w:rPr>
            <w:rStyle w:val="Hyperlink"/>
          </w:rPr>
          <w:t>https://www.bb.org.bd/pub/halfyearly/fdisurvey/fdisurveyjanjun2016.pdf</w:t>
        </w:r>
      </w:hyperlink>
      <w:r w:rsidRPr="00C82DC2">
        <w:t xml:space="preserve"> </w:t>
      </w:r>
    </w:p>
    <w:p w:rsidR="002B4074" w:rsidRPr="00C82DC2" w:rsidRDefault="002B4074" w:rsidP="00C82DC2">
      <w:pPr>
        <w:spacing w:line="276" w:lineRule="auto"/>
        <w:rPr>
          <w:color w:val="000000" w:themeColor="text1"/>
        </w:rPr>
      </w:pPr>
      <w:r w:rsidRPr="00C82DC2">
        <w:rPr>
          <w:color w:val="000000" w:themeColor="text1"/>
        </w:rPr>
        <w:t xml:space="preserve">Center for Research and Information. 2017. Poverty Trend in Bangladesh: recent Progress. </w:t>
      </w:r>
      <w:hyperlink r:id="rId139" w:history="1">
        <w:r w:rsidRPr="00C82DC2">
          <w:rPr>
            <w:rStyle w:val="Hyperlink"/>
          </w:rPr>
          <w:t>http://cri.org.bd/2014/07/02/poverty-reduction-in-bangladesh-recent-drifts/</w:t>
        </w:r>
      </w:hyperlink>
      <w:r w:rsidRPr="00C82DC2">
        <w:rPr>
          <w:color w:val="000000" w:themeColor="text1"/>
        </w:rPr>
        <w:t xml:space="preserve">  </w:t>
      </w:r>
    </w:p>
    <w:p w:rsidR="002B4074" w:rsidRPr="00BA568F" w:rsidRDefault="002B4074" w:rsidP="00C82DC2">
      <w:pPr>
        <w:pStyle w:val="NormalWeb"/>
        <w:shd w:val="clear" w:color="auto" w:fill="FFFFFF"/>
        <w:spacing w:before="120" w:beforeAutospacing="0" w:after="120" w:afterAutospacing="0"/>
        <w:jc w:val="both"/>
        <w:rPr>
          <w:b w:val="0"/>
          <w:bCs/>
          <w:color w:val="252324"/>
          <w:kern w:val="36"/>
        </w:rPr>
      </w:pPr>
      <w:r w:rsidRPr="00C82DC2">
        <w:rPr>
          <w:b w:val="0"/>
        </w:rPr>
        <w:t>Chiswick, Carmel U. 2016. Religious Freedom, Economic Freedom, and Growth. Blog July 5, 2016</w:t>
      </w:r>
      <w:r w:rsidRPr="00C82DC2">
        <w:t xml:space="preserve">. </w:t>
      </w:r>
      <w:hyperlink r:id="rId140" w:history="1">
        <w:r w:rsidRPr="00BA568F">
          <w:rPr>
            <w:rStyle w:val="Hyperlink"/>
            <w:b w:val="0"/>
          </w:rPr>
          <w:t>https://www.religiousfreedominstitute.org/cornerstone/2016/7/5/religious-freedom-economic-freedom-and-growth</w:t>
        </w:r>
      </w:hyperlink>
    </w:p>
    <w:p w:rsidR="002B4074" w:rsidRDefault="002B4074" w:rsidP="00C82DC2">
      <w:pPr>
        <w:spacing w:line="276" w:lineRule="auto"/>
      </w:pPr>
      <w:r w:rsidRPr="00C82DC2">
        <w:t xml:space="preserve">Chiswick, Carmel U. 2016. Religious Freedom, Economic Freedom, and Growth. Blog July 5, 2016. </w:t>
      </w:r>
      <w:hyperlink r:id="rId141" w:history="1">
        <w:r w:rsidRPr="00C82DC2">
          <w:rPr>
            <w:rStyle w:val="Hyperlink"/>
          </w:rPr>
          <w:t>https://www.religiousfreedominstitute.org/cornerstone/2016/7/5/religious-freedom-economic-freedom-and-growth</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bCs/>
          <w:color w:val="252324"/>
          <w:kern w:val="36"/>
        </w:rPr>
        <w:t xml:space="preserve">Choudhury, </w:t>
      </w:r>
      <w:proofErr w:type="spellStart"/>
      <w:r w:rsidRPr="00C82DC2">
        <w:rPr>
          <w:b w:val="0"/>
          <w:bCs/>
          <w:color w:val="252324"/>
          <w:kern w:val="36"/>
        </w:rPr>
        <w:t>Dilara</w:t>
      </w:r>
      <w:proofErr w:type="spellEnd"/>
      <w:r w:rsidRPr="00C82DC2">
        <w:rPr>
          <w:b w:val="0"/>
          <w:bCs/>
          <w:color w:val="252324"/>
          <w:kern w:val="36"/>
        </w:rPr>
        <w:t xml:space="preserve">. 2015. Local government elections in Bangladesh and democracy. New Age. </w:t>
      </w:r>
      <w:hyperlink r:id="rId142" w:history="1">
        <w:r w:rsidRPr="00C82DC2">
          <w:rPr>
            <w:rStyle w:val="Hyperlink"/>
            <w:b w:val="0"/>
            <w:bCs/>
            <w:kern w:val="36"/>
          </w:rPr>
          <w:t>http://archive.newagebd.net/186396/local-government-elections-in-bangladesh-and-democracy/</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proofErr w:type="spellStart"/>
      <w:r w:rsidRPr="00C82DC2">
        <w:rPr>
          <w:b w:val="0"/>
          <w:color w:val="000000" w:themeColor="text1"/>
        </w:rPr>
        <w:t>Coface</w:t>
      </w:r>
      <w:proofErr w:type="spellEnd"/>
      <w:r w:rsidRPr="00C82DC2">
        <w:rPr>
          <w:b w:val="0"/>
          <w:color w:val="000000" w:themeColor="text1"/>
        </w:rPr>
        <w:t xml:space="preserve"> for safer trade. </w:t>
      </w:r>
      <w:hyperlink r:id="rId143" w:history="1">
        <w:r w:rsidRPr="00C82DC2">
          <w:rPr>
            <w:rStyle w:val="Hyperlink"/>
            <w:b w:val="0"/>
          </w:rPr>
          <w:t>http://www.coface.com/Economic-Studies-and-Country-Risks</w:t>
        </w:r>
      </w:hyperlink>
      <w:r w:rsidRPr="00C82DC2">
        <w:rPr>
          <w:b w:val="0"/>
          <w:color w:val="000000" w:themeColor="text1"/>
        </w:rPr>
        <w:t>.</w:t>
      </w:r>
    </w:p>
    <w:p w:rsidR="002B4074" w:rsidRPr="00C82DC2" w:rsidRDefault="002B4074" w:rsidP="00C82DC2">
      <w:pPr>
        <w:spacing w:line="276" w:lineRule="auto"/>
      </w:pPr>
      <w:proofErr w:type="spellStart"/>
      <w:r w:rsidRPr="00C82DC2">
        <w:rPr>
          <w:color w:val="000000" w:themeColor="text1"/>
        </w:rPr>
        <w:t>Fahmida</w:t>
      </w:r>
      <w:proofErr w:type="spellEnd"/>
      <w:r w:rsidRPr="00C82DC2">
        <w:rPr>
          <w:color w:val="000000" w:themeColor="text1"/>
        </w:rPr>
        <w:t xml:space="preserve">, Khatun. 2017. </w:t>
      </w:r>
      <w:r w:rsidRPr="00C82DC2">
        <w:t>Banking Sector - Time for a massive clean-up. The Daily Star, January 23, 2017.</w:t>
      </w:r>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t xml:space="preserve">FAO. </w:t>
      </w:r>
      <w:r w:rsidRPr="00C82DC2">
        <w:rPr>
          <w:b w:val="0"/>
          <w:color w:val="000000"/>
          <w:shd w:val="clear" w:color="auto" w:fill="FFFFFF"/>
        </w:rPr>
        <w:t xml:space="preserve"> Country experiences in decentralization in South Asia. </w:t>
      </w:r>
      <w:hyperlink r:id="rId144" w:history="1">
        <w:r w:rsidRPr="00C82DC2">
          <w:rPr>
            <w:rStyle w:val="Hyperlink"/>
            <w:b w:val="0"/>
          </w:rPr>
          <w:t>http://www.fao.org/docrep/007/ad506e/ad506e07.htm</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t xml:space="preserve">Freedom House. Freedom in the World 2017. 2017. </w:t>
      </w:r>
      <w:hyperlink r:id="rId145" w:history="1">
        <w:r w:rsidRPr="00C82DC2">
          <w:rPr>
            <w:rStyle w:val="Hyperlink"/>
            <w:b w:val="0"/>
          </w:rPr>
          <w:t>https://freedomhouse.org/report/freedom-world/freedom-world-2017</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t xml:space="preserve">Global Edge. </w:t>
      </w:r>
      <w:hyperlink r:id="rId146" w:history="1">
        <w:r w:rsidRPr="00C82DC2">
          <w:rPr>
            <w:rStyle w:val="Hyperlink"/>
            <w:b w:val="0"/>
          </w:rPr>
          <w:t>https://globaledge.msu.edu/countries/chad/government/</w:t>
        </w:r>
      </w:hyperlink>
    </w:p>
    <w:p w:rsidR="002B4074" w:rsidRDefault="002B4074" w:rsidP="00286107">
      <w:pPr>
        <w:rPr>
          <w:rStyle w:val="Hyperlink"/>
        </w:rPr>
      </w:pPr>
      <w:r w:rsidRPr="0053088D">
        <w:rPr>
          <w:color w:val="000000"/>
        </w:rPr>
        <w:t>Helms, Douglas. 1992. The Development of the Land Capability Classification</w:t>
      </w:r>
      <w:r>
        <w:rPr>
          <w:color w:val="000000"/>
        </w:rPr>
        <w:t xml:space="preserve">. </w:t>
      </w:r>
      <w:r w:rsidRPr="0053088D">
        <w:rPr>
          <w:color w:val="000000"/>
        </w:rPr>
        <w:t xml:space="preserve">Reprinted from Helms, Douglas, </w:t>
      </w:r>
      <w:r w:rsidRPr="0053088D">
        <w:rPr>
          <w:i/>
          <w:iCs/>
          <w:color w:val="000000"/>
        </w:rPr>
        <w:t>Readings in the History of the Soil Conservation Service</w:t>
      </w:r>
      <w:r w:rsidRPr="0053088D">
        <w:rPr>
          <w:color w:val="000000"/>
        </w:rPr>
        <w:t xml:space="preserve">, Washington, DC: Soil </w:t>
      </w:r>
      <w:proofErr w:type="spellStart"/>
      <w:r w:rsidRPr="0053088D">
        <w:rPr>
          <w:color w:val="000000"/>
        </w:rPr>
        <w:t>Conser</w:t>
      </w:r>
      <w:r>
        <w:rPr>
          <w:color w:val="000000"/>
        </w:rPr>
        <w:t>vaiton</w:t>
      </w:r>
      <w:proofErr w:type="spellEnd"/>
      <w:r>
        <w:rPr>
          <w:color w:val="000000"/>
        </w:rPr>
        <w:t xml:space="preserve"> Service, 1992, pp. 60-73, in </w:t>
      </w:r>
      <w:hyperlink r:id="rId147" w:history="1">
        <w:r w:rsidRPr="00CB36F6">
          <w:rPr>
            <w:rStyle w:val="Hyperlink"/>
          </w:rPr>
          <w:t>https://www.nrcs.usda.gov/wps/portal/nrcs/detail/national/about/history/?&amp;cid=nrcs143_021436</w:t>
        </w:r>
      </w:hyperlink>
    </w:p>
    <w:p w:rsidR="002B4074" w:rsidRPr="00C82DC2" w:rsidRDefault="002B4074" w:rsidP="00C82DC2">
      <w:pPr>
        <w:spacing w:line="276" w:lineRule="auto"/>
        <w:rPr>
          <w:rFonts w:eastAsia="Times New Roman"/>
          <w:color w:val="000000"/>
        </w:rPr>
      </w:pPr>
      <w:r w:rsidRPr="00C82DC2">
        <w:rPr>
          <w:rFonts w:eastAsia="Times New Roman"/>
          <w:color w:val="000000"/>
        </w:rPr>
        <w:t xml:space="preserve">Heritage Foundation. 2017 Index of Economic Freedom. </w:t>
      </w:r>
      <w:hyperlink r:id="rId148" w:history="1">
        <w:r w:rsidRPr="00C82DC2">
          <w:rPr>
            <w:rStyle w:val="Hyperlink"/>
            <w:rFonts w:eastAsia="Times New Roman"/>
          </w:rPr>
          <w:t>http://www.heritage.org/index/download</w:t>
        </w:r>
      </w:hyperlink>
      <w:r w:rsidRPr="00C82DC2">
        <w:rPr>
          <w:rFonts w:eastAsia="Times New Roman"/>
          <w:color w:val="000000"/>
        </w:rPr>
        <w:t>.</w:t>
      </w:r>
    </w:p>
    <w:p w:rsidR="002B4074" w:rsidRPr="00C82DC2" w:rsidRDefault="002B4074" w:rsidP="00C82DC2">
      <w:pPr>
        <w:spacing w:line="276" w:lineRule="auto"/>
        <w:rPr>
          <w:rFonts w:eastAsia="Times New Roman"/>
          <w:color w:val="000000"/>
        </w:rPr>
      </w:pPr>
      <w:r w:rsidRPr="00C82DC2">
        <w:rPr>
          <w:rFonts w:eastAsia="Times New Roman"/>
          <w:color w:val="000000"/>
        </w:rPr>
        <w:lastRenderedPageBreak/>
        <w:t xml:space="preserve">Heritage Foundation. 2017 Index of Economic Freedom. Various countries. </w:t>
      </w:r>
      <w:hyperlink r:id="rId149" w:history="1">
        <w:r w:rsidRPr="00C82DC2">
          <w:rPr>
            <w:rStyle w:val="Hyperlink"/>
            <w:rFonts w:eastAsia="Times New Roman"/>
          </w:rPr>
          <w:t>http://www.heritage.org/index/country/</w:t>
        </w:r>
      </w:hyperlink>
    </w:p>
    <w:p w:rsidR="002B4074" w:rsidRPr="00C82DC2" w:rsidRDefault="002B4074" w:rsidP="00C82DC2">
      <w:pPr>
        <w:pStyle w:val="NormalWeb"/>
        <w:shd w:val="clear" w:color="auto" w:fill="FFFFFF"/>
        <w:spacing w:before="120" w:beforeAutospacing="0" w:after="120" w:afterAutospacing="0"/>
        <w:jc w:val="both"/>
        <w:rPr>
          <w:b w:val="0"/>
        </w:rPr>
      </w:pPr>
      <w:r w:rsidRPr="00C82DC2">
        <w:rPr>
          <w:b w:val="0"/>
          <w:color w:val="000000"/>
        </w:rPr>
        <w:t xml:space="preserve">Huda, </w:t>
      </w:r>
      <w:proofErr w:type="spellStart"/>
      <w:r w:rsidRPr="00C82DC2">
        <w:rPr>
          <w:b w:val="0"/>
          <w:color w:val="000000"/>
        </w:rPr>
        <w:t>Taqbir</w:t>
      </w:r>
      <w:proofErr w:type="spellEnd"/>
      <w:r w:rsidRPr="00C82DC2">
        <w:rPr>
          <w:b w:val="0"/>
          <w:color w:val="000000"/>
        </w:rPr>
        <w:t xml:space="preserve">. 2017. </w:t>
      </w:r>
      <w:r w:rsidRPr="00C82DC2">
        <w:rPr>
          <w:b w:val="0"/>
          <w:bCs/>
          <w:color w:val="000000"/>
          <w:kern w:val="36"/>
        </w:rPr>
        <w:t xml:space="preserve">On sexism, son preference and female infanticide in Bangladesh. The Daily Star, </w:t>
      </w:r>
      <w:r w:rsidRPr="00C82DC2">
        <w:rPr>
          <w:b w:val="0"/>
          <w:color w:val="000000"/>
        </w:rPr>
        <w:t>August 19, 2017</w:t>
      </w:r>
    </w:p>
    <w:p w:rsidR="002B4074" w:rsidRPr="00C82DC2" w:rsidRDefault="002B4074" w:rsidP="00C82DC2">
      <w:pPr>
        <w:spacing w:line="276" w:lineRule="auto"/>
        <w:rPr>
          <w:color w:val="000000" w:themeColor="text1"/>
        </w:rPr>
      </w:pPr>
      <w:r w:rsidRPr="00C82DC2">
        <w:rPr>
          <w:color w:val="000000" w:themeColor="text1"/>
        </w:rPr>
        <w:t xml:space="preserve">IMF. 2016. IMF Country Report. Various countries. </w:t>
      </w:r>
      <w:hyperlink r:id="rId150" w:history="1">
        <w:r w:rsidRPr="00C82DC2">
          <w:rPr>
            <w:rStyle w:val="Hyperlink"/>
          </w:rPr>
          <w:t>http://www.imf.org/external/pubs/ft/scr/2016/</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t xml:space="preserve">International Trade Union Confederation. ITUC Global Rights Index 2017. 2017. </w:t>
      </w:r>
      <w:hyperlink r:id="rId151" w:history="1">
        <w:r w:rsidRPr="00C82DC2">
          <w:rPr>
            <w:rStyle w:val="Hyperlink"/>
            <w:b w:val="0"/>
          </w:rPr>
          <w:t>http://www.ituc-csi.org/ituc-global-rights-index-2017</w:t>
        </w:r>
      </w:hyperlink>
    </w:p>
    <w:p w:rsidR="002B4074" w:rsidRPr="00C82DC2" w:rsidRDefault="002B4074" w:rsidP="00C82DC2">
      <w:pPr>
        <w:spacing w:line="276" w:lineRule="auto"/>
      </w:pPr>
      <w:r w:rsidRPr="00C82DC2">
        <w:t xml:space="preserve">Islam, M. </w:t>
      </w:r>
      <w:proofErr w:type="spellStart"/>
      <w:r w:rsidRPr="00C82DC2">
        <w:t>Aynul</w:t>
      </w:r>
      <w:proofErr w:type="spellEnd"/>
      <w:r w:rsidRPr="00C82DC2">
        <w:t>. 2005. The Political Institutions and Governance in Bangladesh: Changes and Continuity. Bliss Journal, Vol. 26, No. 4, October 2005.</w:t>
      </w:r>
    </w:p>
    <w:p w:rsidR="002B4074" w:rsidRPr="00C82DC2" w:rsidRDefault="002B4074" w:rsidP="00C82DC2">
      <w:pPr>
        <w:spacing w:line="276" w:lineRule="auto"/>
        <w:rPr>
          <w:color w:val="000000" w:themeColor="text1"/>
        </w:rPr>
      </w:pPr>
      <w:r w:rsidRPr="00C82DC2">
        <w:t>Kramer, William J., Beth Jenkins, and Robert S. Katz. 2007. The role of the Information Communication Technology Sector in Expanding Economic Opportunity. Corporate Social Responsibility Report NO. 22. Cambridge, MA: Kennedy School of Government, Harvard University.</w:t>
      </w:r>
    </w:p>
    <w:p w:rsidR="002B4074" w:rsidRPr="00C82DC2" w:rsidRDefault="002B4074" w:rsidP="00C82DC2">
      <w:pPr>
        <w:spacing w:line="276" w:lineRule="auto"/>
        <w:rPr>
          <w:color w:val="000000" w:themeColor="text1"/>
        </w:rPr>
      </w:pPr>
      <w:r w:rsidRPr="00C82DC2">
        <w:rPr>
          <w:color w:val="000000" w:themeColor="text1"/>
        </w:rPr>
        <w:t xml:space="preserve">Mo Ibrahim Foundation. 2013. 2013 Ibrahim of African Governance Summary. </w:t>
      </w:r>
      <w:hyperlink r:id="rId152" w:history="1">
        <w:r w:rsidRPr="00C82DC2">
          <w:rPr>
            <w:rStyle w:val="Hyperlink"/>
          </w:rPr>
          <w:t>http://www.mamaye.org.gh/en/evidence/2013-ibrahim-index-african-governance-summary</w:t>
        </w:r>
      </w:hyperlink>
    </w:p>
    <w:p w:rsidR="002B4074" w:rsidRPr="00C82DC2" w:rsidRDefault="002B4074" w:rsidP="00C82DC2">
      <w:pPr>
        <w:pStyle w:val="NormalWeb"/>
        <w:shd w:val="clear" w:color="auto" w:fill="FFFFFF"/>
        <w:spacing w:before="120" w:beforeAutospacing="0" w:after="120" w:afterAutospacing="0"/>
        <w:jc w:val="both"/>
        <w:rPr>
          <w:b w:val="0"/>
        </w:rPr>
      </w:pPr>
      <w:r w:rsidRPr="00C82DC2">
        <w:rPr>
          <w:b w:val="0"/>
          <w:color w:val="000000" w:themeColor="text1"/>
        </w:rPr>
        <w:t xml:space="preserve">Mollah, Md. </w:t>
      </w:r>
      <w:proofErr w:type="spellStart"/>
      <w:r w:rsidRPr="00C82DC2">
        <w:rPr>
          <w:b w:val="0"/>
          <w:color w:val="000000" w:themeColor="text1"/>
        </w:rPr>
        <w:t>Awal</w:t>
      </w:r>
      <w:proofErr w:type="spellEnd"/>
      <w:r w:rsidRPr="00C82DC2">
        <w:rPr>
          <w:b w:val="0"/>
          <w:color w:val="000000" w:themeColor="text1"/>
        </w:rPr>
        <w:t xml:space="preserve"> Hossain. 2007. Administrative Decentralization in Bangladesh: Theory and Practice. International Journal of Organization Theory and Behavior, 10 (1), 1-34 SPRING 2007 </w:t>
      </w:r>
      <w:r w:rsidRPr="00C82DC2">
        <w:rPr>
          <w:rStyle w:val="HTMLCite"/>
          <w:b w:val="0"/>
          <w:lang w:val="en"/>
        </w:rPr>
        <w:t>www.academia.edu/7228289/</w:t>
      </w:r>
      <w:r w:rsidRPr="00C82DC2">
        <w:rPr>
          <w:rStyle w:val="Strong"/>
          <w:color w:val="006D21"/>
          <w:lang w:val="en"/>
        </w:rPr>
        <w:t>Papers</w:t>
      </w:r>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bCs/>
          <w:color w:val="000000" w:themeColor="text1"/>
        </w:rPr>
        <w:t xml:space="preserve">Mollah, Md. </w:t>
      </w:r>
      <w:proofErr w:type="spellStart"/>
      <w:r w:rsidRPr="00C82DC2">
        <w:rPr>
          <w:b w:val="0"/>
          <w:bCs/>
          <w:color w:val="000000" w:themeColor="text1"/>
        </w:rPr>
        <w:t>Awal</w:t>
      </w:r>
      <w:proofErr w:type="spellEnd"/>
      <w:r w:rsidRPr="00C82DC2">
        <w:rPr>
          <w:b w:val="0"/>
          <w:bCs/>
          <w:color w:val="000000" w:themeColor="text1"/>
        </w:rPr>
        <w:t xml:space="preserve"> Hossain. 2011. “Growth and Development of Civil Service and Bureaucracy in Bangladesh: An Overview”. </w:t>
      </w:r>
      <w:r w:rsidRPr="00C82DC2">
        <w:rPr>
          <w:b w:val="0"/>
          <w:bCs/>
          <w:i/>
          <w:color w:val="000000" w:themeColor="text1"/>
        </w:rPr>
        <w:t>South Asia Survey</w:t>
      </w:r>
      <w:r w:rsidRPr="00C82DC2">
        <w:rPr>
          <w:b w:val="0"/>
          <w:bCs/>
          <w:color w:val="000000" w:themeColor="text1"/>
        </w:rPr>
        <w:t xml:space="preserve"> 18(1) 137-156.</w:t>
      </w:r>
    </w:p>
    <w:p w:rsidR="002B4074" w:rsidRPr="00E635AD" w:rsidRDefault="002B4074" w:rsidP="00E635AD">
      <w:pPr>
        <w:spacing w:before="0" w:after="200" w:line="276" w:lineRule="auto"/>
      </w:pPr>
      <w:proofErr w:type="spellStart"/>
      <w:r w:rsidRPr="00284D15">
        <w:rPr>
          <w:lang w:val="en"/>
        </w:rPr>
        <w:t>Niazi</w:t>
      </w:r>
      <w:proofErr w:type="spellEnd"/>
      <w:r w:rsidRPr="00284D15">
        <w:rPr>
          <w:lang w:val="en"/>
        </w:rPr>
        <w:t>, Tariq H. 2011. Deconcentration and Decentralization Reforms in Cambodia: Recommendations for an Institutional Framework. Asian Development Bank, Manila.</w:t>
      </w:r>
      <w:r>
        <w:rPr>
          <w:lang w:val="en"/>
        </w:rPr>
        <w:t xml:space="preserve"> </w:t>
      </w:r>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t xml:space="preserve">OECD Development Center. 2014. Social Institutions and Gender Index. 2014 Synthesis Report. </w:t>
      </w:r>
      <w:hyperlink r:id="rId153" w:history="1">
        <w:r w:rsidRPr="00C82DC2">
          <w:rPr>
            <w:rStyle w:val="Hyperlink"/>
            <w:b w:val="0"/>
          </w:rPr>
          <w:t>http://www.genderindex.org/sites/default/files/docs/BrochureSIGI2015.pdf</w:t>
        </w:r>
      </w:hyperlink>
    </w:p>
    <w:p w:rsidR="002B4074" w:rsidRPr="00C82DC2" w:rsidRDefault="002B4074" w:rsidP="00C82DC2">
      <w:pPr>
        <w:spacing w:line="276" w:lineRule="auto"/>
        <w:rPr>
          <w:color w:val="000000" w:themeColor="text1"/>
        </w:rPr>
      </w:pPr>
      <w:r w:rsidRPr="00C82DC2">
        <w:rPr>
          <w:color w:val="000000" w:themeColor="text1"/>
        </w:rPr>
        <w:t xml:space="preserve">Panday, Pranab Kumar. 2011. Local Government in Bangladesh. </w:t>
      </w:r>
      <w:hyperlink r:id="rId154" w:history="1">
        <w:r w:rsidRPr="00C82DC2">
          <w:rPr>
            <w:rStyle w:val="Hyperlink"/>
            <w:rFonts w:eastAsia="Times New Roman"/>
            <w:bCs/>
          </w:rPr>
          <w:t>https://kawshercu.wordpress.com/2011/03/08/local-government-in-bangladesh/</w:t>
        </w:r>
      </w:hyperlink>
      <w:r w:rsidRPr="00C82DC2">
        <w:rPr>
          <w:rFonts w:eastAsia="Times New Roman"/>
          <w:bCs/>
          <w:color w:val="444444"/>
        </w:rPr>
        <w:t xml:space="preserve"> </w:t>
      </w:r>
    </w:p>
    <w:p w:rsidR="002B4074" w:rsidRPr="00C82DC2" w:rsidRDefault="002B4074" w:rsidP="00C82DC2">
      <w:pPr>
        <w:spacing w:line="276" w:lineRule="auto"/>
        <w:rPr>
          <w:color w:val="000000" w:themeColor="text1"/>
        </w:rPr>
      </w:pPr>
      <w:r w:rsidRPr="00C82DC2">
        <w:rPr>
          <w:color w:val="000000" w:themeColor="text1"/>
        </w:rPr>
        <w:t xml:space="preserve">Planning Commission, Ministry of Planning, General Economics </w:t>
      </w:r>
      <w:proofErr w:type="spellStart"/>
      <w:r w:rsidRPr="00C82DC2">
        <w:rPr>
          <w:color w:val="000000" w:themeColor="text1"/>
        </w:rPr>
        <w:t>Dicision</w:t>
      </w:r>
      <w:proofErr w:type="spellEnd"/>
      <w:r w:rsidRPr="00C82DC2">
        <w:rPr>
          <w:color w:val="000000" w:themeColor="text1"/>
        </w:rPr>
        <w:t>. 2017. Policy Note - Macroeconomic Framework for the Perspective Plan of Bangladesh (2021-2041): Growth Outlook up to 2041. Dhaka, Bangladesh</w:t>
      </w:r>
    </w:p>
    <w:p w:rsidR="002B4074" w:rsidRPr="00C82DC2" w:rsidRDefault="002B4074" w:rsidP="00C82DC2">
      <w:pPr>
        <w:spacing w:line="276" w:lineRule="auto"/>
        <w:rPr>
          <w:color w:val="000000" w:themeColor="text1"/>
        </w:rPr>
      </w:pPr>
      <w:r w:rsidRPr="00C82DC2">
        <w:rPr>
          <w:color w:val="000000" w:themeColor="text1"/>
        </w:rPr>
        <w:t xml:space="preserve">Public Administration. 2011. Local Government in Bangladesh: An Overview. </w:t>
      </w:r>
      <w:hyperlink r:id="rId155" w:history="1">
        <w:r w:rsidRPr="00C82DC2">
          <w:rPr>
            <w:rStyle w:val="Hyperlink"/>
          </w:rPr>
          <w:t>http://publicadministrationbd.blogspot.com/2011/03/local-government-in-bangladesh-overview.html</w:t>
        </w:r>
      </w:hyperlink>
    </w:p>
    <w:p w:rsidR="002B4074" w:rsidRPr="00C82DC2" w:rsidRDefault="002B4074" w:rsidP="00C82DC2">
      <w:pPr>
        <w:spacing w:line="276" w:lineRule="auto"/>
      </w:pPr>
      <w:r w:rsidRPr="00583119">
        <w:rPr>
          <w:rFonts w:eastAsia="Times New Roman"/>
        </w:rPr>
        <w:t xml:space="preserve">Rahman, </w:t>
      </w:r>
      <w:proofErr w:type="spellStart"/>
      <w:r w:rsidRPr="00583119">
        <w:rPr>
          <w:rFonts w:eastAsia="Times New Roman"/>
        </w:rPr>
        <w:t>Ashikur</w:t>
      </w:r>
      <w:proofErr w:type="spellEnd"/>
      <w:r w:rsidRPr="00583119">
        <w:rPr>
          <w:rFonts w:eastAsia="Times New Roman"/>
        </w:rPr>
        <w:t xml:space="preserve"> and </w:t>
      </w:r>
      <w:proofErr w:type="spellStart"/>
      <w:r w:rsidRPr="00583119">
        <w:t>Sirazum</w:t>
      </w:r>
      <w:proofErr w:type="spellEnd"/>
      <w:r w:rsidRPr="00583119">
        <w:t xml:space="preserve"> </w:t>
      </w:r>
      <w:proofErr w:type="spellStart"/>
      <w:r w:rsidRPr="00583119">
        <w:t>Munira</w:t>
      </w:r>
      <w:proofErr w:type="spellEnd"/>
      <w:r w:rsidRPr="00583119">
        <w:t xml:space="preserve"> Chowdhury. 2016. </w:t>
      </w:r>
      <w:r w:rsidRPr="00583119">
        <w:rPr>
          <w:rFonts w:eastAsia="Times New Roman"/>
        </w:rPr>
        <w:t xml:space="preserve">State of Land Disputes in Bangladesh: Insights from an Empirical Examination. Paper presented at the Third Annual Conference of the </w:t>
      </w:r>
      <w:r w:rsidRPr="00583119">
        <w:rPr>
          <w:rFonts w:eastAsia="Times New Roman"/>
        </w:rPr>
        <w:lastRenderedPageBreak/>
        <w:t>Bangladesh Economists’ Forum (BEF) at the Bangladesh Bank Training Academy (BBTA) Auditorium, Dhaka 31 December 2016</w:t>
      </w:r>
      <w:r>
        <w:t xml:space="preserve"> </w:t>
      </w:r>
      <w:r w:rsidRPr="00C82DC2">
        <w:t xml:space="preserve"> </w:t>
      </w:r>
    </w:p>
    <w:p w:rsidR="002B4074" w:rsidRPr="002B4074" w:rsidRDefault="002B4074" w:rsidP="001F60A1">
      <w:pPr>
        <w:pStyle w:val="NormalWeb"/>
        <w:shd w:val="clear" w:color="auto" w:fill="FFFFFF"/>
        <w:spacing w:before="0" w:beforeAutospacing="0" w:after="200" w:afterAutospacing="0"/>
        <w:jc w:val="both"/>
        <w:rPr>
          <w:rStyle w:val="Hyperlink"/>
          <w:b w:val="0"/>
        </w:rPr>
      </w:pPr>
      <w:r w:rsidRPr="00AF6E85">
        <w:rPr>
          <w:b w:val="0"/>
        </w:rPr>
        <w:t>Rahman, Atiur. 201</w:t>
      </w:r>
      <w:r>
        <w:rPr>
          <w:b w:val="0"/>
        </w:rPr>
        <w:t>5</w:t>
      </w:r>
      <w:r w:rsidRPr="00AF6E85">
        <w:rPr>
          <w:b w:val="0"/>
        </w:rPr>
        <w:t xml:space="preserve">. Sustaining Bangladesh’s Growth and Development with Financial Stability and </w:t>
      </w:r>
      <w:r w:rsidRPr="002B4074">
        <w:rPr>
          <w:b w:val="0"/>
        </w:rPr>
        <w:t xml:space="preserve">Inclusiveness, in Ahmed, Alamgir and </w:t>
      </w:r>
      <w:proofErr w:type="spellStart"/>
      <w:r w:rsidRPr="002B4074">
        <w:rPr>
          <w:b w:val="0"/>
        </w:rPr>
        <w:t>Mujeri</w:t>
      </w:r>
      <w:proofErr w:type="spellEnd"/>
      <w:r w:rsidRPr="002B4074">
        <w:rPr>
          <w:b w:val="0"/>
        </w:rPr>
        <w:t xml:space="preserve"> (ed), </w:t>
      </w:r>
      <w:r w:rsidRPr="002B4074">
        <w:rPr>
          <w:b w:val="0"/>
          <w:bCs/>
          <w:i/>
        </w:rPr>
        <w:t>Bangladesh Vision 2030: A Framework for Economic Policy Making and Strategy Formulation in a Pluralistic Democracy,</w:t>
      </w:r>
      <w:r w:rsidRPr="002B4074">
        <w:rPr>
          <w:b w:val="0"/>
          <w:bCs/>
        </w:rPr>
        <w:t xml:space="preserve"> </w:t>
      </w:r>
      <w:r w:rsidRPr="002B4074">
        <w:rPr>
          <w:b w:val="0"/>
        </w:rPr>
        <w:t>Dhaka: Bangladesh Institute of Banking Management 2015</w:t>
      </w:r>
    </w:p>
    <w:p w:rsidR="002B4074" w:rsidRPr="0092232E" w:rsidRDefault="002B4074" w:rsidP="00AF6E85">
      <w:pPr>
        <w:spacing w:before="0" w:after="200" w:line="276" w:lineRule="auto"/>
      </w:pPr>
      <w:r w:rsidRPr="0092232E">
        <w:t>Rahman, Atiur. 2016. Financial Inclusion and Managing Urbanization: The Bangladesh Experience, A Keynote presentation at the 3</w:t>
      </w:r>
      <w:r w:rsidRPr="0092232E">
        <w:rPr>
          <w:vertAlign w:val="superscript"/>
        </w:rPr>
        <w:t>rd</w:t>
      </w:r>
      <w:r w:rsidRPr="0092232E">
        <w:t xml:space="preserve"> Bangladesh Economists’ Forum (BEF) Conference in Dhaka on 31 December 2016</w:t>
      </w:r>
    </w:p>
    <w:p w:rsidR="002B4074" w:rsidRPr="00C82DC2" w:rsidRDefault="002B4074" w:rsidP="00C82DC2">
      <w:pPr>
        <w:spacing w:line="276" w:lineRule="auto"/>
      </w:pPr>
      <w:r w:rsidRPr="00C82DC2">
        <w:t>Rashid, Harun Or. 2015. Democracy in party constitution. The Daily Star, Dhaka, September 30, 2015.</w:t>
      </w:r>
    </w:p>
    <w:p w:rsidR="002B4074" w:rsidRPr="00C82DC2" w:rsidRDefault="002B4074" w:rsidP="00C82DC2">
      <w:pPr>
        <w:spacing w:line="276" w:lineRule="auto"/>
      </w:pPr>
      <w:r w:rsidRPr="00C82DC2">
        <w:t>Rudra, A. 1959. Perspective Planning. The Economic Weekly, July 1959, pp. 981-985</w:t>
      </w:r>
    </w:p>
    <w:p w:rsidR="002B4074" w:rsidRPr="00C82DC2" w:rsidRDefault="002B4074" w:rsidP="00C82DC2">
      <w:pPr>
        <w:spacing w:line="276" w:lineRule="auto"/>
        <w:rPr>
          <w:color w:val="000000" w:themeColor="text1"/>
        </w:rPr>
      </w:pPr>
      <w:r w:rsidRPr="00C82DC2">
        <w:t xml:space="preserve">Salmon, Pierre. 2012. Decentralization and growth: has the cross-country approach met a dead end? </w:t>
      </w:r>
      <w:hyperlink r:id="rId156" w:history="1">
        <w:r w:rsidRPr="00C82DC2">
          <w:rPr>
            <w:rStyle w:val="Hyperlink"/>
            <w:lang w:val="en"/>
          </w:rPr>
          <w:t>https://ideas.repec.org/p/dij/wpfarg/1120604.html</w:t>
        </w:r>
      </w:hyperlink>
      <w:r w:rsidRPr="00C82DC2">
        <w:rPr>
          <w:color w:val="000000" w:themeColor="text1"/>
        </w:rPr>
        <w:t xml:space="preserve"> </w:t>
      </w:r>
    </w:p>
    <w:p w:rsidR="002B4074" w:rsidRPr="00C82DC2" w:rsidRDefault="002B4074" w:rsidP="00C82DC2">
      <w:pPr>
        <w:pStyle w:val="NormalWeb"/>
        <w:shd w:val="clear" w:color="auto" w:fill="FFFFFF"/>
        <w:spacing w:before="120" w:beforeAutospacing="0" w:after="120" w:afterAutospacing="0"/>
        <w:jc w:val="both"/>
        <w:rPr>
          <w:b w:val="0"/>
        </w:rPr>
      </w:pPr>
      <w:r w:rsidRPr="00C82DC2">
        <w:rPr>
          <w:b w:val="0"/>
          <w:color w:val="000000" w:themeColor="text1"/>
        </w:rPr>
        <w:t xml:space="preserve">Shams, Khalid. 2015. Need for Reforms in Governance for Economic Growth in Sadiq Ahmed, Mohiuddin Alamgir, Mustafa K. Mujeri, Atiur Rahman, Editors. 2015. </w:t>
      </w:r>
      <w:r w:rsidRPr="00C82DC2">
        <w:rPr>
          <w:b w:val="0"/>
          <w:bCs/>
          <w:color w:val="000000" w:themeColor="text1"/>
        </w:rPr>
        <w:t>Bangladesh Vision 2030: A Framework for Economic Policy Making and Strategy Formulation in a Pluralistic Democracy. Dhaka.</w:t>
      </w:r>
    </w:p>
    <w:p w:rsidR="002B4074" w:rsidRPr="00C82DC2" w:rsidRDefault="002B4074" w:rsidP="00C82DC2">
      <w:pPr>
        <w:spacing w:line="276" w:lineRule="auto"/>
      </w:pPr>
      <w:r w:rsidRPr="00C82DC2">
        <w:rPr>
          <w:color w:val="000000" w:themeColor="text1"/>
        </w:rPr>
        <w:t xml:space="preserve">Shams, Khalid. 2015. Need for Reforms in Governance for Economic Growth in Sadiq Ahmed, Mohiuddin Alamgir, Mustafa K. Mujeri, Atiur Rahman, Editors. 2015. </w:t>
      </w:r>
      <w:r w:rsidRPr="00C82DC2">
        <w:rPr>
          <w:rFonts w:eastAsia="Times New Roman"/>
          <w:bCs/>
          <w:color w:val="000000" w:themeColor="text1"/>
        </w:rPr>
        <w:t>Bangladesh Vision 2030</w:t>
      </w:r>
      <w:r w:rsidRPr="00C82DC2">
        <w:rPr>
          <w:bCs/>
          <w:color w:val="000000" w:themeColor="text1"/>
        </w:rPr>
        <w:t xml:space="preserve">: </w:t>
      </w:r>
      <w:r w:rsidRPr="00C82DC2">
        <w:rPr>
          <w:rFonts w:eastAsia="Times New Roman"/>
          <w:bCs/>
          <w:color w:val="000000" w:themeColor="text1"/>
        </w:rPr>
        <w:t>A Framework for Economic Policy</w:t>
      </w:r>
      <w:r w:rsidRPr="00C82DC2">
        <w:rPr>
          <w:bCs/>
          <w:color w:val="000000" w:themeColor="text1"/>
        </w:rPr>
        <w:t xml:space="preserve"> M</w:t>
      </w:r>
      <w:r w:rsidRPr="00C82DC2">
        <w:rPr>
          <w:rFonts w:eastAsia="Times New Roman"/>
          <w:bCs/>
          <w:color w:val="000000" w:themeColor="text1"/>
        </w:rPr>
        <w:t>aking and Strategy Formulation</w:t>
      </w:r>
      <w:r w:rsidRPr="00C82DC2">
        <w:rPr>
          <w:bCs/>
          <w:color w:val="000000" w:themeColor="text1"/>
        </w:rPr>
        <w:t xml:space="preserve"> </w:t>
      </w:r>
      <w:r w:rsidRPr="00C82DC2">
        <w:rPr>
          <w:rFonts w:eastAsia="Times New Roman"/>
          <w:bCs/>
          <w:color w:val="000000" w:themeColor="text1"/>
        </w:rPr>
        <w:t>in a Pluralistic Democracy</w:t>
      </w:r>
      <w:r w:rsidRPr="00C82DC2">
        <w:rPr>
          <w:bCs/>
          <w:color w:val="000000" w:themeColor="text1"/>
        </w:rPr>
        <w:t>. Dhaka.</w:t>
      </w:r>
    </w:p>
    <w:p w:rsidR="002B4074" w:rsidRDefault="002B4074" w:rsidP="00C82DC2">
      <w:pPr>
        <w:spacing w:line="276" w:lineRule="auto"/>
        <w:rPr>
          <w:rStyle w:val="Hyperlink"/>
        </w:rPr>
      </w:pPr>
      <w:r>
        <w:t xml:space="preserve">Sunde, Joseph. 2014. Is Religious Freedom Good for Economic Growth. Action Institute </w:t>
      </w:r>
      <w:proofErr w:type="spellStart"/>
      <w:r>
        <w:t>Powerblog</w:t>
      </w:r>
      <w:proofErr w:type="spellEnd"/>
      <w:r>
        <w:t>, September 12, 2014.</w:t>
      </w:r>
      <w:r w:rsidRPr="00C82DC2">
        <w:t xml:space="preserve"> </w:t>
      </w:r>
      <w:hyperlink r:id="rId157" w:history="1">
        <w:r w:rsidRPr="00EE0B91">
          <w:rPr>
            <w:rStyle w:val="Hyperlink"/>
          </w:rPr>
          <w:t>http://blog.acton.org/archives/72341-religious-freedom-good-economic-growth.html</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rPr>
        <w:t xml:space="preserve">Tamanna, </w:t>
      </w:r>
      <w:proofErr w:type="spellStart"/>
      <w:r w:rsidRPr="00C82DC2">
        <w:rPr>
          <w:b w:val="0"/>
        </w:rPr>
        <w:t>Meheri</w:t>
      </w:r>
      <w:proofErr w:type="spellEnd"/>
      <w:r w:rsidRPr="00C82DC2">
        <w:rPr>
          <w:b w:val="0"/>
        </w:rPr>
        <w:t xml:space="preserve"> and Farhana </w:t>
      </w:r>
      <w:proofErr w:type="spellStart"/>
      <w:r w:rsidRPr="00C82DC2">
        <w:rPr>
          <w:b w:val="0"/>
        </w:rPr>
        <w:t>Afroz</w:t>
      </w:r>
      <w:proofErr w:type="spellEnd"/>
      <w:r w:rsidRPr="00C82DC2">
        <w:rPr>
          <w:b w:val="0"/>
        </w:rPr>
        <w:t xml:space="preserve">. 2015. Local Government in Bangladesh: The Quest for Legal Reforms. November 1, 2015. </w:t>
      </w:r>
      <w:hyperlink r:id="rId158" w:history="1">
        <w:r w:rsidRPr="00C82DC2">
          <w:rPr>
            <w:rStyle w:val="Hyperlink"/>
            <w:b w:val="0"/>
          </w:rPr>
          <w:t>http://southasiajournal.net/local-government-in-bangladesh-the-quest-for-legal-reforms/</w:t>
        </w:r>
      </w:hyperlink>
    </w:p>
    <w:p w:rsidR="002B4074" w:rsidRPr="00C82DC2" w:rsidRDefault="002B4074" w:rsidP="00C82DC2">
      <w:pPr>
        <w:spacing w:line="276" w:lineRule="auto"/>
        <w:rPr>
          <w:rFonts w:eastAsia="Times New Roman"/>
          <w:color w:val="000000"/>
        </w:rPr>
      </w:pPr>
      <w:r w:rsidRPr="00C82DC2">
        <w:rPr>
          <w:rFonts w:eastAsia="Times New Roman"/>
          <w:color w:val="000000"/>
        </w:rPr>
        <w:t xml:space="preserve">The Economist Intelligence Unit. Democracy Index. </w:t>
      </w:r>
      <w:hyperlink r:id="rId159" w:history="1">
        <w:r w:rsidRPr="00C82DC2">
          <w:rPr>
            <w:rStyle w:val="Hyperlink"/>
            <w:rFonts w:eastAsia="Times New Roman"/>
          </w:rPr>
          <w:t>https://www.eiu.com/public/topical_report.aspx?campaignid=DemocracyIndex2016</w:t>
        </w:r>
      </w:hyperlink>
    </w:p>
    <w:p w:rsidR="002B4074" w:rsidRPr="00C82DC2" w:rsidRDefault="002B4074" w:rsidP="00C82DC2">
      <w:pPr>
        <w:spacing w:line="276" w:lineRule="auto"/>
        <w:rPr>
          <w:rFonts w:eastAsia="Times New Roman"/>
          <w:color w:val="000000"/>
        </w:rPr>
      </w:pPr>
      <w:r w:rsidRPr="00C82DC2">
        <w:rPr>
          <w:rFonts w:eastAsia="Times New Roman"/>
          <w:color w:val="000000"/>
        </w:rPr>
        <w:t xml:space="preserve">The Economist. Democracy Index. </w:t>
      </w:r>
      <w:hyperlink r:id="rId160" w:history="1">
        <w:r w:rsidRPr="00C82DC2">
          <w:rPr>
            <w:rStyle w:val="Hyperlink"/>
            <w:rFonts w:eastAsia="Times New Roman"/>
          </w:rPr>
          <w:t>https://infographics.economist.com/2017/DemocracyIndex/</w:t>
        </w:r>
      </w:hyperlink>
    </w:p>
    <w:p w:rsidR="002B4074" w:rsidRPr="00C82DC2" w:rsidRDefault="002B4074" w:rsidP="00C82DC2">
      <w:pPr>
        <w:spacing w:line="276" w:lineRule="auto"/>
        <w:jc w:val="both"/>
        <w:rPr>
          <w:bCs/>
        </w:rPr>
      </w:pPr>
      <w:proofErr w:type="spellStart"/>
      <w:r w:rsidRPr="00C82DC2">
        <w:rPr>
          <w:bCs/>
        </w:rPr>
        <w:t>Tholons</w:t>
      </w:r>
      <w:proofErr w:type="spellEnd"/>
      <w:r w:rsidRPr="00C82DC2">
        <w:rPr>
          <w:bCs/>
        </w:rPr>
        <w:t>. 2016. Strategy for Bangladesh’s IT/</w:t>
      </w:r>
      <w:proofErr w:type="spellStart"/>
      <w:r w:rsidRPr="00C82DC2">
        <w:rPr>
          <w:bCs/>
        </w:rPr>
        <w:t>ITeS</w:t>
      </w:r>
      <w:proofErr w:type="spellEnd"/>
      <w:r w:rsidRPr="00C82DC2">
        <w:rPr>
          <w:bCs/>
        </w:rPr>
        <w:t xml:space="preserve"> Industry. Presentation by BV Naidu </w:t>
      </w:r>
      <w:r w:rsidRPr="00C82DC2">
        <w:rPr>
          <w:bCs/>
          <w:lang w:eastAsia="ko-KR"/>
        </w:rPr>
        <w:t>at the Seminar on University-Industry Linkages to Address IT/ITES Sector Skills Gaps in Bangladesh, ADB Bangladesh Resident Mission Conference Room</w:t>
      </w:r>
      <w:r w:rsidRPr="00C82DC2">
        <w:rPr>
          <w:bCs/>
        </w:rPr>
        <w:t>, Dhaka, 13 December 2016</w:t>
      </w:r>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lastRenderedPageBreak/>
        <w:t xml:space="preserve">Transparency International. 2017. Corruption Perception Index 2016. </w:t>
      </w:r>
      <w:hyperlink r:id="rId161" w:history="1">
        <w:r w:rsidRPr="00C82DC2">
          <w:rPr>
            <w:rStyle w:val="Hyperlink"/>
            <w:b w:val="0"/>
          </w:rPr>
          <w:t>https://www.transparency.org/news/feature/corruption_perceptions_index_2016</w:t>
        </w:r>
      </w:hyperlink>
    </w:p>
    <w:p w:rsidR="002B4074" w:rsidRPr="00C82DC2" w:rsidRDefault="002B4074" w:rsidP="00C82DC2">
      <w:pPr>
        <w:spacing w:line="276" w:lineRule="auto"/>
        <w:rPr>
          <w:color w:val="000000" w:themeColor="text1"/>
        </w:rPr>
      </w:pPr>
      <w:proofErr w:type="spellStart"/>
      <w:r w:rsidRPr="00C82DC2">
        <w:rPr>
          <w:color w:val="000000" w:themeColor="text1"/>
        </w:rPr>
        <w:t>Treisman</w:t>
      </w:r>
      <w:proofErr w:type="spellEnd"/>
      <w:r w:rsidRPr="00C82DC2">
        <w:rPr>
          <w:color w:val="000000" w:themeColor="text1"/>
        </w:rPr>
        <w:t xml:space="preserve">, Daniel. 2002. Defining and Measuring Decentralization: A Global Perspective. </w:t>
      </w:r>
      <w:hyperlink r:id="rId162" w:history="1">
        <w:r w:rsidRPr="00C82DC2">
          <w:rPr>
            <w:rStyle w:val="Hyperlink"/>
            <w:lang w:val="en"/>
          </w:rPr>
          <w:t>www.sscnet.ucla.edu/polisci/faculty/</w:t>
        </w:r>
        <w:r w:rsidRPr="00C82DC2">
          <w:rPr>
            <w:rStyle w:val="Hyperlink"/>
            <w:b/>
            <w:bCs/>
            <w:lang w:val="en"/>
          </w:rPr>
          <w:t>treisman</w:t>
        </w:r>
        <w:r w:rsidRPr="00C82DC2">
          <w:rPr>
            <w:rStyle w:val="Hyperlink"/>
            <w:lang w:val="en"/>
          </w:rPr>
          <w:t>/Papers/defin.pdf</w:t>
        </w:r>
      </w:hyperlink>
      <w:r w:rsidRPr="00C82DC2">
        <w:rPr>
          <w:color w:val="006D21"/>
          <w:lang w:val="en"/>
        </w:rPr>
        <w:t xml:space="preserve"> </w:t>
      </w:r>
      <w:r w:rsidRPr="00C82DC2">
        <w:rPr>
          <w:color w:val="767676"/>
          <w:lang w:val="en"/>
        </w:rPr>
        <w:t xml:space="preserve">  </w:t>
      </w:r>
      <w:r w:rsidRPr="00C82DC2">
        <w:t xml:space="preserve"> </w:t>
      </w:r>
    </w:p>
    <w:p w:rsidR="002B4074" w:rsidRPr="00C82DC2" w:rsidRDefault="002B4074" w:rsidP="00C82DC2">
      <w:pPr>
        <w:spacing w:line="276" w:lineRule="auto"/>
        <w:rPr>
          <w:rFonts w:eastAsia="Times New Roman"/>
          <w:color w:val="000000"/>
        </w:rPr>
      </w:pPr>
      <w:r w:rsidRPr="00C82DC2">
        <w:rPr>
          <w:rFonts w:eastAsia="Times New Roman"/>
          <w:color w:val="000000"/>
        </w:rPr>
        <w:t xml:space="preserve">Vision of Humanity. </w:t>
      </w:r>
      <w:hyperlink r:id="rId163" w:history="1">
        <w:r w:rsidRPr="00C82DC2">
          <w:rPr>
            <w:rStyle w:val="Hyperlink"/>
            <w:rFonts w:eastAsia="Times New Roman"/>
          </w:rPr>
          <w:t>http://visionofhumanity.org/app/uploads/2017/06/GPI-2017-Report-1.pdf</w:t>
        </w:r>
      </w:hyperlink>
    </w:p>
    <w:p w:rsidR="002B4074" w:rsidRPr="00C82DC2" w:rsidRDefault="002B4074" w:rsidP="00C82DC2">
      <w:pPr>
        <w:pStyle w:val="NormalWeb"/>
        <w:shd w:val="clear" w:color="auto" w:fill="FFFFFF"/>
        <w:spacing w:before="120" w:beforeAutospacing="0" w:after="120" w:afterAutospacing="0"/>
        <w:jc w:val="both"/>
        <w:rPr>
          <w:b w:val="0"/>
        </w:rPr>
      </w:pPr>
      <w:proofErr w:type="spellStart"/>
      <w:r w:rsidRPr="00C82DC2">
        <w:rPr>
          <w:b w:val="0"/>
        </w:rPr>
        <w:t>Wahhab</w:t>
      </w:r>
      <w:proofErr w:type="spellEnd"/>
      <w:r w:rsidRPr="00C82DC2">
        <w:rPr>
          <w:b w:val="0"/>
        </w:rPr>
        <w:t xml:space="preserve">, Abdul. Problems of Governance and the Need for Political Decentralization in Bangladesh. Network of Asia-Pacific Schools and Institutes of Public Administration and Governance. </w:t>
      </w:r>
      <w:hyperlink r:id="rId164" w:history="1">
        <w:r w:rsidRPr="00C82DC2">
          <w:rPr>
            <w:rStyle w:val="Hyperlink"/>
            <w:b w:val="0"/>
          </w:rPr>
          <w:t>http://napsipag.org/pdf/Decentralization_bangladesh.pdf</w:t>
        </w:r>
      </w:hyperlink>
      <w:r w:rsidRPr="00C82DC2">
        <w:rPr>
          <w:b w:val="0"/>
        </w:rPr>
        <w:t xml:space="preserve"> </w:t>
      </w:r>
    </w:p>
    <w:p w:rsidR="002B4074" w:rsidRPr="00C82DC2" w:rsidRDefault="002B4074" w:rsidP="00C82DC2">
      <w:pPr>
        <w:pStyle w:val="NormalWeb"/>
        <w:shd w:val="clear" w:color="auto" w:fill="FFFFFF"/>
        <w:spacing w:before="120" w:beforeAutospacing="0" w:after="120" w:afterAutospacing="0"/>
        <w:jc w:val="both"/>
        <w:rPr>
          <w:b w:val="0"/>
        </w:rPr>
      </w:pPr>
      <w:proofErr w:type="spellStart"/>
      <w:r w:rsidRPr="00C82DC2">
        <w:rPr>
          <w:b w:val="0"/>
        </w:rPr>
        <w:t>Wahhab</w:t>
      </w:r>
      <w:proofErr w:type="spellEnd"/>
      <w:r w:rsidRPr="00C82DC2">
        <w:rPr>
          <w:b w:val="0"/>
        </w:rPr>
        <w:t xml:space="preserve">, M. Abdul. 2002. Decentralization in Bangladesh: Theory and Practice, Dhaka: </w:t>
      </w:r>
      <w:proofErr w:type="spellStart"/>
      <w:r w:rsidRPr="00C82DC2">
        <w:rPr>
          <w:b w:val="0"/>
        </w:rPr>
        <w:t>Osder</w:t>
      </w:r>
      <w:proofErr w:type="spellEnd"/>
      <w:r w:rsidRPr="00C82DC2">
        <w:rPr>
          <w:b w:val="0"/>
        </w:rPr>
        <w:t>.</w:t>
      </w:r>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t xml:space="preserve">Wikipedia. For various countries </w:t>
      </w:r>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rPr>
        <w:t xml:space="preserve">Wikipedia. </w:t>
      </w:r>
      <w:hyperlink r:id="rId165" w:history="1">
        <w:r w:rsidRPr="00C82DC2">
          <w:rPr>
            <w:rStyle w:val="Hyperlink"/>
            <w:b w:val="0"/>
          </w:rPr>
          <w:t>https://en.wikipedia.org/wiki/Democracy_Index</w:t>
        </w:r>
      </w:hyperlink>
      <w:r w:rsidRPr="00C82DC2">
        <w:rPr>
          <w:b w:val="0"/>
          <w:color w:val="000000" w:themeColor="text1"/>
        </w:rPr>
        <w:t xml:space="preserve">  </w:t>
      </w:r>
    </w:p>
    <w:p w:rsidR="002B4074" w:rsidRPr="00C82DC2" w:rsidRDefault="002B4074" w:rsidP="00C82DC2">
      <w:pPr>
        <w:spacing w:line="276" w:lineRule="auto"/>
        <w:rPr>
          <w:rFonts w:eastAsia="Times New Roman"/>
          <w:color w:val="000000"/>
        </w:rPr>
      </w:pPr>
      <w:r w:rsidRPr="00C82DC2">
        <w:rPr>
          <w:rFonts w:eastAsia="Times New Roman"/>
          <w:color w:val="000000"/>
        </w:rPr>
        <w:t xml:space="preserve">Wikipedia. </w:t>
      </w:r>
      <w:hyperlink r:id="rId166" w:history="1">
        <w:r w:rsidRPr="00C82DC2">
          <w:rPr>
            <w:rStyle w:val="Hyperlink"/>
            <w:rFonts w:eastAsia="Times New Roman"/>
          </w:rPr>
          <w:t>https://en.wikipedia.org/wiki/Democracy_Index</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t xml:space="preserve">Wikipedia. </w:t>
      </w:r>
      <w:hyperlink r:id="rId167" w:history="1">
        <w:r w:rsidRPr="00C82DC2">
          <w:rPr>
            <w:rStyle w:val="Hyperlink"/>
            <w:b w:val="0"/>
          </w:rPr>
          <w:t>https://en.wikipedia.org/wiki/Global_Peace_Index</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t>World Bank database.</w:t>
      </w:r>
      <w:r w:rsidRPr="00C82DC2">
        <w:t xml:space="preserve"> </w:t>
      </w:r>
      <w:hyperlink r:id="rId168" w:history="1">
        <w:r w:rsidRPr="00C82DC2">
          <w:rPr>
            <w:rStyle w:val="Hyperlink"/>
            <w:b w:val="0"/>
          </w:rPr>
          <w:t>http://databank.worldbank.org/data/Databases.aspx</w:t>
        </w:r>
      </w:hyperlink>
      <w:r w:rsidRPr="00C82DC2">
        <w:rPr>
          <w:b w:val="0"/>
          <w:color w:val="000000" w:themeColor="text1"/>
        </w:rPr>
        <w:t xml:space="preserve"> </w:t>
      </w:r>
    </w:p>
    <w:p w:rsidR="002B4074" w:rsidRPr="002B4074" w:rsidRDefault="002B4074" w:rsidP="001F60A1">
      <w:pPr>
        <w:spacing w:before="0" w:after="200" w:line="276" w:lineRule="auto"/>
      </w:pPr>
      <w:r w:rsidRPr="002B4074">
        <w:t xml:space="preserve">World Bank, World Bank database, </w:t>
      </w:r>
      <w:hyperlink r:id="rId169" w:history="1">
        <w:r w:rsidRPr="002B4074">
          <w:rPr>
            <w:rStyle w:val="Hyperlink"/>
          </w:rPr>
          <w:t>https://data.worldbank.org/indicator/GC.TAX.TOTL.GD.ZS</w:t>
        </w:r>
      </w:hyperlink>
    </w:p>
    <w:p w:rsidR="002B4074" w:rsidRPr="002B4074" w:rsidRDefault="002B4074" w:rsidP="001F60A1">
      <w:pPr>
        <w:spacing w:before="0" w:after="200" w:line="276" w:lineRule="auto"/>
      </w:pPr>
      <w:r w:rsidRPr="002B4074">
        <w:t xml:space="preserve">World Bank, World Bank database, </w:t>
      </w:r>
      <w:hyperlink r:id="rId170" w:history="1">
        <w:r w:rsidRPr="002B4074">
          <w:rPr>
            <w:rStyle w:val="Hyperlink"/>
          </w:rPr>
          <w:t>https://data.worldbank.org/indicator/BX.KLT.DINV.WD.GD.ZS</w:t>
        </w:r>
      </w:hyperlink>
    </w:p>
    <w:p w:rsidR="002B4074" w:rsidRDefault="002B4074" w:rsidP="00286107">
      <w:r>
        <w:t xml:space="preserve">World Bank. 2015. Cambodia – Country Summary Brief. Updated June 22, 2015. </w:t>
      </w:r>
      <w:hyperlink r:id="rId171" w:history="1">
        <w:r w:rsidRPr="002C4A48">
          <w:rPr>
            <w:rStyle w:val="Hyperlink"/>
          </w:rPr>
          <w:t>http://siteresources.worldbank.org/EXTCDD/Resources/430160-1435154813801/Cambodia_Country_Brief.pdf</w:t>
        </w:r>
      </w:hyperlink>
      <w:r>
        <w:t xml:space="preserve"> </w:t>
      </w:r>
    </w:p>
    <w:p w:rsidR="002B4074" w:rsidRPr="00BA313B" w:rsidRDefault="002B4074" w:rsidP="00BA313B">
      <w:pPr>
        <w:pStyle w:val="NormalWeb"/>
        <w:shd w:val="clear" w:color="auto" w:fill="FFFFFF"/>
        <w:spacing w:before="120" w:beforeAutospacing="0" w:after="120" w:afterAutospacing="0"/>
        <w:rPr>
          <w:b w:val="0"/>
          <w:color w:val="000000" w:themeColor="text1"/>
        </w:rPr>
      </w:pPr>
      <w:r w:rsidRPr="00BA313B">
        <w:rPr>
          <w:rStyle w:val="Hyperlink"/>
          <w:b w:val="0"/>
          <w:color w:val="000000" w:themeColor="text1"/>
          <w:u w:val="none"/>
        </w:rPr>
        <w:t xml:space="preserve">World Bank. 2015. </w:t>
      </w:r>
      <w:r>
        <w:rPr>
          <w:rStyle w:val="Hyperlink"/>
          <w:b w:val="0"/>
          <w:color w:val="000000" w:themeColor="text1"/>
          <w:u w:val="none"/>
        </w:rPr>
        <w:t xml:space="preserve">India - Country Summary Brief. </w:t>
      </w:r>
      <w:hyperlink r:id="rId172" w:history="1">
        <w:r w:rsidRPr="002C4A48">
          <w:rPr>
            <w:rStyle w:val="Hyperlink"/>
            <w:b w:val="0"/>
          </w:rPr>
          <w:t>http://siteresources.worldbank.org/EXTCDD/Resources/430160-1435154813801/India_Country_Brief.pdf</w:t>
        </w:r>
      </w:hyperlink>
      <w:r>
        <w:rPr>
          <w:rStyle w:val="Hyperlink"/>
          <w:b w:val="0"/>
          <w:color w:val="000000" w:themeColor="text1"/>
          <w:u w:val="none"/>
        </w:rPr>
        <w:t xml:space="preserve"> </w:t>
      </w:r>
    </w:p>
    <w:p w:rsidR="002B4074" w:rsidRPr="00C82DC2" w:rsidRDefault="002B4074" w:rsidP="00C82DC2">
      <w:pPr>
        <w:spacing w:line="276" w:lineRule="auto"/>
        <w:rPr>
          <w:color w:val="000000" w:themeColor="text1"/>
        </w:rPr>
      </w:pPr>
      <w:r w:rsidRPr="00C82DC2">
        <w:rPr>
          <w:rStyle w:val="Hyperlink"/>
          <w:color w:val="000000" w:themeColor="text1"/>
          <w:u w:val="none"/>
        </w:rPr>
        <w:t>World Bank. 2017. Doing Business 2017: Equal Opportunity for All.</w:t>
      </w:r>
      <w:r w:rsidRPr="00C82DC2">
        <w:rPr>
          <w:rStyle w:val="Hyperlink"/>
          <w:color w:val="000000" w:themeColor="text1"/>
        </w:rPr>
        <w:t xml:space="preserve">  Washington, DC: World Bank. DOI: 10.1596/978-1-4648-0948-4. License: Creative Commons Attribution CC BY 3.0 IGO.</w:t>
      </w:r>
      <w:r w:rsidRPr="00C82DC2">
        <w:rPr>
          <w:rStyle w:val="Hyperlink"/>
          <w:color w:val="000000" w:themeColor="text1"/>
          <w:u w:val="none"/>
        </w:rPr>
        <w:t xml:space="preserve"> </w:t>
      </w:r>
      <w:hyperlink r:id="rId173" w:history="1">
        <w:r w:rsidRPr="00C82DC2">
          <w:rPr>
            <w:rStyle w:val="Hyperlink"/>
          </w:rPr>
          <w:t>http://creativecommons.org/licenses/by/3.0/igo</w:t>
        </w:r>
      </w:hyperlink>
    </w:p>
    <w:p w:rsidR="002B4074" w:rsidRPr="00C82DC2" w:rsidRDefault="002B4074" w:rsidP="00C82DC2">
      <w:pPr>
        <w:spacing w:line="276" w:lineRule="auto"/>
        <w:rPr>
          <w:rFonts w:eastAsia="Times New Roman"/>
          <w:color w:val="000000"/>
        </w:rPr>
      </w:pPr>
      <w:r w:rsidRPr="00C82DC2">
        <w:rPr>
          <w:rFonts w:eastAsia="Times New Roman"/>
          <w:color w:val="000000"/>
        </w:rPr>
        <w:t xml:space="preserve">World Bank. Country Overview. </w:t>
      </w:r>
      <w:hyperlink r:id="rId174" w:history="1">
        <w:r w:rsidRPr="00C82DC2">
          <w:rPr>
            <w:rStyle w:val="Hyperlink"/>
            <w:rFonts w:eastAsia="Times New Roman"/>
          </w:rPr>
          <w:t>http://www.worldbank.org/en/country/guineabissau/overview</w:t>
        </w:r>
      </w:hyperlink>
    </w:p>
    <w:p w:rsidR="002B4074" w:rsidRPr="00C82DC2" w:rsidRDefault="002B4074" w:rsidP="00C82DC2">
      <w:pPr>
        <w:spacing w:line="276" w:lineRule="auto"/>
        <w:rPr>
          <w:color w:val="000000" w:themeColor="text1"/>
        </w:rPr>
      </w:pPr>
      <w:r w:rsidRPr="00C82DC2">
        <w:rPr>
          <w:rFonts w:eastAsia="Times New Roman"/>
          <w:color w:val="000000"/>
        </w:rPr>
        <w:t>World Bank. DOI: 10.1596/978-1-4648-0948-4. License: Creative Commons Attribution CC BY 3.0 IGO</w:t>
      </w:r>
      <w:r w:rsidRPr="00C82DC2">
        <w:rPr>
          <w:color w:val="000000" w:themeColor="text1"/>
        </w:rPr>
        <w:t xml:space="preserve"> </w:t>
      </w:r>
    </w:p>
    <w:p w:rsidR="002B4074" w:rsidRPr="00C82DC2" w:rsidRDefault="002B4074" w:rsidP="00C82DC2">
      <w:pPr>
        <w:spacing w:line="276" w:lineRule="auto"/>
        <w:rPr>
          <w:color w:val="000000" w:themeColor="text1"/>
        </w:rPr>
      </w:pPr>
      <w:r w:rsidRPr="00C82DC2">
        <w:rPr>
          <w:color w:val="000000" w:themeColor="text1"/>
        </w:rPr>
        <w:t xml:space="preserve">World Bank. </w:t>
      </w:r>
      <w:hyperlink r:id="rId175" w:history="1">
        <w:r w:rsidRPr="00C82DC2">
          <w:rPr>
            <w:rStyle w:val="Hyperlink"/>
          </w:rPr>
          <w:t>http://data.worldbank.org/</w:t>
        </w:r>
      </w:hyperlink>
    </w:p>
    <w:p w:rsidR="002B4074" w:rsidRPr="00C82DC2" w:rsidRDefault="002B4074" w:rsidP="00C82DC2">
      <w:pPr>
        <w:spacing w:line="276" w:lineRule="auto"/>
        <w:rPr>
          <w:rFonts w:eastAsia="Times New Roman"/>
          <w:color w:val="000000"/>
        </w:rPr>
      </w:pPr>
      <w:r w:rsidRPr="00C82DC2">
        <w:t xml:space="preserve">World Bank. </w:t>
      </w:r>
      <w:hyperlink r:id="rId176" w:history="1">
        <w:r w:rsidRPr="00C82DC2">
          <w:rPr>
            <w:rStyle w:val="Hyperlink"/>
            <w:rFonts w:eastAsia="Times New Roman"/>
          </w:rPr>
          <w:t>http://data.worldbank.org/data-catalog/CPIA</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t xml:space="preserve">World Bank. </w:t>
      </w:r>
      <w:hyperlink r:id="rId177" w:history="1">
        <w:r w:rsidRPr="00C82DC2">
          <w:rPr>
            <w:rStyle w:val="Hyperlink"/>
            <w:b w:val="0"/>
          </w:rPr>
          <w:t>http://data.worldbank.org/data-catalog/CPIA</w:t>
        </w:r>
      </w:hyperlink>
    </w:p>
    <w:p w:rsidR="002B4074" w:rsidRPr="00C82DC2" w:rsidRDefault="002B4074" w:rsidP="00C82DC2">
      <w:pPr>
        <w:spacing w:line="276" w:lineRule="auto"/>
        <w:rPr>
          <w:rStyle w:val="Hyperlink"/>
          <w:rFonts w:eastAsia="Times New Roman"/>
        </w:rPr>
      </w:pPr>
      <w:r w:rsidRPr="00C82DC2">
        <w:t xml:space="preserve">World Bank. </w:t>
      </w:r>
      <w:hyperlink r:id="rId178" w:anchor="home" w:history="1">
        <w:r w:rsidRPr="00C82DC2">
          <w:rPr>
            <w:rStyle w:val="Hyperlink"/>
            <w:rFonts w:eastAsia="Times New Roman"/>
          </w:rPr>
          <w:t>http://info.worldbank.org/governance/wgi/#home</w:t>
        </w:r>
      </w:hyperlink>
    </w:p>
    <w:p w:rsidR="002B4074" w:rsidRPr="00C82DC2" w:rsidRDefault="002B4074" w:rsidP="00C82DC2">
      <w:pPr>
        <w:pStyle w:val="NormalWeb"/>
        <w:shd w:val="clear" w:color="auto" w:fill="FFFFFF"/>
        <w:spacing w:before="120" w:beforeAutospacing="0" w:after="120" w:afterAutospacing="0"/>
        <w:jc w:val="both"/>
        <w:rPr>
          <w:b w:val="0"/>
          <w:color w:val="000000" w:themeColor="text1"/>
        </w:rPr>
      </w:pPr>
      <w:r w:rsidRPr="00C82DC2">
        <w:rPr>
          <w:b w:val="0"/>
          <w:color w:val="000000" w:themeColor="text1"/>
        </w:rPr>
        <w:lastRenderedPageBreak/>
        <w:t xml:space="preserve">World Bank. </w:t>
      </w:r>
      <w:hyperlink r:id="rId179" w:anchor="home" w:history="1">
        <w:r w:rsidRPr="00C82DC2">
          <w:rPr>
            <w:rStyle w:val="Hyperlink"/>
            <w:b w:val="0"/>
          </w:rPr>
          <w:t>http://info.worldbank.org/governance/wgi/#home</w:t>
        </w:r>
      </w:hyperlink>
    </w:p>
    <w:p w:rsidR="002B4074" w:rsidRPr="00C82DC2" w:rsidRDefault="002B4074" w:rsidP="00C82DC2">
      <w:pPr>
        <w:pStyle w:val="NormalWeb"/>
        <w:shd w:val="clear" w:color="auto" w:fill="FFFFFF"/>
        <w:spacing w:before="120" w:beforeAutospacing="0" w:after="120" w:afterAutospacing="0"/>
        <w:rPr>
          <w:b w:val="0"/>
          <w:color w:val="000000" w:themeColor="text1"/>
        </w:rPr>
      </w:pPr>
      <w:r w:rsidRPr="00C82DC2">
        <w:rPr>
          <w:b w:val="0"/>
          <w:color w:val="000000" w:themeColor="text1"/>
        </w:rPr>
        <w:t xml:space="preserve">World Bank. </w:t>
      </w:r>
      <w:hyperlink r:id="rId180" w:history="1">
        <w:r w:rsidRPr="00C82DC2">
          <w:rPr>
            <w:rStyle w:val="Hyperlink"/>
            <w:b w:val="0"/>
          </w:rPr>
          <w:t>http://www.worldbank.org/en/country/</w:t>
        </w:r>
      </w:hyperlink>
      <w:r w:rsidRPr="00C82DC2">
        <w:rPr>
          <w:b w:val="0"/>
          <w:color w:val="000000" w:themeColor="text1"/>
        </w:rPr>
        <w:t>. Various countries</w:t>
      </w:r>
    </w:p>
    <w:p w:rsidR="002B4074" w:rsidRPr="00C82DC2" w:rsidRDefault="002B4074" w:rsidP="00C82DC2">
      <w:pPr>
        <w:pStyle w:val="NormalWeb"/>
        <w:shd w:val="clear" w:color="auto" w:fill="FFFFFF"/>
        <w:spacing w:before="120" w:beforeAutospacing="0" w:after="120" w:afterAutospacing="0"/>
        <w:rPr>
          <w:b w:val="0"/>
          <w:color w:val="000000" w:themeColor="text1"/>
        </w:rPr>
      </w:pPr>
      <w:r w:rsidRPr="00C82DC2">
        <w:rPr>
          <w:b w:val="0"/>
          <w:color w:val="000000" w:themeColor="text1"/>
        </w:rPr>
        <w:t xml:space="preserve">World Bank. </w:t>
      </w:r>
      <w:hyperlink r:id="rId181" w:history="1">
        <w:r w:rsidRPr="00C82DC2">
          <w:rPr>
            <w:rStyle w:val="Hyperlink"/>
            <w:b w:val="0"/>
          </w:rPr>
          <w:t>http://www.worldbank.org/en/country/bangladesh/brief/bangladesh-governance</w:t>
        </w:r>
      </w:hyperlink>
    </w:p>
    <w:p w:rsidR="002B4074" w:rsidRPr="009459CA" w:rsidRDefault="002B4074" w:rsidP="00AF6E85">
      <w:pPr>
        <w:spacing w:before="0" w:after="200" w:line="276" w:lineRule="auto"/>
      </w:pPr>
      <w:r>
        <w:t xml:space="preserve">World Bank. Undated. </w:t>
      </w:r>
      <w:r w:rsidRPr="009459CA">
        <w:t>The Overview Table of the Country Case Studies</w:t>
      </w:r>
      <w:r>
        <w:t xml:space="preserve">. </w:t>
      </w:r>
      <w:hyperlink r:id="rId182" w:history="1">
        <w:r w:rsidRPr="002C4A48">
          <w:rPr>
            <w:rStyle w:val="Hyperlink"/>
          </w:rPr>
          <w:t>http://siteresources.worldbank.org/EXTCDD/Resources/430160-1435154813801/Website_CDD_Institutionalization_Study_Table_Final.pdf</w:t>
        </w:r>
      </w:hyperlink>
      <w:r>
        <w:t xml:space="preserve"> </w:t>
      </w:r>
    </w:p>
    <w:p w:rsidR="002B4074" w:rsidRPr="002B4074" w:rsidRDefault="002B4074" w:rsidP="001F60A1">
      <w:pPr>
        <w:spacing w:before="0" w:after="200" w:line="276" w:lineRule="auto"/>
      </w:pPr>
      <w:r w:rsidRPr="002B4074">
        <w:t xml:space="preserve">World Bank. World Bank database, </w:t>
      </w:r>
      <w:hyperlink r:id="rId183" w:history="1">
        <w:r w:rsidRPr="002B4074">
          <w:rPr>
            <w:rStyle w:val="Hyperlink"/>
          </w:rPr>
          <w:t>https://data.worldbank.org/indicator/FB.AST.NPER.ZS</w:t>
        </w:r>
      </w:hyperlink>
    </w:p>
    <w:p w:rsidR="002B4074" w:rsidRDefault="002B4074" w:rsidP="00AF6E85">
      <w:pPr>
        <w:pStyle w:val="NormalWeb"/>
        <w:shd w:val="clear" w:color="auto" w:fill="FFFFFF"/>
        <w:spacing w:before="0" w:beforeAutospacing="0" w:after="200" w:afterAutospacing="0"/>
        <w:jc w:val="both"/>
        <w:rPr>
          <w:rStyle w:val="Hyperlink"/>
          <w:b w:val="0"/>
        </w:rPr>
      </w:pPr>
      <w:r w:rsidRPr="00C82DC2">
        <w:rPr>
          <w:b w:val="0"/>
          <w:color w:val="000000" w:themeColor="text1"/>
        </w:rPr>
        <w:t xml:space="preserve">World Economic Forum. 2017. Global Competitiveness Report 2016-2017. </w:t>
      </w:r>
      <w:hyperlink r:id="rId184" w:history="1">
        <w:r w:rsidRPr="00C82DC2">
          <w:rPr>
            <w:rStyle w:val="Hyperlink"/>
            <w:b w:val="0"/>
          </w:rPr>
          <w:t>http://www3.weforum.org/docs/GCR2016-2017/05FullReport/TheGlobalCompetitivenessReport2016-2017_FINAL.pdf</w:t>
        </w:r>
      </w:hyperlink>
    </w:p>
    <w:p w:rsidR="00110BE9" w:rsidRPr="009459CA" w:rsidRDefault="00110BE9" w:rsidP="009459CA">
      <w:pPr>
        <w:sectPr w:rsidR="00110BE9" w:rsidRPr="009459CA" w:rsidSect="00646B60">
          <w:pgSz w:w="12240" w:h="15840"/>
          <w:pgMar w:top="1440" w:right="1440" w:bottom="1440" w:left="1440" w:header="720" w:footer="720" w:gutter="0"/>
          <w:cols w:space="720"/>
          <w:titlePg/>
          <w:docGrid w:linePitch="360"/>
        </w:sectPr>
      </w:pPr>
    </w:p>
    <w:p w:rsidR="009219D2" w:rsidRDefault="009219D2" w:rsidP="009219D2">
      <w:pPr>
        <w:spacing w:before="100" w:after="100" w:line="276" w:lineRule="auto"/>
        <w:rPr>
          <w:b/>
          <w:caps/>
          <w:color w:val="0070C0"/>
        </w:rPr>
      </w:pPr>
      <w:r w:rsidRPr="00265E01">
        <w:rPr>
          <w:b/>
          <w:caps/>
          <w:color w:val="0070C0"/>
        </w:rPr>
        <w:lastRenderedPageBreak/>
        <w:t>appendixes</w:t>
      </w:r>
    </w:p>
    <w:p w:rsidR="009219D2" w:rsidRDefault="009219D2" w:rsidP="0075498E">
      <w:pPr>
        <w:pStyle w:val="ListParagraph"/>
        <w:numPr>
          <w:ilvl w:val="0"/>
          <w:numId w:val="10"/>
        </w:numPr>
        <w:rPr>
          <w:rFonts w:ascii="Times New Roman" w:hAnsi="Times New Roman" w:cs="Times New Roman"/>
          <w:b/>
          <w:caps/>
          <w:color w:val="0070C0"/>
        </w:rPr>
      </w:pPr>
      <w:r w:rsidRPr="009219D2">
        <w:rPr>
          <w:rFonts w:ascii="Times New Roman" w:hAnsi="Times New Roman" w:cs="Times New Roman"/>
          <w:b/>
          <w:caps/>
          <w:color w:val="0070C0"/>
        </w:rPr>
        <w:t>Economic prosperity and governance</w:t>
      </w:r>
      <w:r w:rsidR="005B50A0">
        <w:rPr>
          <w:rFonts w:ascii="Times New Roman" w:hAnsi="Times New Roman" w:cs="Times New Roman"/>
          <w:b/>
          <w:caps/>
          <w:color w:val="0070C0"/>
        </w:rPr>
        <w:t xml:space="preserve"> in figures</w:t>
      </w:r>
    </w:p>
    <w:p w:rsidR="004A7226" w:rsidRDefault="004A7226" w:rsidP="004A7226">
      <w:pPr>
        <w:rPr>
          <w:b/>
          <w:caps/>
          <w:color w:val="0070C0"/>
        </w:rPr>
      </w:pPr>
    </w:p>
    <w:p w:rsidR="004A7226" w:rsidRDefault="004A7226" w:rsidP="004A7226">
      <w:pPr>
        <w:rPr>
          <w:b/>
          <w:caps/>
          <w:color w:val="0070C0"/>
        </w:rPr>
      </w:pPr>
      <w:r>
        <w:rPr>
          <w:noProof/>
        </w:rPr>
        <w:drawing>
          <wp:inline distT="0" distB="0" distL="0" distR="0" wp14:anchorId="6DD925AD" wp14:editId="3E8741CD">
            <wp:extent cx="8229600" cy="462868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8229600" cy="4628688"/>
                    </a:xfrm>
                    <a:prstGeom prst="rect">
                      <a:avLst/>
                    </a:prstGeom>
                  </pic:spPr>
                </pic:pic>
              </a:graphicData>
            </a:graphic>
          </wp:inline>
        </w:drawing>
      </w: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r>
        <w:rPr>
          <w:noProof/>
        </w:rPr>
        <w:drawing>
          <wp:inline distT="0" distB="0" distL="0" distR="0" wp14:anchorId="722DF131" wp14:editId="678AC89A">
            <wp:extent cx="8229600" cy="45975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8229600" cy="4597583"/>
                    </a:xfrm>
                    <a:prstGeom prst="rect">
                      <a:avLst/>
                    </a:prstGeom>
                  </pic:spPr>
                </pic:pic>
              </a:graphicData>
            </a:graphic>
          </wp:inline>
        </w:drawing>
      </w: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r>
        <w:rPr>
          <w:noProof/>
        </w:rPr>
        <w:drawing>
          <wp:inline distT="0" distB="0" distL="0" distR="0" wp14:anchorId="48A4BFC5" wp14:editId="735DD2A9">
            <wp:extent cx="8229600" cy="4441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8229600" cy="4441190"/>
                    </a:xfrm>
                    <a:prstGeom prst="rect">
                      <a:avLst/>
                    </a:prstGeom>
                  </pic:spPr>
                </pic:pic>
              </a:graphicData>
            </a:graphic>
          </wp:inline>
        </w:drawing>
      </w: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r>
        <w:rPr>
          <w:noProof/>
        </w:rPr>
        <w:drawing>
          <wp:inline distT="0" distB="0" distL="0" distR="0" wp14:anchorId="3E4E2394" wp14:editId="56B7B670">
            <wp:extent cx="8229600" cy="43262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8229600" cy="4326291"/>
                    </a:xfrm>
                    <a:prstGeom prst="rect">
                      <a:avLst/>
                    </a:prstGeom>
                  </pic:spPr>
                </pic:pic>
              </a:graphicData>
            </a:graphic>
          </wp:inline>
        </w:drawing>
      </w: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r>
        <w:rPr>
          <w:noProof/>
        </w:rPr>
        <w:drawing>
          <wp:inline distT="0" distB="0" distL="0" distR="0" wp14:anchorId="0AEFE688" wp14:editId="306B9506">
            <wp:extent cx="8229600" cy="4608651"/>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8229600" cy="4608651"/>
                    </a:xfrm>
                    <a:prstGeom prst="rect">
                      <a:avLst/>
                    </a:prstGeom>
                  </pic:spPr>
                </pic:pic>
              </a:graphicData>
            </a:graphic>
          </wp:inline>
        </w:drawing>
      </w: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Default="004A7226" w:rsidP="004A7226">
      <w:pPr>
        <w:rPr>
          <w:b/>
          <w:caps/>
          <w:color w:val="0070C0"/>
        </w:rPr>
      </w:pPr>
    </w:p>
    <w:p w:rsidR="004A7226" w:rsidRPr="006F79CF" w:rsidRDefault="004A7226" w:rsidP="004A7226">
      <w:pPr>
        <w:rPr>
          <w:rFonts w:ascii="Arial" w:hAnsi="Arial" w:cs="Arial"/>
          <w:b/>
        </w:rPr>
      </w:pPr>
      <w:r>
        <w:rPr>
          <w:rFonts w:ascii="Arial" w:hAnsi="Arial" w:cs="Arial"/>
          <w:b/>
        </w:rPr>
        <w:t>Relation between economic prosperity and Freedom score</w:t>
      </w:r>
    </w:p>
    <w:p w:rsidR="004A7226" w:rsidRDefault="004A7226" w:rsidP="004A7226">
      <w:pPr>
        <w:rPr>
          <w:rFonts w:ascii="Arial" w:hAnsi="Arial" w:cs="Arial"/>
        </w:rPr>
      </w:pPr>
      <w:r>
        <w:rPr>
          <w:noProof/>
        </w:rPr>
        <w:drawing>
          <wp:inline distT="0" distB="0" distL="0" distR="0" wp14:anchorId="29C193F1" wp14:editId="02555E8B">
            <wp:extent cx="8519160" cy="24688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8519160" cy="2468880"/>
                    </a:xfrm>
                    <a:prstGeom prst="rect">
                      <a:avLst/>
                    </a:prstGeom>
                  </pic:spPr>
                </pic:pic>
              </a:graphicData>
            </a:graphic>
          </wp:inline>
        </w:drawing>
      </w:r>
    </w:p>
    <w:p w:rsidR="004A7226" w:rsidRPr="004A7226" w:rsidRDefault="004A7226" w:rsidP="004A7226">
      <w:pPr>
        <w:rPr>
          <w:b/>
          <w:caps/>
          <w:color w:val="0070C0"/>
        </w:rPr>
        <w:sectPr w:rsidR="004A7226" w:rsidRPr="004A7226" w:rsidSect="009219D2">
          <w:pgSz w:w="15840" w:h="12240" w:orient="landscape"/>
          <w:pgMar w:top="1440" w:right="1440" w:bottom="1440" w:left="1440" w:header="720" w:footer="720" w:gutter="0"/>
          <w:cols w:space="720"/>
          <w:titlePg/>
          <w:docGrid w:linePitch="360"/>
        </w:sectPr>
      </w:pPr>
    </w:p>
    <w:p w:rsidR="00C24DB6" w:rsidRDefault="00C24DB6" w:rsidP="0075498E">
      <w:pPr>
        <w:pStyle w:val="ListParagraph"/>
        <w:numPr>
          <w:ilvl w:val="0"/>
          <w:numId w:val="10"/>
        </w:numPr>
        <w:ind w:hanging="720"/>
        <w:rPr>
          <w:rFonts w:ascii="Times New Roman" w:hAnsi="Times New Roman" w:cs="Times New Roman"/>
          <w:b/>
          <w:caps/>
          <w:color w:val="0070C0"/>
        </w:rPr>
      </w:pPr>
      <w:r w:rsidRPr="00C24DB6">
        <w:rPr>
          <w:rFonts w:ascii="Times New Roman" w:hAnsi="Times New Roman" w:cs="Times New Roman"/>
          <w:b/>
          <w:caps/>
          <w:color w:val="0070C0"/>
        </w:rPr>
        <w:lastRenderedPageBreak/>
        <w:t>bangladesh and comparator countries by indices</w:t>
      </w:r>
    </w:p>
    <w:p w:rsidR="00C24DB6" w:rsidRPr="00C24DB6" w:rsidRDefault="00C24DB6" w:rsidP="00C24DB6">
      <w:pPr>
        <w:rPr>
          <w:b/>
          <w:caps/>
          <w:color w:val="0070C0"/>
        </w:rPr>
      </w:pPr>
      <w:r w:rsidRPr="0095614F">
        <w:rPr>
          <w:rFonts w:ascii="Arial" w:hAnsi="Arial" w:cs="Arial"/>
          <w:b/>
          <w:bCs/>
          <w:noProof/>
          <w:color w:val="222222"/>
        </w:rPr>
        <w:drawing>
          <wp:inline distT="0" distB="0" distL="0" distR="0" wp14:anchorId="5D9D2535" wp14:editId="70A93E57">
            <wp:extent cx="5943600" cy="6125845"/>
            <wp:effectExtent l="0" t="0" r="0" b="8255"/>
            <wp:docPr id="17449" name="Picture 1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3600" cy="6125845"/>
                    </a:xfrm>
                    <a:prstGeom prst="rect">
                      <a:avLst/>
                    </a:prstGeom>
                    <a:noFill/>
                    <a:ln>
                      <a:noFill/>
                    </a:ln>
                  </pic:spPr>
                </pic:pic>
              </a:graphicData>
            </a:graphic>
          </wp:inline>
        </w:drawing>
      </w:r>
    </w:p>
    <w:p w:rsidR="00265E01" w:rsidRPr="00C24DB6" w:rsidRDefault="00265E01" w:rsidP="0075498E">
      <w:pPr>
        <w:pStyle w:val="ListParagraph"/>
        <w:numPr>
          <w:ilvl w:val="0"/>
          <w:numId w:val="10"/>
        </w:numPr>
        <w:ind w:hanging="720"/>
        <w:rPr>
          <w:rFonts w:ascii="Times New Roman" w:hAnsi="Times New Roman" w:cs="Times New Roman"/>
          <w:b/>
          <w:caps/>
          <w:color w:val="0070C0"/>
        </w:rPr>
      </w:pPr>
      <w:r w:rsidRPr="00C24DB6">
        <w:rPr>
          <w:rFonts w:ascii="Times New Roman" w:hAnsi="Times New Roman" w:cs="Times New Roman"/>
          <w:b/>
          <w:caps/>
          <w:color w:val="0070C0"/>
        </w:rPr>
        <w:br w:type="page"/>
      </w:r>
    </w:p>
    <w:p w:rsidR="00A26F90" w:rsidRPr="00265E01" w:rsidRDefault="00A26F90" w:rsidP="00057C23">
      <w:pPr>
        <w:spacing w:before="100" w:after="100" w:line="276" w:lineRule="auto"/>
        <w:rPr>
          <w:b/>
          <w:caps/>
          <w:color w:val="0070C0"/>
        </w:rPr>
      </w:pPr>
      <w:r w:rsidRPr="00265E01">
        <w:rPr>
          <w:b/>
          <w:caps/>
          <w:color w:val="0070C0"/>
        </w:rPr>
        <w:lastRenderedPageBreak/>
        <w:t>annexes</w:t>
      </w:r>
    </w:p>
    <w:p w:rsidR="00A26F90" w:rsidRPr="009219D2" w:rsidRDefault="00A26F90" w:rsidP="0075498E">
      <w:pPr>
        <w:pStyle w:val="ListParagraph"/>
        <w:numPr>
          <w:ilvl w:val="0"/>
          <w:numId w:val="11"/>
        </w:numPr>
        <w:spacing w:after="0" w:line="276" w:lineRule="auto"/>
        <w:rPr>
          <w:rFonts w:ascii="Times New Roman" w:hAnsi="Times New Roman" w:cs="Times New Roman"/>
          <w:b/>
          <w:color w:val="0070C0"/>
        </w:rPr>
      </w:pPr>
      <w:r w:rsidRPr="009219D2">
        <w:rPr>
          <w:rFonts w:ascii="Times New Roman" w:hAnsi="Times New Roman" w:cs="Times New Roman"/>
          <w:b/>
          <w:color w:val="0070C0"/>
        </w:rPr>
        <w:t>Definition of Indicators</w:t>
      </w:r>
    </w:p>
    <w:tbl>
      <w:tblPr>
        <w:tblStyle w:val="TableGrid"/>
        <w:tblW w:w="9450" w:type="dxa"/>
        <w:tblInd w:w="-5" w:type="dxa"/>
        <w:tblLook w:val="04A0" w:firstRow="1" w:lastRow="0" w:firstColumn="1" w:lastColumn="0" w:noHBand="0" w:noVBand="1"/>
      </w:tblPr>
      <w:tblGrid>
        <w:gridCol w:w="2610"/>
        <w:gridCol w:w="6840"/>
      </w:tblGrid>
      <w:tr w:rsidR="009801E0" w:rsidRPr="00505963" w:rsidTr="00934FDF">
        <w:tc>
          <w:tcPr>
            <w:tcW w:w="2610" w:type="dxa"/>
          </w:tcPr>
          <w:p w:rsidR="009801E0" w:rsidRPr="009801E0" w:rsidRDefault="009801E0" w:rsidP="009801E0">
            <w:pPr>
              <w:pStyle w:val="NormalWeb"/>
              <w:spacing w:before="120" w:beforeAutospacing="0" w:after="0" w:afterAutospacing="0"/>
              <w:rPr>
                <w:color w:val="000000" w:themeColor="text1"/>
                <w:sz w:val="20"/>
                <w:szCs w:val="20"/>
              </w:rPr>
            </w:pPr>
            <w:r w:rsidRPr="009801E0">
              <w:rPr>
                <w:color w:val="000000" w:themeColor="text1"/>
                <w:sz w:val="20"/>
                <w:szCs w:val="20"/>
              </w:rPr>
              <w:t>Indicator</w:t>
            </w:r>
          </w:p>
        </w:tc>
        <w:tc>
          <w:tcPr>
            <w:tcW w:w="6840" w:type="dxa"/>
          </w:tcPr>
          <w:p w:rsidR="009801E0" w:rsidRPr="00505963" w:rsidRDefault="009801E0" w:rsidP="00AC6027">
            <w:pPr>
              <w:pStyle w:val="NormalWeb"/>
              <w:spacing w:before="120" w:beforeAutospacing="0" w:after="120" w:afterAutospacing="0"/>
              <w:jc w:val="both"/>
              <w:rPr>
                <w:color w:val="000000" w:themeColor="text1"/>
                <w:sz w:val="20"/>
                <w:szCs w:val="20"/>
              </w:rPr>
            </w:pPr>
            <w:r>
              <w:rPr>
                <w:color w:val="000000" w:themeColor="text1"/>
                <w:sz w:val="20"/>
                <w:szCs w:val="20"/>
              </w:rPr>
              <w:t>Definition</w:t>
            </w:r>
          </w:p>
        </w:tc>
      </w:tr>
      <w:tr w:rsidR="009801E0" w:rsidRPr="00D04074" w:rsidTr="00934FDF">
        <w:tc>
          <w:tcPr>
            <w:tcW w:w="2610" w:type="dxa"/>
          </w:tcPr>
          <w:p w:rsidR="009801E0" w:rsidRPr="009801E0" w:rsidRDefault="009801E0" w:rsidP="009801E0">
            <w:pPr>
              <w:spacing w:before="120" w:line="276" w:lineRule="auto"/>
              <w:rPr>
                <w:rFonts w:ascii="Times New Roman" w:hAnsi="Times New Roman" w:cs="Times New Roman"/>
                <w:color w:val="000000" w:themeColor="text1"/>
                <w:sz w:val="20"/>
                <w:szCs w:val="20"/>
              </w:rPr>
            </w:pPr>
            <w:r w:rsidRPr="009801E0">
              <w:rPr>
                <w:rFonts w:ascii="Times New Roman" w:hAnsi="Times New Roman" w:cs="Times New Roman"/>
                <w:color w:val="000000" w:themeColor="text1"/>
                <w:sz w:val="20"/>
                <w:szCs w:val="20"/>
              </w:rPr>
              <w:t>Government effectiveness</w:t>
            </w:r>
          </w:p>
        </w:tc>
        <w:tc>
          <w:tcPr>
            <w:tcW w:w="6840" w:type="dxa"/>
          </w:tcPr>
          <w:p w:rsidR="009801E0" w:rsidRPr="00D04074" w:rsidRDefault="009801E0" w:rsidP="00AC6027">
            <w:pPr>
              <w:spacing w:before="60" w:after="60"/>
              <w:rPr>
                <w:rFonts w:ascii="Times New Roman" w:hAnsi="Times New Roman" w:cs="Times New Roman"/>
                <w:b w:val="0"/>
                <w:color w:val="000000" w:themeColor="text1"/>
                <w:sz w:val="20"/>
                <w:szCs w:val="20"/>
              </w:rPr>
            </w:pPr>
            <w:r w:rsidRPr="00D04074">
              <w:rPr>
                <w:rFonts w:ascii="Times New Roman" w:hAnsi="Times New Roman" w:cs="Times New Roman"/>
                <w:b w:val="0"/>
                <w:color w:val="000000" w:themeColor="text1"/>
                <w:sz w:val="20"/>
                <w:szCs w:val="20"/>
              </w:rPr>
              <w:t>Reflects perceptions of the quality of public services, the quality of the civil service and the degree of its independence from political pressures, the quality of policy formulation and implementation, and the credibility of the government's commitment to such policies.</w:t>
            </w:r>
          </w:p>
          <w:p w:rsidR="009801E0" w:rsidRPr="00D04074" w:rsidRDefault="00342B66" w:rsidP="00AC6027">
            <w:pPr>
              <w:spacing w:before="60" w:after="60"/>
              <w:rPr>
                <w:rFonts w:ascii="Times New Roman" w:hAnsi="Times New Roman" w:cs="Times New Roman"/>
                <w:b w:val="0"/>
                <w:color w:val="000000" w:themeColor="text1"/>
                <w:sz w:val="20"/>
                <w:szCs w:val="20"/>
              </w:rPr>
            </w:pPr>
            <w:hyperlink r:id="rId192" w:anchor="home" w:history="1">
              <w:r w:rsidR="009801E0" w:rsidRPr="00D04074">
                <w:rPr>
                  <w:rStyle w:val="Hyperlink"/>
                  <w:rFonts w:ascii="Times New Roman" w:hAnsi="Times New Roman" w:cs="Times New Roman"/>
                  <w:b w:val="0"/>
                  <w:sz w:val="20"/>
                  <w:szCs w:val="20"/>
                </w:rPr>
                <w:t>http://info.worldbank.org/governance/wgi/#home</w:t>
              </w:r>
            </w:hyperlink>
          </w:p>
        </w:tc>
      </w:tr>
      <w:tr w:rsidR="009801E0" w:rsidRPr="00D04074" w:rsidTr="00934FDF">
        <w:tc>
          <w:tcPr>
            <w:tcW w:w="2610" w:type="dxa"/>
          </w:tcPr>
          <w:p w:rsidR="009801E0" w:rsidRPr="009801E0" w:rsidRDefault="009801E0" w:rsidP="009801E0">
            <w:pPr>
              <w:spacing w:before="120" w:line="276" w:lineRule="auto"/>
              <w:rPr>
                <w:rFonts w:ascii="Times New Roman" w:hAnsi="Times New Roman" w:cs="Times New Roman"/>
                <w:b w:val="0"/>
                <w:color w:val="000000" w:themeColor="text1"/>
                <w:sz w:val="20"/>
                <w:szCs w:val="20"/>
              </w:rPr>
            </w:pPr>
            <w:r w:rsidRPr="009801E0">
              <w:rPr>
                <w:rFonts w:ascii="Times New Roman" w:hAnsi="Times New Roman" w:cs="Times New Roman"/>
                <w:color w:val="000000" w:themeColor="text1"/>
                <w:sz w:val="20"/>
                <w:szCs w:val="20"/>
              </w:rPr>
              <w:t>CPIA economic management cluster average</w:t>
            </w:r>
            <w:r w:rsidRPr="009801E0">
              <w:rPr>
                <w:rFonts w:ascii="Times New Roman" w:hAnsi="Times New Roman" w:cs="Times New Roman"/>
                <w:b w:val="0"/>
                <w:color w:val="000000" w:themeColor="text1"/>
                <w:sz w:val="20"/>
                <w:szCs w:val="20"/>
              </w:rPr>
              <w:t xml:space="preserve"> (1=low to 6=high)</w:t>
            </w:r>
          </w:p>
        </w:tc>
        <w:tc>
          <w:tcPr>
            <w:tcW w:w="6840" w:type="dxa"/>
          </w:tcPr>
          <w:p w:rsidR="009801E0" w:rsidRPr="00D04074" w:rsidRDefault="009801E0" w:rsidP="00AC6027">
            <w:pPr>
              <w:spacing w:before="60" w:after="60"/>
              <w:rPr>
                <w:rFonts w:ascii="Times New Roman" w:hAnsi="Times New Roman" w:cs="Times New Roman"/>
                <w:b w:val="0"/>
                <w:color w:val="000000" w:themeColor="text1"/>
                <w:sz w:val="20"/>
                <w:szCs w:val="20"/>
              </w:rPr>
            </w:pPr>
            <w:r w:rsidRPr="00D04074">
              <w:rPr>
                <w:rFonts w:ascii="Times New Roman" w:hAnsi="Times New Roman" w:cs="Times New Roman"/>
                <w:b w:val="0"/>
                <w:color w:val="000000" w:themeColor="text1"/>
                <w:sz w:val="20"/>
                <w:szCs w:val="20"/>
              </w:rPr>
              <w:t>The economic management cluster includes macroeconomic management, fiscal policy, and debt policy.</w:t>
            </w:r>
          </w:p>
          <w:p w:rsidR="009801E0" w:rsidRPr="00D04074" w:rsidRDefault="009801E0" w:rsidP="00AC6027">
            <w:pPr>
              <w:spacing w:before="60" w:after="60"/>
              <w:rPr>
                <w:rFonts w:ascii="Times New Roman" w:hAnsi="Times New Roman" w:cs="Times New Roman"/>
                <w:b w:val="0"/>
                <w:color w:val="000000" w:themeColor="text1"/>
                <w:sz w:val="20"/>
                <w:szCs w:val="20"/>
              </w:rPr>
            </w:pPr>
            <w:r w:rsidRPr="00D04074">
              <w:rPr>
                <w:rFonts w:ascii="Times New Roman" w:hAnsi="Times New Roman" w:cs="Times New Roman"/>
                <w:b w:val="0"/>
                <w:color w:val="000000" w:themeColor="text1"/>
                <w:sz w:val="20"/>
                <w:szCs w:val="20"/>
              </w:rPr>
              <w:t xml:space="preserve">. </w:t>
            </w:r>
            <w:hyperlink r:id="rId193" w:history="1">
              <w:r w:rsidRPr="00D04074">
                <w:rPr>
                  <w:rStyle w:val="Hyperlink"/>
                  <w:rFonts w:ascii="Times New Roman" w:hAnsi="Times New Roman" w:cs="Times New Roman"/>
                  <w:b w:val="0"/>
                  <w:sz w:val="20"/>
                  <w:szCs w:val="20"/>
                </w:rPr>
                <w:t>http://data.worldbank.org/data-catalog/CPIA</w:t>
              </w:r>
            </w:hyperlink>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b/>
                <w:color w:val="000000" w:themeColor="text1"/>
                <w:sz w:val="20"/>
                <w:szCs w:val="20"/>
              </w:rPr>
            </w:pPr>
            <w:r w:rsidRPr="00912B76">
              <w:rPr>
                <w:rFonts w:ascii="Times New Roman" w:hAnsi="Times New Roman" w:cs="Times New Roman"/>
                <w:b/>
                <w:color w:val="000000" w:themeColor="text1"/>
                <w:sz w:val="20"/>
                <w:szCs w:val="20"/>
              </w:rPr>
              <w:t>Index of economic freedom</w:t>
            </w:r>
          </w:p>
        </w:tc>
        <w:tc>
          <w:tcPr>
            <w:tcW w:w="6840" w:type="dxa"/>
          </w:tcPr>
          <w:p w:rsidR="009801E0" w:rsidRPr="00912B76" w:rsidRDefault="009801E0" w:rsidP="00AC6027">
            <w:pPr>
              <w:pStyle w:val="NormalWeb"/>
              <w:spacing w:before="0" w:beforeAutospacing="0" w:after="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Index of economic freedom is measured on the basis of 12 quantitative and qualitative factors, grouped into four broad categories, or pillars, of economic freedom:    </w:t>
            </w:r>
          </w:p>
          <w:p w:rsidR="009801E0" w:rsidRPr="00912B76" w:rsidRDefault="009801E0" w:rsidP="00AC6027">
            <w:pPr>
              <w:pStyle w:val="NormalWeb"/>
              <w:spacing w:before="0" w:beforeAutospacing="0" w:after="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1. Rule of Law (property rights, government integrity, judicial effectiveness)         </w:t>
            </w:r>
          </w:p>
          <w:p w:rsidR="009801E0" w:rsidRPr="00912B76" w:rsidRDefault="009801E0" w:rsidP="00AC6027">
            <w:pPr>
              <w:pStyle w:val="NormalWeb"/>
              <w:spacing w:before="0" w:beforeAutospacing="0" w:after="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2. Government Size (government spending, tax burden, fiscal health)         </w:t>
            </w:r>
          </w:p>
          <w:p w:rsidR="009801E0" w:rsidRPr="00912B76" w:rsidRDefault="009801E0" w:rsidP="00AC6027">
            <w:pPr>
              <w:pStyle w:val="NormalWeb"/>
              <w:spacing w:before="0" w:beforeAutospacing="0" w:after="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3. Regulatory Efficiency (business freedom, labor freedom, monetary freedom)        </w:t>
            </w:r>
          </w:p>
          <w:p w:rsidR="009801E0" w:rsidRPr="00912B76" w:rsidRDefault="009801E0" w:rsidP="00AC6027">
            <w:pPr>
              <w:pStyle w:val="NormalWeb"/>
              <w:spacing w:before="0" w:beforeAutospacing="0" w:after="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4. Open Markets (trade freedom, investment freedom, financial freedom)         </w:t>
            </w:r>
          </w:p>
          <w:p w:rsidR="009801E0" w:rsidRPr="00912B76" w:rsidRDefault="009801E0" w:rsidP="00AC6027">
            <w:pPr>
              <w:pStyle w:val="NormalWeb"/>
              <w:spacing w:before="0" w:beforeAutospacing="0" w:after="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           </w:t>
            </w:r>
          </w:p>
          <w:p w:rsidR="009801E0" w:rsidRPr="00912B76" w:rsidRDefault="009801E0" w:rsidP="00AC6027">
            <w:pPr>
              <w:pStyle w:val="NormalWeb"/>
              <w:spacing w:before="0" w:beforeAutospacing="0" w:after="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Each of the twelve economic freedoms within these categories is graded on a scale of 0 to 100. </w:t>
            </w:r>
          </w:p>
          <w:p w:rsidR="009801E0" w:rsidRPr="00912B76" w:rsidRDefault="009801E0" w:rsidP="00AC6027">
            <w:pPr>
              <w:pStyle w:val="NormalWeb"/>
              <w:spacing w:before="0" w:beforeAutospacing="0" w:after="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A country’s overall score is derived by averaging these twelve economic freedoms, with equal weight being given to each.</w:t>
            </w:r>
          </w:p>
          <w:p w:rsidR="009801E0" w:rsidRPr="00912B76" w:rsidRDefault="009801E0" w:rsidP="00AC6027">
            <w:pPr>
              <w:pStyle w:val="NormalWeb"/>
              <w:spacing w:before="0" w:beforeAutospacing="0" w:after="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Cut off points are free 100-80, mostly free 79.9-70, moderately free 69.9-60, mostly unfree 59.9-50 and repressed 49.9-0.</w:t>
            </w:r>
          </w:p>
          <w:p w:rsidR="009801E0" w:rsidRPr="00912B76" w:rsidRDefault="00342B66" w:rsidP="00AC6027">
            <w:pPr>
              <w:pStyle w:val="NormalWeb"/>
              <w:spacing w:before="0" w:beforeAutospacing="0" w:after="0" w:afterAutospacing="0"/>
              <w:jc w:val="both"/>
              <w:rPr>
                <w:rFonts w:ascii="Times New Roman" w:hAnsi="Times New Roman" w:cs="Times New Roman"/>
                <w:color w:val="000000" w:themeColor="text1"/>
                <w:sz w:val="20"/>
                <w:szCs w:val="20"/>
              </w:rPr>
            </w:pPr>
            <w:hyperlink r:id="rId194" w:history="1">
              <w:r w:rsidR="009801E0" w:rsidRPr="00912B76">
                <w:rPr>
                  <w:rStyle w:val="Hyperlink"/>
                  <w:rFonts w:ascii="Times New Roman" w:hAnsi="Times New Roman" w:cs="Times New Roman"/>
                  <w:sz w:val="20"/>
                  <w:szCs w:val="20"/>
                </w:rPr>
                <w:t>http://www.heritage.org/index/download</w:t>
              </w:r>
            </w:hyperlink>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color w:val="000000" w:themeColor="text1"/>
                <w:sz w:val="20"/>
                <w:szCs w:val="20"/>
              </w:rPr>
            </w:pPr>
            <w:r w:rsidRPr="00912B76">
              <w:rPr>
                <w:rFonts w:ascii="Times New Roman" w:hAnsi="Times New Roman" w:cs="Times New Roman"/>
                <w:b/>
                <w:color w:val="000000" w:themeColor="text1"/>
                <w:sz w:val="20"/>
                <w:szCs w:val="20"/>
              </w:rPr>
              <w:t>Country risk assessment</w:t>
            </w: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Country risk assessment is based on credit risk looking at political, economic and security risks and potential.</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With </w:t>
            </w:r>
            <w:proofErr w:type="spellStart"/>
            <w:r w:rsidRPr="00912B76">
              <w:rPr>
                <w:rFonts w:ascii="Times New Roman" w:hAnsi="Times New Roman" w:cs="Times New Roman"/>
                <w:color w:val="000000" w:themeColor="text1"/>
                <w:sz w:val="20"/>
                <w:szCs w:val="20"/>
              </w:rPr>
              <w:t>Coface’s</w:t>
            </w:r>
            <w:proofErr w:type="spellEnd"/>
            <w:r w:rsidRPr="00912B76">
              <w:rPr>
                <w:rFonts w:ascii="Times New Roman" w:hAnsi="Times New Roman" w:cs="Times New Roman"/>
                <w:color w:val="000000" w:themeColor="text1"/>
                <w:sz w:val="20"/>
                <w:szCs w:val="20"/>
              </w:rPr>
              <w:t xml:space="preserve"> expertise in country evaluations, 160 country assessments are available using a spectrum of indicators incorporating geopolitical or governance risks, economic vulnerability, the risk of foreign currency liquidity crisis, the severity of external indebtedness and the financial vulnerability of the banking system. Regularly updated, they provide an estimate of the average credit risk on a country’s businesses. This is an invaluable tool, giving an indication of a country’s potential influence on businesses’ financial commitments. </w:t>
            </w:r>
            <w:proofErr w:type="spellStart"/>
            <w:r w:rsidRPr="00912B76">
              <w:rPr>
                <w:rFonts w:ascii="Times New Roman" w:hAnsi="Times New Roman" w:cs="Times New Roman"/>
                <w:color w:val="000000" w:themeColor="text1"/>
                <w:sz w:val="20"/>
                <w:szCs w:val="20"/>
              </w:rPr>
              <w:t>Coface</w:t>
            </w:r>
            <w:proofErr w:type="spellEnd"/>
            <w:r w:rsidRPr="00912B76">
              <w:rPr>
                <w:rFonts w:ascii="Times New Roman" w:hAnsi="Times New Roman" w:cs="Times New Roman"/>
                <w:color w:val="000000" w:themeColor="text1"/>
                <w:sz w:val="20"/>
                <w:szCs w:val="20"/>
              </w:rPr>
              <w:t xml:space="preserve"> analyses use </w:t>
            </w:r>
            <w:proofErr w:type="spellStart"/>
            <w:r w:rsidRPr="00912B76">
              <w:rPr>
                <w:rFonts w:ascii="Times New Roman" w:hAnsi="Times New Roman" w:cs="Times New Roman"/>
                <w:color w:val="000000" w:themeColor="text1"/>
                <w:sz w:val="20"/>
                <w:szCs w:val="20"/>
              </w:rPr>
              <w:t>a</w:t>
            </w:r>
            <w:proofErr w:type="spellEnd"/>
            <w:r w:rsidRPr="00912B76">
              <w:rPr>
                <w:rFonts w:ascii="Times New Roman" w:hAnsi="Times New Roman" w:cs="Times New Roman"/>
                <w:color w:val="000000" w:themeColor="text1"/>
                <w:sz w:val="20"/>
                <w:szCs w:val="20"/>
              </w:rPr>
              <w:t xml:space="preserve"> eight-level ranking. In ascending order of risk, these are: A1, A2, A3, A4, B, C, D and E with A1, A2 and A3 as high risk, A4, B and C as acceptable risk and D and E as high risk.</w:t>
            </w:r>
          </w:p>
          <w:p w:rsidR="009801E0" w:rsidRPr="00912B76" w:rsidRDefault="00342B66" w:rsidP="00AC6027">
            <w:pPr>
              <w:pStyle w:val="NormalWeb"/>
              <w:spacing w:before="120" w:beforeAutospacing="0" w:after="120" w:afterAutospacing="0"/>
              <w:jc w:val="both"/>
              <w:rPr>
                <w:rFonts w:ascii="Times New Roman" w:hAnsi="Times New Roman" w:cs="Times New Roman"/>
                <w:color w:val="000000" w:themeColor="text1"/>
                <w:sz w:val="20"/>
                <w:szCs w:val="20"/>
              </w:rPr>
            </w:pPr>
            <w:hyperlink r:id="rId195" w:history="1">
              <w:r w:rsidR="009801E0" w:rsidRPr="00912B76">
                <w:rPr>
                  <w:rStyle w:val="Hyperlink"/>
                  <w:rFonts w:ascii="Times New Roman" w:hAnsi="Times New Roman" w:cs="Times New Roman"/>
                  <w:sz w:val="20"/>
                  <w:szCs w:val="20"/>
                </w:rPr>
                <w:t>http://www.coface.com/Economic-Studies-and-Country-Risks</w:t>
              </w:r>
            </w:hyperlink>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b/>
                <w:color w:val="000000" w:themeColor="text1"/>
                <w:sz w:val="20"/>
                <w:szCs w:val="20"/>
              </w:rPr>
            </w:pPr>
            <w:r w:rsidRPr="00912B76">
              <w:rPr>
                <w:rFonts w:ascii="Times New Roman" w:hAnsi="Times New Roman" w:cs="Times New Roman"/>
                <w:b/>
                <w:color w:val="000000" w:themeColor="text1"/>
                <w:sz w:val="20"/>
                <w:szCs w:val="20"/>
              </w:rPr>
              <w:t>Social Institutions and Gender Index</w:t>
            </w: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OECD SIGI (Social Institutions and Gender Index) classification: The SIGI scores 108 countries according to their level of discrimination in social institutions. It classifies them into five groups, from very low levels of discrimination in social </w:t>
            </w:r>
            <w:r w:rsidRPr="00912B76">
              <w:rPr>
                <w:rFonts w:ascii="Times New Roman" w:hAnsi="Times New Roman" w:cs="Times New Roman"/>
                <w:color w:val="000000" w:themeColor="text1"/>
                <w:sz w:val="20"/>
                <w:szCs w:val="20"/>
              </w:rPr>
              <w:lastRenderedPageBreak/>
              <w:t>institutions (15% of the countries, with a SIGI average of 0.02) to very high levels (16% of the countries).</w:t>
            </w:r>
          </w:p>
          <w:p w:rsidR="009801E0" w:rsidRPr="00912B76" w:rsidRDefault="00342B66" w:rsidP="00AC6027">
            <w:pPr>
              <w:pStyle w:val="NormalWeb"/>
              <w:spacing w:before="120" w:beforeAutospacing="0" w:after="120" w:afterAutospacing="0"/>
              <w:jc w:val="both"/>
              <w:rPr>
                <w:rFonts w:ascii="Times New Roman" w:hAnsi="Times New Roman" w:cs="Times New Roman"/>
                <w:color w:val="000000" w:themeColor="text1"/>
                <w:sz w:val="20"/>
                <w:szCs w:val="20"/>
              </w:rPr>
            </w:pPr>
            <w:hyperlink r:id="rId196" w:history="1">
              <w:r w:rsidR="009801E0" w:rsidRPr="00912B76">
                <w:rPr>
                  <w:rStyle w:val="Hyperlink"/>
                  <w:rFonts w:ascii="Times New Roman" w:hAnsi="Times New Roman" w:cs="Times New Roman"/>
                  <w:sz w:val="20"/>
                  <w:szCs w:val="20"/>
                </w:rPr>
                <w:t>http://www.genderindex.org/sites/default/files/docs/BrochureSIGI2015.pdf</w:t>
              </w:r>
            </w:hyperlink>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Composition of the SIGI</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Discriminatory family code: Legal age of marriage, Early marriage, Parental authority and Inheritance</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Restricted physical integrity: Violence against women, Female genital mutilation, Reproductive autonomy</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Son bias: Missing women, Fertility preferences</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Restricted resources and assets: Secure access to land, Secure access to non-land assets, Access to financial services</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Restricted civil liberties: Access to public space, political voice</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color w:val="000000" w:themeColor="text1"/>
                <w:sz w:val="20"/>
                <w:szCs w:val="20"/>
              </w:rPr>
            </w:pP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Levels of gender discrimination in social institutions - Very low (</w:t>
            </w:r>
            <w:proofErr w:type="spellStart"/>
            <w:r w:rsidRPr="00912B76">
              <w:rPr>
                <w:rFonts w:ascii="Times New Roman" w:hAnsi="Times New Roman" w:cs="Times New Roman"/>
                <w:color w:val="000000" w:themeColor="text1"/>
                <w:sz w:val="20"/>
                <w:szCs w:val="20"/>
              </w:rPr>
              <w:t>SiGi</w:t>
            </w:r>
            <w:proofErr w:type="spellEnd"/>
            <w:r w:rsidRPr="00912B76">
              <w:rPr>
                <w:rFonts w:ascii="Times New Roman" w:hAnsi="Times New Roman" w:cs="Times New Roman"/>
                <w:color w:val="000000" w:themeColor="text1"/>
                <w:sz w:val="20"/>
                <w:szCs w:val="20"/>
              </w:rPr>
              <w:t xml:space="preserve"> &lt; 0.04), low (0.04 &lt; </w:t>
            </w:r>
            <w:proofErr w:type="spellStart"/>
            <w:r w:rsidRPr="00912B76">
              <w:rPr>
                <w:rFonts w:ascii="Times New Roman" w:hAnsi="Times New Roman" w:cs="Times New Roman"/>
                <w:color w:val="000000" w:themeColor="text1"/>
                <w:sz w:val="20"/>
                <w:szCs w:val="20"/>
              </w:rPr>
              <w:t>SiGi</w:t>
            </w:r>
            <w:proofErr w:type="spellEnd"/>
            <w:r w:rsidRPr="00912B76">
              <w:rPr>
                <w:rFonts w:ascii="Times New Roman" w:hAnsi="Times New Roman" w:cs="Times New Roman"/>
                <w:color w:val="000000" w:themeColor="text1"/>
                <w:sz w:val="20"/>
                <w:szCs w:val="20"/>
              </w:rPr>
              <w:t xml:space="preserve"> &lt; 0.12), medium (0.12 &lt; </w:t>
            </w:r>
            <w:proofErr w:type="spellStart"/>
            <w:r w:rsidRPr="00912B76">
              <w:rPr>
                <w:rFonts w:ascii="Times New Roman" w:hAnsi="Times New Roman" w:cs="Times New Roman"/>
                <w:color w:val="000000" w:themeColor="text1"/>
                <w:sz w:val="20"/>
                <w:szCs w:val="20"/>
              </w:rPr>
              <w:t>SiGi</w:t>
            </w:r>
            <w:proofErr w:type="spellEnd"/>
            <w:r w:rsidRPr="00912B76">
              <w:rPr>
                <w:rFonts w:ascii="Times New Roman" w:hAnsi="Times New Roman" w:cs="Times New Roman"/>
                <w:color w:val="000000" w:themeColor="text1"/>
                <w:sz w:val="20"/>
                <w:szCs w:val="20"/>
              </w:rPr>
              <w:t xml:space="preserve"> &lt; 0.22), high (0.22 &lt; </w:t>
            </w:r>
            <w:proofErr w:type="spellStart"/>
            <w:r w:rsidRPr="00912B76">
              <w:rPr>
                <w:rFonts w:ascii="Times New Roman" w:hAnsi="Times New Roman" w:cs="Times New Roman"/>
                <w:color w:val="000000" w:themeColor="text1"/>
                <w:sz w:val="20"/>
                <w:szCs w:val="20"/>
              </w:rPr>
              <w:t>SiGi</w:t>
            </w:r>
            <w:proofErr w:type="spellEnd"/>
            <w:r w:rsidRPr="00912B76">
              <w:rPr>
                <w:rFonts w:ascii="Times New Roman" w:hAnsi="Times New Roman" w:cs="Times New Roman"/>
                <w:color w:val="000000" w:themeColor="text1"/>
                <w:sz w:val="20"/>
                <w:szCs w:val="20"/>
              </w:rPr>
              <w:t xml:space="preserve"> &lt; 0.35) and very high (</w:t>
            </w:r>
            <w:proofErr w:type="spellStart"/>
            <w:r w:rsidRPr="00912B76">
              <w:rPr>
                <w:rFonts w:ascii="Times New Roman" w:hAnsi="Times New Roman" w:cs="Times New Roman"/>
                <w:color w:val="000000" w:themeColor="text1"/>
                <w:sz w:val="20"/>
                <w:szCs w:val="20"/>
              </w:rPr>
              <w:t>SiGi</w:t>
            </w:r>
            <w:proofErr w:type="spellEnd"/>
            <w:r w:rsidRPr="00912B76">
              <w:rPr>
                <w:rFonts w:ascii="Times New Roman" w:hAnsi="Times New Roman" w:cs="Times New Roman"/>
                <w:color w:val="000000" w:themeColor="text1"/>
                <w:sz w:val="20"/>
                <w:szCs w:val="20"/>
              </w:rPr>
              <w:t xml:space="preserve"> &gt; 0.35  )</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b/>
                <w:color w:val="000000" w:themeColor="text1"/>
                <w:sz w:val="20"/>
                <w:szCs w:val="20"/>
              </w:rPr>
            </w:pPr>
            <w:r w:rsidRPr="00912B76">
              <w:rPr>
                <w:rFonts w:ascii="Times New Roman" w:hAnsi="Times New Roman" w:cs="Times New Roman"/>
                <w:b/>
                <w:color w:val="000000" w:themeColor="text1"/>
                <w:sz w:val="20"/>
                <w:szCs w:val="20"/>
              </w:rPr>
              <w:t>Corruption Perceptions Index (CPI)</w:t>
            </w: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Transparency International (TI) has published the Corruption Perceptions Index (CPI) since 1996, annually ranking countries "by their perceived levels of corruption, as determined by expert assessments and opinion surveys."[1] The CPI generally defines corruption as "the misuse of public power for private benefit." The CPI currently ranks 168 countries "on a scale from 100 (very clean) to 0 (highly corrupt)."</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 </w:t>
            </w:r>
            <w:hyperlink r:id="rId197" w:history="1">
              <w:r w:rsidRPr="00912B76">
                <w:rPr>
                  <w:rStyle w:val="Hyperlink"/>
                  <w:rFonts w:ascii="Times New Roman" w:hAnsi="Times New Roman" w:cs="Times New Roman"/>
                  <w:sz w:val="20"/>
                  <w:szCs w:val="20"/>
                </w:rPr>
                <w:t>https://en.wikipedia.org/wiki/Corruption_Perceptions_Index</w:t>
              </w:r>
            </w:hyperlink>
            <w:r w:rsidRPr="00912B76">
              <w:rPr>
                <w:rFonts w:ascii="Times New Roman" w:hAnsi="Times New Roman" w:cs="Times New Roman"/>
                <w:color w:val="000000" w:themeColor="text1"/>
                <w:sz w:val="20"/>
                <w:szCs w:val="20"/>
              </w:rPr>
              <w:t xml:space="preserve"> </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b/>
                <w:color w:val="000000" w:themeColor="text1"/>
                <w:sz w:val="20"/>
                <w:szCs w:val="20"/>
              </w:rPr>
            </w:pPr>
            <w:r w:rsidRPr="00912B76">
              <w:rPr>
                <w:rFonts w:ascii="Times New Roman" w:hAnsi="Times New Roman" w:cs="Times New Roman"/>
                <w:b/>
                <w:color w:val="000000" w:themeColor="text1"/>
                <w:sz w:val="20"/>
                <w:szCs w:val="20"/>
              </w:rPr>
              <w:t>ITUC Global Rights Index</w:t>
            </w:r>
          </w:p>
        </w:tc>
        <w:tc>
          <w:tcPr>
            <w:tcW w:w="6840" w:type="dxa"/>
          </w:tcPr>
          <w:p w:rsidR="009801E0" w:rsidRPr="00912B76" w:rsidRDefault="009801E0" w:rsidP="009801E0">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The ITUC Global Rights Index depicts the world’s worst countries for workers by rating 139 countries on a scale from 1-5 based on the degree of respect for workers’ rights. Ratings are described below</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Rating 5+ = No guarantee of rights due to the breakdown of the rule of law</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Rating 5 = No guarantee of rights</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Rating 4 = Systematic violation of rights</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Rating 3 = Regular violation of rights</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Rating 2 = Repeated violations of rights</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Rating 1= Not regular violations of rights</w:t>
            </w:r>
          </w:p>
          <w:p w:rsidR="009801E0" w:rsidRPr="00912B76" w:rsidRDefault="00342B66" w:rsidP="00AC6027">
            <w:pPr>
              <w:pStyle w:val="NormalWeb"/>
              <w:spacing w:before="120" w:beforeAutospacing="0" w:after="120" w:afterAutospacing="0"/>
              <w:jc w:val="both"/>
              <w:rPr>
                <w:rFonts w:ascii="Times New Roman" w:hAnsi="Times New Roman" w:cs="Times New Roman"/>
                <w:color w:val="000000" w:themeColor="text1"/>
                <w:sz w:val="20"/>
                <w:szCs w:val="20"/>
              </w:rPr>
            </w:pPr>
            <w:hyperlink r:id="rId198" w:history="1">
              <w:r w:rsidR="009801E0" w:rsidRPr="00912B76">
                <w:rPr>
                  <w:rStyle w:val="Hyperlink"/>
                  <w:rFonts w:ascii="Times New Roman" w:hAnsi="Times New Roman" w:cs="Times New Roman"/>
                  <w:sz w:val="20"/>
                  <w:szCs w:val="20"/>
                </w:rPr>
                <w:t>http://www.ituc-csi.org/ituc-global-rights-index-2017</w:t>
              </w:r>
            </w:hyperlink>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b/>
                <w:color w:val="000000" w:themeColor="text1"/>
                <w:sz w:val="20"/>
                <w:szCs w:val="20"/>
              </w:rPr>
            </w:pPr>
            <w:r w:rsidRPr="00912B76">
              <w:rPr>
                <w:rFonts w:ascii="Times New Roman" w:hAnsi="Times New Roman" w:cs="Times New Roman"/>
                <w:b/>
                <w:color w:val="000000" w:themeColor="text1"/>
                <w:sz w:val="20"/>
                <w:szCs w:val="20"/>
              </w:rPr>
              <w:t>The Global Competitiveness Index (GCI)</w:t>
            </w: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The GCI combines 114 indicators that capture concepts that matter for productivity and long-term prosperity. These indicators are grouped into twelve pillars producing three sub-indexes which are combined with various weights to generate the overall index. The 12 pillars are: institutions, infrastructure, macroeconomic environment, health and primary education, higher education and training, goods market efficiency, labor market efficiency, financial market development, </w:t>
            </w:r>
            <w:r w:rsidRPr="00912B76">
              <w:rPr>
                <w:rFonts w:ascii="Times New Roman" w:hAnsi="Times New Roman" w:cs="Times New Roman"/>
                <w:color w:val="000000" w:themeColor="text1"/>
                <w:sz w:val="20"/>
                <w:szCs w:val="20"/>
              </w:rPr>
              <w:lastRenderedPageBreak/>
              <w:t>technological readiness, market size, business sophistication, and innovation. The three sub-indexes are: basic requirements, efficiency enhancers, and innovation and sophistication factors.</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2017/05FullReport/TheGlobalCompetitivenessReport2016-2017_FINAL.pdf</w:t>
            </w:r>
            <w:r w:rsidR="00DE7A33" w:rsidRPr="00912B76">
              <w:rPr>
                <w:rFonts w:ascii="Times New Roman" w:hAnsi="Times New Roman" w:cs="Times New Roman"/>
                <w:color w:val="000000" w:themeColor="text1"/>
                <w:sz w:val="20"/>
                <w:szCs w:val="20"/>
              </w:rPr>
              <w:t xml:space="preserve"> </w:t>
            </w:r>
            <w:r w:rsidRPr="00912B76">
              <w:rPr>
                <w:rFonts w:ascii="Times New Roman" w:hAnsi="Times New Roman" w:cs="Times New Roman"/>
                <w:color w:val="000000" w:themeColor="text1"/>
                <w:sz w:val="20"/>
                <w:szCs w:val="20"/>
              </w:rPr>
              <w:t xml:space="preserve">   </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b/>
                <w:color w:val="000000" w:themeColor="text1"/>
                <w:sz w:val="20"/>
                <w:szCs w:val="20"/>
              </w:rPr>
            </w:pPr>
            <w:r w:rsidRPr="00912B76">
              <w:rPr>
                <w:rFonts w:ascii="Times New Roman" w:hAnsi="Times New Roman" w:cs="Times New Roman"/>
                <w:b/>
                <w:color w:val="000000" w:themeColor="text1"/>
                <w:sz w:val="20"/>
                <w:szCs w:val="20"/>
              </w:rPr>
              <w:lastRenderedPageBreak/>
              <w:t>Democracy index</w:t>
            </w: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The Democracy Index is an index compiled by the UK-based Economist Intelligence Unit that measures the state of democracy in 167 countries. The index is based on 60 indicators grouped in five different categories measuring pluralism, civil liberties, and political culture. In addition to a numeric score and a ranking, the index categorizes countries as one of four regime types: full democracies, flawed democracies, hybrid regimes and authoritarian regimes.</w:t>
            </w:r>
          </w:p>
          <w:p w:rsidR="009801E0" w:rsidRPr="00912B76" w:rsidRDefault="00342B66" w:rsidP="00AC6027">
            <w:pPr>
              <w:pStyle w:val="NormalWeb"/>
              <w:spacing w:before="120" w:beforeAutospacing="0" w:after="120" w:afterAutospacing="0"/>
              <w:jc w:val="both"/>
              <w:rPr>
                <w:rFonts w:ascii="Times New Roman" w:hAnsi="Times New Roman" w:cs="Times New Roman"/>
                <w:color w:val="000000" w:themeColor="text1"/>
                <w:sz w:val="20"/>
                <w:szCs w:val="20"/>
              </w:rPr>
            </w:pPr>
            <w:hyperlink r:id="rId199" w:history="1">
              <w:r w:rsidR="00DE7A33" w:rsidRPr="00912B76">
                <w:rPr>
                  <w:rStyle w:val="Hyperlink"/>
                  <w:rFonts w:ascii="Times New Roman" w:hAnsi="Times New Roman" w:cs="Times New Roman"/>
                  <w:sz w:val="20"/>
                  <w:szCs w:val="20"/>
                </w:rPr>
                <w:t>https://en.wikipedia.org/wiki/Democracy_Index</w:t>
              </w:r>
            </w:hyperlink>
            <w:r w:rsidR="00DE7A33" w:rsidRPr="00912B76">
              <w:rPr>
                <w:rFonts w:ascii="Times New Roman" w:hAnsi="Times New Roman" w:cs="Times New Roman"/>
                <w:color w:val="000000" w:themeColor="text1"/>
                <w:sz w:val="20"/>
                <w:szCs w:val="20"/>
              </w:rPr>
              <w:t xml:space="preserve"> </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color w:val="000000" w:themeColor="text1"/>
                <w:sz w:val="20"/>
                <w:szCs w:val="20"/>
              </w:rPr>
            </w:pP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Scores 0 to 10; 8 ≤ s ≤ 10 is full democracy; 6 ≤ s &lt; 8 is flawed democracy; 4 ≤ s &lt; 6 is hybrid regimes; and 0 ≤ s &lt; 4 is authoritarian regimes</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color w:val="000000" w:themeColor="text1"/>
                <w:sz w:val="20"/>
                <w:szCs w:val="20"/>
              </w:rPr>
            </w:pP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Full democracies are nations where civil liberties and basic political freedoms are not only respected, but also reinforced by a political culture conducive to the thriving of democratic principles. These nations have a valid system of governmental checks and balances, independent judiciary whose decisions are enforced, governments which function adequately, and media which is diverse and independent. These nations have only limited problems in democratic functioning.</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color w:val="000000" w:themeColor="text1"/>
                <w:sz w:val="20"/>
                <w:szCs w:val="20"/>
              </w:rPr>
            </w:pP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Flawed democracies are nations where elections are fair and free and basic civil liberties are honored but may have issues (e.g. media freedom infringement). Nonetheless, these nations have significant faults in other democratic aspects, including underdeveloped political culture, low levels of participation in politics, and issues in the functioning of governance.</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color w:val="000000" w:themeColor="text1"/>
                <w:sz w:val="20"/>
                <w:szCs w:val="20"/>
              </w:rPr>
            </w:pP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Hybrid regimes are nations where consequential irregularities exist in elections regularly preventing them from being fair and free. These nations commonly have governments which apply pressure on political opponents, </w:t>
            </w:r>
            <w:proofErr w:type="spellStart"/>
            <w:r w:rsidRPr="00912B76">
              <w:rPr>
                <w:rFonts w:ascii="Times New Roman" w:hAnsi="Times New Roman" w:cs="Times New Roman"/>
                <w:color w:val="000000" w:themeColor="text1"/>
                <w:sz w:val="20"/>
                <w:szCs w:val="20"/>
              </w:rPr>
              <w:t>non independent</w:t>
            </w:r>
            <w:proofErr w:type="spellEnd"/>
            <w:r w:rsidRPr="00912B76">
              <w:rPr>
                <w:rFonts w:ascii="Times New Roman" w:hAnsi="Times New Roman" w:cs="Times New Roman"/>
                <w:color w:val="000000" w:themeColor="text1"/>
                <w:sz w:val="20"/>
                <w:szCs w:val="20"/>
              </w:rPr>
              <w:t xml:space="preserve"> judiciaries, widespread corruption, harassment and pressure placed on the media, anemic rule of law, and more pronounced faults than flawed democracies in the realms of underdeveloped political culture, low levels of participation in politics, and issues in the functioning of governance.</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color w:val="000000" w:themeColor="text1"/>
                <w:sz w:val="20"/>
                <w:szCs w:val="20"/>
              </w:rPr>
            </w:pP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Authoritarian regimes are nations where political pluralism has vanished or is extremely limited. These nations are often absolute dictatorships, may have some conventional institutions of democracy- but with meager significance, infringements and abuses of civil liberties are commonplace, elections- if they take place- are not fair and free, the media is often state-owned or controlled by groups associated with the ruling regime, the judiciary is not independent, and the presence of omnipresent censorship and suppression of governmental criticism.</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b/>
                <w:color w:val="000000" w:themeColor="text1"/>
                <w:sz w:val="20"/>
                <w:szCs w:val="20"/>
              </w:rPr>
            </w:pPr>
            <w:r w:rsidRPr="00912B76">
              <w:rPr>
                <w:rFonts w:ascii="Times New Roman" w:hAnsi="Times New Roman" w:cs="Times New Roman"/>
                <w:b/>
                <w:color w:val="000000" w:themeColor="text1"/>
                <w:sz w:val="20"/>
                <w:szCs w:val="20"/>
              </w:rPr>
              <w:t>The Global Peace Index</w:t>
            </w: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The Global Peace Index (GPI) of the Institute of Economics and Peace is an attempt to measure the relative position of nations' and regions' peacefulness. The index gauges global peace using three broad themes: the level of safety and security in </w:t>
            </w:r>
            <w:r w:rsidRPr="00912B76">
              <w:rPr>
                <w:rFonts w:ascii="Times New Roman" w:hAnsi="Times New Roman" w:cs="Times New Roman"/>
                <w:color w:val="000000" w:themeColor="text1"/>
                <w:sz w:val="20"/>
                <w:szCs w:val="20"/>
              </w:rPr>
              <w:lastRenderedPageBreak/>
              <w:t>society, the extent of domestic and international conflict and the degree of militarization. Factors are both internal such as levels of violence and crime within the country and external such as military expenditure. The 2017 GPI indicates Iceland, New Zealand, Portugal, Austria, and Denmark to be the most peaceful countries and Syria, Afghanistan, Iraq, South Sudan, and Yemen to be the least peaceful.</w:t>
            </w:r>
          </w:p>
          <w:p w:rsidR="009801E0" w:rsidRPr="00912B76" w:rsidRDefault="00342B66" w:rsidP="00AC6027">
            <w:pPr>
              <w:pStyle w:val="NormalWeb"/>
              <w:spacing w:before="120" w:beforeAutospacing="0" w:after="120" w:afterAutospacing="0"/>
              <w:jc w:val="both"/>
              <w:rPr>
                <w:rFonts w:ascii="Times New Roman" w:hAnsi="Times New Roman" w:cs="Times New Roman"/>
                <w:b/>
                <w:color w:val="000000" w:themeColor="text1"/>
                <w:sz w:val="20"/>
                <w:szCs w:val="20"/>
              </w:rPr>
            </w:pPr>
            <w:hyperlink r:id="rId200" w:history="1">
              <w:r w:rsidR="009801E0" w:rsidRPr="00912B76">
                <w:rPr>
                  <w:rStyle w:val="Hyperlink"/>
                  <w:rFonts w:ascii="Times New Roman" w:hAnsi="Times New Roman" w:cs="Times New Roman"/>
                  <w:sz w:val="20"/>
                  <w:szCs w:val="20"/>
                </w:rPr>
                <w:t>https://en.wikipedia.org/wiki/Global_Peace_Index</w:t>
              </w:r>
            </w:hyperlink>
          </w:p>
          <w:p w:rsidR="009801E0" w:rsidRPr="00912B76" w:rsidRDefault="00342B66" w:rsidP="00AC6027">
            <w:pPr>
              <w:pStyle w:val="NormalWeb"/>
              <w:spacing w:before="120" w:beforeAutospacing="0" w:after="120" w:afterAutospacing="0"/>
              <w:jc w:val="both"/>
              <w:rPr>
                <w:rFonts w:ascii="Times New Roman" w:hAnsi="Times New Roman" w:cs="Times New Roman"/>
                <w:color w:val="000000" w:themeColor="text1"/>
                <w:sz w:val="20"/>
                <w:szCs w:val="20"/>
              </w:rPr>
            </w:pPr>
            <w:hyperlink r:id="rId201" w:history="1">
              <w:r w:rsidR="009801E0" w:rsidRPr="00912B76">
                <w:rPr>
                  <w:rStyle w:val="Hyperlink"/>
                  <w:rFonts w:ascii="Times New Roman" w:hAnsi="Times New Roman" w:cs="Times New Roman"/>
                  <w:color w:val="000000" w:themeColor="text1"/>
                  <w:sz w:val="20"/>
                  <w:szCs w:val="20"/>
                </w:rPr>
                <w:t>http://visionofhumanity.org/app/uploads/2017/06/GPI-2017-Report-1.pdf</w:t>
              </w:r>
            </w:hyperlink>
            <w:r w:rsidR="009801E0" w:rsidRPr="00912B76">
              <w:rPr>
                <w:rStyle w:val="Hyperlink"/>
                <w:rFonts w:ascii="Times New Roman" w:hAnsi="Times New Roman" w:cs="Times New Roman"/>
                <w:color w:val="000000" w:themeColor="text1"/>
                <w:sz w:val="20"/>
                <w:szCs w:val="20"/>
              </w:rPr>
              <w:t xml:space="preserve"> </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b/>
                <w:color w:val="000000" w:themeColor="text1"/>
                <w:sz w:val="20"/>
                <w:szCs w:val="20"/>
              </w:rPr>
            </w:pPr>
            <w:r w:rsidRPr="00912B76">
              <w:rPr>
                <w:rFonts w:ascii="Times New Roman" w:hAnsi="Times New Roman" w:cs="Times New Roman"/>
                <w:b/>
                <w:color w:val="000000" w:themeColor="text1"/>
                <w:sz w:val="20"/>
                <w:szCs w:val="20"/>
              </w:rPr>
              <w:lastRenderedPageBreak/>
              <w:t>Ease of doing business</w:t>
            </w: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Economies are ranked on their ease of doing business, from 1–190. A high ease of doing business ranking means the regulatory environment is more conducive to the starting and operation of a local firm. The rankings are determined by sorting the aggregate distance to frontier scores on 10 topics, each consisting of several indicators, giving equal weight to each topic. The rankings for all economies are benchmarked to June 2016. Read the methodology, explaining how the ease of doing business rankings and the distance to frontier measure are calculated (PDF).</w:t>
            </w:r>
          </w:p>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color w:val="000000" w:themeColor="text1"/>
                <w:sz w:val="20"/>
                <w:szCs w:val="20"/>
              </w:rPr>
              <w:t xml:space="preserve"> </w:t>
            </w:r>
            <w:r w:rsidRPr="00912B76">
              <w:rPr>
                <w:rStyle w:val="Hyperlink"/>
                <w:rFonts w:ascii="Times New Roman" w:hAnsi="Times New Roman" w:cs="Times New Roman"/>
                <w:color w:val="000000" w:themeColor="text1"/>
                <w:sz w:val="20"/>
                <w:szCs w:val="20"/>
              </w:rPr>
              <w:t>World Bank. 2017. Doing Business 2017: Equal Opportunity for All.  Washington, DC: World Bank. DOI: 10.1596/978-1-4648-0948-4. License: Creative Commons Attribution CC BY 3.0 IGO.</w:t>
            </w:r>
            <w:r w:rsidRPr="00912B76">
              <w:rPr>
                <w:rStyle w:val="Hyperlink"/>
                <w:rFonts w:ascii="Times New Roman" w:hAnsi="Times New Roman" w:cs="Times New Roman"/>
                <w:color w:val="000000" w:themeColor="text1"/>
                <w:sz w:val="20"/>
                <w:szCs w:val="20"/>
                <w:u w:val="none"/>
              </w:rPr>
              <w:t xml:space="preserve"> </w:t>
            </w:r>
            <w:r w:rsidRPr="00912B76">
              <w:rPr>
                <w:rFonts w:ascii="Times New Roman" w:hAnsi="Times New Roman" w:cs="Times New Roman"/>
                <w:color w:val="000000" w:themeColor="text1"/>
                <w:sz w:val="20"/>
                <w:szCs w:val="20"/>
              </w:rPr>
              <w:t>http://creativecommons.org/licenses/by/3.0/igo</w:t>
            </w:r>
          </w:p>
        </w:tc>
      </w:tr>
      <w:tr w:rsidR="009801E0" w:rsidRPr="00912B76" w:rsidTr="00934FDF">
        <w:tc>
          <w:tcPr>
            <w:tcW w:w="2610" w:type="dxa"/>
          </w:tcPr>
          <w:p w:rsidR="009801E0" w:rsidRPr="00912B76" w:rsidRDefault="009801E0" w:rsidP="009801E0">
            <w:pPr>
              <w:pStyle w:val="NormalWeb"/>
              <w:spacing w:before="120" w:beforeAutospacing="0" w:after="0" w:afterAutospacing="0"/>
              <w:rPr>
                <w:rFonts w:ascii="Times New Roman" w:hAnsi="Times New Roman" w:cs="Times New Roman"/>
                <w:color w:val="000000" w:themeColor="text1"/>
                <w:sz w:val="20"/>
                <w:szCs w:val="20"/>
              </w:rPr>
            </w:pPr>
            <w:r w:rsidRPr="00912B76">
              <w:rPr>
                <w:rFonts w:ascii="Times New Roman" w:hAnsi="Times New Roman" w:cs="Times New Roman"/>
                <w:b/>
                <w:sz w:val="20"/>
                <w:szCs w:val="20"/>
              </w:rPr>
              <w:t>Freedom in the world</w:t>
            </w:r>
          </w:p>
        </w:tc>
        <w:tc>
          <w:tcPr>
            <w:tcW w:w="6840" w:type="dxa"/>
          </w:tcPr>
          <w:p w:rsidR="009801E0" w:rsidRPr="00912B76" w:rsidRDefault="009801E0" w:rsidP="00AC6027">
            <w:pPr>
              <w:pStyle w:val="NormalWeb"/>
              <w:spacing w:before="120" w:beforeAutospacing="0" w:after="120" w:afterAutospacing="0"/>
              <w:jc w:val="both"/>
              <w:rPr>
                <w:rFonts w:ascii="Times New Roman" w:hAnsi="Times New Roman" w:cs="Times New Roman"/>
                <w:color w:val="000000" w:themeColor="text1"/>
                <w:sz w:val="20"/>
                <w:szCs w:val="20"/>
              </w:rPr>
            </w:pPr>
            <w:r w:rsidRPr="00912B76">
              <w:rPr>
                <w:rFonts w:ascii="Times New Roman" w:hAnsi="Times New Roman" w:cs="Times New Roman"/>
                <w:i/>
                <w:sz w:val="20"/>
                <w:szCs w:val="20"/>
              </w:rPr>
              <w:t>Freedom in the World 2017</w:t>
            </w:r>
            <w:r w:rsidRPr="00912B76">
              <w:rPr>
                <w:rFonts w:ascii="Times New Roman" w:hAnsi="Times New Roman" w:cs="Times New Roman"/>
                <w:sz w:val="20"/>
                <w:szCs w:val="20"/>
              </w:rPr>
              <w:t xml:space="preserve"> evaluates the state of freedom in 195 countries and 14 territories during calendar year 2016. Each country and territory is assigned between 0 and 4 points on a series of 25 indicators, for an aggregate score of up to 100. These scores are used to determine two numerical ratings, political rights and civil liberties, with a rating of 1 representing the most free conditions and 7 least free. A country or territory’s political rights and civil liberties ratings then determine whether it has an overall status of Free, Partly Free or not Free. A larger aggregate score indicates a greater level of freedom</w:t>
            </w:r>
          </w:p>
        </w:tc>
      </w:tr>
    </w:tbl>
    <w:p w:rsidR="00C8306E" w:rsidRPr="00912B76" w:rsidRDefault="00C8306E" w:rsidP="00934FDF">
      <w:pPr>
        <w:spacing w:after="0" w:line="276" w:lineRule="auto"/>
        <w:rPr>
          <w:b/>
          <w:color w:val="0070C0"/>
          <w:sz w:val="20"/>
          <w:szCs w:val="20"/>
        </w:rPr>
        <w:sectPr w:rsidR="00C8306E" w:rsidRPr="00912B76" w:rsidSect="00373A2E">
          <w:pgSz w:w="12240" w:h="15840"/>
          <w:pgMar w:top="1440" w:right="1440" w:bottom="1440" w:left="1440" w:header="720" w:footer="720" w:gutter="0"/>
          <w:cols w:space="720"/>
          <w:titlePg/>
          <w:docGrid w:linePitch="360"/>
        </w:sectPr>
      </w:pPr>
    </w:p>
    <w:p w:rsidR="00C8306E" w:rsidRPr="009219D2" w:rsidRDefault="00EA012A" w:rsidP="0075498E">
      <w:pPr>
        <w:pStyle w:val="ListParagraph"/>
        <w:numPr>
          <w:ilvl w:val="0"/>
          <w:numId w:val="11"/>
        </w:numPr>
        <w:spacing w:after="0" w:line="276" w:lineRule="auto"/>
        <w:rPr>
          <w:rFonts w:ascii="Times New Roman" w:hAnsi="Times New Roman" w:cs="Times New Roman"/>
          <w:b/>
          <w:color w:val="0070C0"/>
        </w:rPr>
      </w:pPr>
      <w:r w:rsidRPr="009219D2">
        <w:rPr>
          <w:rFonts w:ascii="Times New Roman" w:hAnsi="Times New Roman" w:cs="Times New Roman"/>
          <w:b/>
          <w:color w:val="0070C0"/>
        </w:rPr>
        <w:lastRenderedPageBreak/>
        <w:t xml:space="preserve">DATA BASE – Governance </w:t>
      </w:r>
      <w:r w:rsidR="00CC7797" w:rsidRPr="009219D2">
        <w:rPr>
          <w:rFonts w:ascii="Times New Roman" w:hAnsi="Times New Roman" w:cs="Times New Roman"/>
          <w:b/>
          <w:color w:val="0070C0"/>
        </w:rPr>
        <w:t>e</w:t>
      </w:r>
      <w:r w:rsidRPr="009219D2">
        <w:rPr>
          <w:rFonts w:ascii="Times New Roman" w:hAnsi="Times New Roman" w:cs="Times New Roman"/>
          <w:b/>
          <w:color w:val="0070C0"/>
        </w:rPr>
        <w:t xml:space="preserve">ffectiveness, </w:t>
      </w:r>
      <w:r w:rsidR="00CC7797" w:rsidRPr="009219D2">
        <w:rPr>
          <w:rFonts w:ascii="Times New Roman" w:hAnsi="Times New Roman" w:cs="Times New Roman"/>
          <w:b/>
          <w:color w:val="0070C0"/>
        </w:rPr>
        <w:t>e</w:t>
      </w:r>
      <w:r w:rsidRPr="009219D2">
        <w:rPr>
          <w:rFonts w:ascii="Times New Roman" w:hAnsi="Times New Roman" w:cs="Times New Roman"/>
          <w:b/>
          <w:color w:val="0070C0"/>
        </w:rPr>
        <w:t xml:space="preserve">conomic </w:t>
      </w:r>
      <w:r w:rsidR="00CC7797" w:rsidRPr="009219D2">
        <w:rPr>
          <w:rFonts w:ascii="Times New Roman" w:hAnsi="Times New Roman" w:cs="Times New Roman"/>
          <w:b/>
          <w:color w:val="0070C0"/>
        </w:rPr>
        <w:t>m</w:t>
      </w:r>
      <w:r w:rsidRPr="009219D2">
        <w:rPr>
          <w:rFonts w:ascii="Times New Roman" w:hAnsi="Times New Roman" w:cs="Times New Roman"/>
          <w:b/>
          <w:color w:val="0070C0"/>
        </w:rPr>
        <w:t xml:space="preserve">anagement and </w:t>
      </w:r>
      <w:r w:rsidR="00CC7797" w:rsidRPr="009219D2">
        <w:rPr>
          <w:rFonts w:ascii="Times New Roman" w:hAnsi="Times New Roman" w:cs="Times New Roman"/>
          <w:b/>
          <w:color w:val="0070C0"/>
        </w:rPr>
        <w:t>e</w:t>
      </w:r>
      <w:r w:rsidRPr="009219D2">
        <w:rPr>
          <w:rFonts w:ascii="Times New Roman" w:hAnsi="Times New Roman" w:cs="Times New Roman"/>
          <w:b/>
          <w:color w:val="0070C0"/>
        </w:rPr>
        <w:t xml:space="preserve">conomic </w:t>
      </w:r>
      <w:r w:rsidR="00CC7797" w:rsidRPr="009219D2">
        <w:rPr>
          <w:rFonts w:ascii="Times New Roman" w:hAnsi="Times New Roman" w:cs="Times New Roman"/>
          <w:b/>
          <w:color w:val="0070C0"/>
        </w:rPr>
        <w:t>p</w:t>
      </w:r>
      <w:r w:rsidRPr="009219D2">
        <w:rPr>
          <w:rFonts w:ascii="Times New Roman" w:hAnsi="Times New Roman" w:cs="Times New Roman"/>
          <w:b/>
          <w:color w:val="0070C0"/>
        </w:rPr>
        <w:t>rosperity 2015</w:t>
      </w:r>
    </w:p>
    <w:p w:rsidR="009801E0" w:rsidRDefault="008E56B4" w:rsidP="00C8306E">
      <w:pPr>
        <w:spacing w:after="0" w:line="276" w:lineRule="auto"/>
        <w:ind w:hanging="360"/>
        <w:rPr>
          <w:b/>
          <w:color w:val="0070C0"/>
        </w:rPr>
      </w:pPr>
      <w:r>
        <w:rPr>
          <w:noProof/>
        </w:rPr>
        <w:drawing>
          <wp:inline distT="0" distB="0" distL="0" distR="0" wp14:anchorId="30628B32" wp14:editId="57E53F73">
            <wp:extent cx="8930640" cy="4937760"/>
            <wp:effectExtent l="19050" t="19050" r="2286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8930640" cy="4937760"/>
                    </a:xfrm>
                    <a:prstGeom prst="rect">
                      <a:avLst/>
                    </a:prstGeom>
                    <a:ln>
                      <a:solidFill>
                        <a:schemeClr val="tx1"/>
                      </a:solidFill>
                    </a:ln>
                  </pic:spPr>
                </pic:pic>
              </a:graphicData>
            </a:graphic>
          </wp:inline>
        </w:drawing>
      </w:r>
      <w:r w:rsidR="00EA012A">
        <w:rPr>
          <w:b/>
          <w:color w:val="0070C0"/>
        </w:rPr>
        <w:t xml:space="preserve"> </w:t>
      </w:r>
    </w:p>
    <w:p w:rsidR="00C8306E" w:rsidRDefault="00C8306E">
      <w:pPr>
        <w:rPr>
          <w:b/>
          <w:color w:val="0070C0"/>
        </w:rPr>
      </w:pPr>
      <w:r>
        <w:rPr>
          <w:b/>
          <w:color w:val="0070C0"/>
        </w:rPr>
        <w:br w:type="page"/>
      </w:r>
    </w:p>
    <w:p w:rsidR="00C8306E" w:rsidRDefault="002C2B15" w:rsidP="008E56B4">
      <w:pPr>
        <w:ind w:hanging="360"/>
        <w:rPr>
          <w:b/>
          <w:color w:val="0070C0"/>
        </w:rPr>
      </w:pPr>
      <w:r>
        <w:rPr>
          <w:noProof/>
        </w:rPr>
        <w:lastRenderedPageBreak/>
        <w:drawing>
          <wp:inline distT="0" distB="0" distL="0" distR="0" wp14:anchorId="75ECC0E2" wp14:editId="4D74AFFE">
            <wp:extent cx="9022080" cy="5120640"/>
            <wp:effectExtent l="19050" t="19050" r="2667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9022080" cy="5120640"/>
                    </a:xfrm>
                    <a:prstGeom prst="rect">
                      <a:avLst/>
                    </a:prstGeom>
                    <a:ln>
                      <a:solidFill>
                        <a:schemeClr val="tx1"/>
                      </a:solidFill>
                    </a:ln>
                  </pic:spPr>
                </pic:pic>
              </a:graphicData>
            </a:graphic>
          </wp:inline>
        </w:drawing>
      </w:r>
      <w:r w:rsidR="00C8306E">
        <w:rPr>
          <w:b/>
          <w:color w:val="0070C0"/>
        </w:rPr>
        <w:br w:type="page"/>
      </w:r>
    </w:p>
    <w:p w:rsidR="008E56B4" w:rsidRDefault="002C2B15" w:rsidP="008E56B4">
      <w:pPr>
        <w:ind w:hanging="360"/>
        <w:rPr>
          <w:b/>
          <w:color w:val="0070C0"/>
        </w:rPr>
      </w:pPr>
      <w:r>
        <w:rPr>
          <w:noProof/>
        </w:rPr>
        <w:lastRenderedPageBreak/>
        <w:drawing>
          <wp:inline distT="0" distB="0" distL="0" distR="0" wp14:anchorId="189AB114" wp14:editId="5F190EE1">
            <wp:extent cx="9029700" cy="5280660"/>
            <wp:effectExtent l="19050" t="19050" r="1905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9029700" cy="5280660"/>
                    </a:xfrm>
                    <a:prstGeom prst="rect">
                      <a:avLst/>
                    </a:prstGeom>
                    <a:ln>
                      <a:solidFill>
                        <a:schemeClr val="tx1"/>
                      </a:solidFill>
                    </a:ln>
                  </pic:spPr>
                </pic:pic>
              </a:graphicData>
            </a:graphic>
          </wp:inline>
        </w:drawing>
      </w:r>
      <w:r w:rsidR="008E56B4">
        <w:rPr>
          <w:b/>
          <w:color w:val="0070C0"/>
        </w:rPr>
        <w:br w:type="page"/>
      </w:r>
    </w:p>
    <w:p w:rsidR="008E56B4" w:rsidRDefault="0030133E" w:rsidP="0039143F">
      <w:pPr>
        <w:ind w:hanging="360"/>
        <w:rPr>
          <w:b/>
          <w:color w:val="0070C0"/>
        </w:rPr>
      </w:pPr>
      <w:r>
        <w:rPr>
          <w:noProof/>
        </w:rPr>
        <w:lastRenderedPageBreak/>
        <w:drawing>
          <wp:inline distT="0" distB="0" distL="0" distR="0" wp14:anchorId="2CC3E095" wp14:editId="2EE9F64E">
            <wp:extent cx="9044940" cy="4907280"/>
            <wp:effectExtent l="19050" t="19050" r="2286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9044940" cy="4907280"/>
                    </a:xfrm>
                    <a:prstGeom prst="rect">
                      <a:avLst/>
                    </a:prstGeom>
                    <a:ln>
                      <a:solidFill>
                        <a:schemeClr val="tx1"/>
                      </a:solidFill>
                    </a:ln>
                  </pic:spPr>
                </pic:pic>
              </a:graphicData>
            </a:graphic>
          </wp:inline>
        </w:drawing>
      </w:r>
      <w:r w:rsidR="008E56B4">
        <w:rPr>
          <w:b/>
          <w:color w:val="0070C0"/>
        </w:rPr>
        <w:br w:type="page"/>
      </w:r>
    </w:p>
    <w:p w:rsidR="00EA012A" w:rsidRPr="009219D2" w:rsidRDefault="00EA012A" w:rsidP="0075498E">
      <w:pPr>
        <w:pStyle w:val="ListParagraph"/>
        <w:numPr>
          <w:ilvl w:val="0"/>
          <w:numId w:val="11"/>
        </w:numPr>
        <w:spacing w:after="0" w:line="276" w:lineRule="auto"/>
        <w:rPr>
          <w:rFonts w:ascii="Times New Roman" w:hAnsi="Times New Roman" w:cs="Times New Roman"/>
          <w:b/>
          <w:color w:val="0070C0"/>
        </w:rPr>
      </w:pPr>
      <w:r w:rsidRPr="009219D2">
        <w:rPr>
          <w:rFonts w:ascii="Times New Roman" w:hAnsi="Times New Roman" w:cs="Times New Roman"/>
          <w:b/>
          <w:color w:val="0070C0"/>
        </w:rPr>
        <w:lastRenderedPageBreak/>
        <w:t>DATA BASE - Country analysis of growth performance and socio-economic and political factors</w:t>
      </w:r>
    </w:p>
    <w:p w:rsidR="00A129B2" w:rsidRPr="00934FDF" w:rsidRDefault="00A129B2" w:rsidP="00A129B2">
      <w:pPr>
        <w:spacing w:after="0" w:line="276" w:lineRule="auto"/>
        <w:ind w:hanging="360"/>
        <w:rPr>
          <w:b/>
          <w:color w:val="0070C0"/>
        </w:rPr>
      </w:pPr>
      <w:r>
        <w:rPr>
          <w:noProof/>
        </w:rPr>
        <w:drawing>
          <wp:inline distT="0" distB="0" distL="0" distR="0" wp14:anchorId="0CAB6027" wp14:editId="1E32403D">
            <wp:extent cx="9060180" cy="4991100"/>
            <wp:effectExtent l="19050" t="19050" r="2667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9060180" cy="4991100"/>
                    </a:xfrm>
                    <a:prstGeom prst="rect">
                      <a:avLst/>
                    </a:prstGeom>
                    <a:ln>
                      <a:solidFill>
                        <a:schemeClr val="tx1"/>
                      </a:solidFill>
                    </a:ln>
                  </pic:spPr>
                </pic:pic>
              </a:graphicData>
            </a:graphic>
          </wp:inline>
        </w:drawing>
      </w:r>
    </w:p>
    <w:p w:rsidR="00C8306E" w:rsidRDefault="00C8306E">
      <w:pPr>
        <w:rPr>
          <w:b/>
          <w:caps/>
          <w:color w:val="0070C0"/>
        </w:rPr>
      </w:pPr>
    </w:p>
    <w:p w:rsidR="00A129B2" w:rsidRDefault="00A129B2">
      <w:pPr>
        <w:rPr>
          <w:b/>
          <w:caps/>
          <w:color w:val="0070C0"/>
        </w:rPr>
      </w:pPr>
    </w:p>
    <w:p w:rsidR="00A129B2" w:rsidRDefault="00A129B2">
      <w:pPr>
        <w:rPr>
          <w:b/>
          <w:caps/>
          <w:color w:val="0070C0"/>
        </w:rPr>
      </w:pPr>
    </w:p>
    <w:p w:rsidR="00A129B2" w:rsidRDefault="00A129B2" w:rsidP="00A129B2">
      <w:pPr>
        <w:ind w:hanging="360"/>
        <w:rPr>
          <w:b/>
          <w:caps/>
          <w:color w:val="0070C0"/>
        </w:rPr>
      </w:pPr>
      <w:r>
        <w:rPr>
          <w:noProof/>
        </w:rPr>
        <w:drawing>
          <wp:inline distT="0" distB="0" distL="0" distR="0" wp14:anchorId="56BAAB18" wp14:editId="4338C51A">
            <wp:extent cx="8999220" cy="5074920"/>
            <wp:effectExtent l="19050" t="19050" r="1143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8999220" cy="5074920"/>
                    </a:xfrm>
                    <a:prstGeom prst="rect">
                      <a:avLst/>
                    </a:prstGeom>
                    <a:ln>
                      <a:solidFill>
                        <a:schemeClr val="tx1"/>
                      </a:solidFill>
                    </a:ln>
                  </pic:spPr>
                </pic:pic>
              </a:graphicData>
            </a:graphic>
          </wp:inline>
        </w:drawing>
      </w:r>
    </w:p>
    <w:p w:rsidR="003E176A" w:rsidRDefault="003E176A" w:rsidP="00A129B2">
      <w:pPr>
        <w:ind w:hanging="360"/>
        <w:rPr>
          <w:b/>
          <w:caps/>
          <w:color w:val="0070C0"/>
        </w:rPr>
      </w:pPr>
    </w:p>
    <w:p w:rsidR="003E176A" w:rsidRDefault="003E176A" w:rsidP="00A129B2">
      <w:pPr>
        <w:ind w:hanging="360"/>
        <w:rPr>
          <w:b/>
          <w:caps/>
          <w:color w:val="0070C0"/>
        </w:rPr>
      </w:pPr>
    </w:p>
    <w:p w:rsidR="003E176A" w:rsidRDefault="003E176A" w:rsidP="00A129B2">
      <w:pPr>
        <w:ind w:hanging="360"/>
        <w:rPr>
          <w:b/>
          <w:caps/>
          <w:color w:val="0070C0"/>
        </w:rPr>
      </w:pPr>
    </w:p>
    <w:tbl>
      <w:tblPr>
        <w:tblW w:w="16340" w:type="dxa"/>
        <w:tblLook w:val="04A0" w:firstRow="1" w:lastRow="0" w:firstColumn="1" w:lastColumn="0" w:noHBand="0" w:noVBand="1"/>
      </w:tblPr>
      <w:tblGrid>
        <w:gridCol w:w="8371"/>
        <w:gridCol w:w="2628"/>
        <w:gridCol w:w="2628"/>
        <w:gridCol w:w="1180"/>
        <w:gridCol w:w="1180"/>
        <w:gridCol w:w="1180"/>
        <w:gridCol w:w="1180"/>
        <w:gridCol w:w="1180"/>
        <w:gridCol w:w="1440"/>
        <w:gridCol w:w="1440"/>
        <w:gridCol w:w="1440"/>
      </w:tblGrid>
      <w:tr w:rsidR="003E176A" w:rsidRPr="003E176A" w:rsidTr="003E176A">
        <w:trPr>
          <w:trHeight w:val="288"/>
        </w:trPr>
        <w:tc>
          <w:tcPr>
            <w:tcW w:w="376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r w:rsidRPr="003E176A">
              <w:rPr>
                <w:rFonts w:ascii="Arial" w:eastAsia="Times New Roman" w:hAnsi="Arial" w:cs="Arial"/>
                <w:color w:val="000000"/>
                <w:sz w:val="18"/>
                <w:szCs w:val="18"/>
              </w:rPr>
              <w:t>Source: World Bank database.</w:t>
            </w: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6120" w:type="dxa"/>
            <w:gridSpan w:val="3"/>
            <w:tcBorders>
              <w:top w:val="nil"/>
              <w:left w:val="nil"/>
              <w:bottom w:val="nil"/>
              <w:right w:val="nil"/>
            </w:tcBorders>
            <w:shd w:val="clear" w:color="auto" w:fill="auto"/>
            <w:noWrap/>
            <w:vAlign w:val="bottom"/>
            <w:hideMark/>
          </w:tcPr>
          <w:p w:rsidR="003E176A" w:rsidRPr="003E176A" w:rsidRDefault="00342B66" w:rsidP="003E176A">
            <w:pPr>
              <w:spacing w:before="0" w:after="0"/>
              <w:rPr>
                <w:rFonts w:ascii="Calibri" w:eastAsia="Times New Roman" w:hAnsi="Calibri" w:cs="Calibri"/>
                <w:color w:val="0563C1"/>
                <w:u w:val="single"/>
              </w:rPr>
            </w:pPr>
            <w:hyperlink r:id="rId208" w:anchor="home" w:history="1">
              <w:r w:rsidR="003E176A" w:rsidRPr="003E176A">
                <w:rPr>
                  <w:rFonts w:ascii="Calibri" w:eastAsia="Times New Roman" w:hAnsi="Calibri" w:cs="Calibri"/>
                  <w:color w:val="0563C1"/>
                  <w:u w:val="single"/>
                </w:rPr>
                <w:t>http://info.worldbank.org/governance/wgi/#home</w:t>
              </w:r>
            </w:hyperlink>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Calibri" w:eastAsia="Times New Roman" w:hAnsi="Calibri" w:cs="Calibri"/>
                <w:color w:val="0563C1"/>
                <w:u w:val="single"/>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4940" w:type="dxa"/>
            <w:gridSpan w:val="2"/>
            <w:tcBorders>
              <w:top w:val="nil"/>
              <w:left w:val="nil"/>
              <w:bottom w:val="nil"/>
              <w:right w:val="nil"/>
            </w:tcBorders>
            <w:shd w:val="clear" w:color="auto" w:fill="auto"/>
            <w:noWrap/>
            <w:vAlign w:val="bottom"/>
            <w:hideMark/>
          </w:tcPr>
          <w:p w:rsidR="003E176A" w:rsidRPr="003E176A" w:rsidRDefault="00342B66" w:rsidP="003E176A">
            <w:pPr>
              <w:spacing w:before="0" w:after="0"/>
              <w:rPr>
                <w:rFonts w:ascii="Calibri" w:eastAsia="Times New Roman" w:hAnsi="Calibri" w:cs="Calibri"/>
                <w:color w:val="0563C1"/>
                <w:u w:val="single"/>
              </w:rPr>
            </w:pPr>
            <w:hyperlink r:id="rId209" w:history="1">
              <w:r w:rsidR="003E176A" w:rsidRPr="003E176A">
                <w:rPr>
                  <w:rFonts w:ascii="Calibri" w:eastAsia="Times New Roman" w:hAnsi="Calibri" w:cs="Calibri"/>
                  <w:color w:val="0563C1"/>
                  <w:u w:val="single"/>
                </w:rPr>
                <w:t>http://data.worldbank.org/data-catalog/CPIA</w:t>
              </w:r>
            </w:hyperlink>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Calibri" w:eastAsia="Times New Roman" w:hAnsi="Calibri" w:cs="Calibri"/>
                <w:color w:val="0563C1"/>
                <w:u w:val="single"/>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6120" w:type="dxa"/>
            <w:gridSpan w:val="3"/>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r w:rsidRPr="003E176A">
              <w:rPr>
                <w:rFonts w:ascii="Arial" w:eastAsia="Times New Roman" w:hAnsi="Arial" w:cs="Arial"/>
                <w:color w:val="000000"/>
                <w:sz w:val="18"/>
                <w:szCs w:val="18"/>
              </w:rPr>
              <w:t xml:space="preserve">Heritage Foundation. 2017. </w:t>
            </w:r>
            <w:hyperlink r:id="rId210" w:history="1">
              <w:r w:rsidRPr="007F6A13">
                <w:rPr>
                  <w:rStyle w:val="Hyperlink"/>
                  <w:rFonts w:ascii="Arial" w:eastAsia="Times New Roman" w:hAnsi="Arial" w:cs="Arial"/>
                  <w:sz w:val="18"/>
                  <w:szCs w:val="18"/>
                </w:rPr>
                <w:t>http://www.heritage.org/index/download</w:t>
              </w:r>
            </w:hyperlink>
            <w:r w:rsidRPr="003E176A">
              <w:rPr>
                <w:rFonts w:ascii="Arial" w:eastAsia="Times New Roman" w:hAnsi="Arial" w:cs="Arial"/>
                <w:color w:val="000000"/>
                <w:sz w:val="18"/>
                <w:szCs w:val="18"/>
              </w:rPr>
              <w:t>.</w:t>
            </w:r>
            <w:r>
              <w:rPr>
                <w:rFonts w:ascii="Arial" w:eastAsia="Times New Roman" w:hAnsi="Arial" w:cs="Arial"/>
                <w:color w:val="000000"/>
                <w:sz w:val="18"/>
                <w:szCs w:val="18"/>
              </w:rPr>
              <w:t xml:space="preserve"> </w:t>
            </w: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14900" w:type="dxa"/>
            <w:gridSpan w:val="10"/>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r w:rsidRPr="003E176A">
              <w:rPr>
                <w:rFonts w:ascii="Arial" w:eastAsia="Times New Roman" w:hAnsi="Arial" w:cs="Arial"/>
                <w:color w:val="000000"/>
                <w:sz w:val="18"/>
                <w:szCs w:val="18"/>
              </w:rPr>
              <w:t>OECD Development Center. 2014. Social Institutions and Gender Index. 2014 Synthesis Report. http://www.genderindex.org/sites/default/files/docs/BrochureSIGI2015.pdf</w:t>
            </w: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p>
        </w:tc>
      </w:tr>
      <w:tr w:rsidR="003E176A" w:rsidRPr="003E176A" w:rsidTr="003E176A">
        <w:trPr>
          <w:trHeight w:val="288"/>
        </w:trPr>
        <w:tc>
          <w:tcPr>
            <w:tcW w:w="7300" w:type="dxa"/>
            <w:gridSpan w:val="4"/>
            <w:tcBorders>
              <w:top w:val="nil"/>
              <w:left w:val="nil"/>
              <w:bottom w:val="nil"/>
              <w:right w:val="nil"/>
            </w:tcBorders>
            <w:shd w:val="clear" w:color="auto" w:fill="auto"/>
            <w:noWrap/>
            <w:vAlign w:val="center"/>
            <w:hideMark/>
          </w:tcPr>
          <w:p w:rsidR="003E176A" w:rsidRPr="003E176A" w:rsidRDefault="003E176A" w:rsidP="003E176A">
            <w:pPr>
              <w:spacing w:before="0" w:after="0"/>
              <w:rPr>
                <w:rFonts w:ascii="Arial" w:eastAsia="Times New Roman" w:hAnsi="Arial" w:cs="Arial"/>
                <w:color w:val="000000"/>
                <w:sz w:val="18"/>
                <w:szCs w:val="18"/>
              </w:rPr>
            </w:pPr>
            <w:proofErr w:type="spellStart"/>
            <w:r w:rsidRPr="003E176A">
              <w:rPr>
                <w:rFonts w:ascii="Arial" w:eastAsia="Times New Roman" w:hAnsi="Arial" w:cs="Arial"/>
                <w:color w:val="000000"/>
                <w:sz w:val="18"/>
                <w:szCs w:val="18"/>
              </w:rPr>
              <w:t>Coface</w:t>
            </w:r>
            <w:proofErr w:type="spellEnd"/>
            <w:r w:rsidRPr="003E176A">
              <w:rPr>
                <w:rFonts w:ascii="Arial" w:eastAsia="Times New Roman" w:hAnsi="Arial" w:cs="Arial"/>
                <w:color w:val="000000"/>
                <w:sz w:val="18"/>
                <w:szCs w:val="18"/>
              </w:rPr>
              <w:t xml:space="preserve"> for safer trade. </w:t>
            </w:r>
            <w:hyperlink r:id="rId211" w:history="1">
              <w:r w:rsidRPr="007F6A13">
                <w:rPr>
                  <w:rStyle w:val="Hyperlink"/>
                  <w:rFonts w:ascii="Arial" w:eastAsia="Times New Roman" w:hAnsi="Arial" w:cs="Arial"/>
                  <w:sz w:val="18"/>
                  <w:szCs w:val="18"/>
                </w:rPr>
                <w:t>http://www.coface.com/Economic-Studies-and-Country-Risks</w:t>
              </w:r>
            </w:hyperlink>
            <w:r w:rsidRPr="003E176A">
              <w:rPr>
                <w:rFonts w:ascii="Arial" w:eastAsia="Times New Roman" w:hAnsi="Arial" w:cs="Arial"/>
                <w:color w:val="000000"/>
                <w:sz w:val="18"/>
                <w:szCs w:val="18"/>
              </w:rPr>
              <w:t>.</w:t>
            </w:r>
            <w:r>
              <w:rPr>
                <w:rFonts w:ascii="Arial" w:eastAsia="Times New Roman" w:hAnsi="Arial" w:cs="Arial"/>
                <w:color w:val="000000"/>
                <w:sz w:val="18"/>
                <w:szCs w:val="18"/>
              </w:rPr>
              <w:t xml:space="preserve"> </w:t>
            </w: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7300" w:type="dxa"/>
            <w:gridSpan w:val="4"/>
            <w:tcBorders>
              <w:top w:val="nil"/>
              <w:left w:val="nil"/>
              <w:bottom w:val="nil"/>
              <w:right w:val="nil"/>
            </w:tcBorders>
            <w:shd w:val="clear" w:color="auto" w:fill="auto"/>
            <w:noWrap/>
            <w:vAlign w:val="center"/>
            <w:hideMark/>
          </w:tcPr>
          <w:p w:rsidR="003E176A" w:rsidRPr="003E176A" w:rsidRDefault="00342B66" w:rsidP="003E176A">
            <w:pPr>
              <w:spacing w:before="0" w:after="0"/>
              <w:rPr>
                <w:rFonts w:ascii="Calibri" w:eastAsia="Times New Roman" w:hAnsi="Calibri" w:cs="Calibri"/>
                <w:color w:val="0563C1"/>
                <w:u w:val="single"/>
              </w:rPr>
            </w:pPr>
            <w:hyperlink r:id="rId212" w:history="1">
              <w:r w:rsidR="003E176A" w:rsidRPr="003E176A">
                <w:rPr>
                  <w:rFonts w:ascii="Calibri" w:eastAsia="Times New Roman" w:hAnsi="Calibri" w:cs="Calibri"/>
                  <w:color w:val="0563C1"/>
                  <w:u w:val="single"/>
                </w:rPr>
                <w:t>Global Edge. https://globaledge.msu.edu/countries/chad/government/</w:t>
              </w:r>
            </w:hyperlink>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Calibri" w:eastAsia="Times New Roman" w:hAnsi="Calibri" w:cs="Calibri"/>
                <w:color w:val="0563C1"/>
                <w:u w:val="single"/>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6120" w:type="dxa"/>
            <w:gridSpan w:val="3"/>
            <w:tcBorders>
              <w:top w:val="nil"/>
              <w:left w:val="nil"/>
              <w:bottom w:val="nil"/>
              <w:right w:val="nil"/>
            </w:tcBorders>
            <w:shd w:val="clear" w:color="auto" w:fill="auto"/>
            <w:noWrap/>
            <w:vAlign w:val="center"/>
            <w:hideMark/>
          </w:tcPr>
          <w:p w:rsidR="003E176A" w:rsidRPr="003E176A" w:rsidRDefault="00342B66" w:rsidP="003E176A">
            <w:pPr>
              <w:spacing w:before="0" w:after="0"/>
              <w:rPr>
                <w:rFonts w:ascii="Calibri" w:eastAsia="Times New Roman" w:hAnsi="Calibri" w:cs="Calibri"/>
                <w:color w:val="0563C1"/>
                <w:u w:val="single"/>
              </w:rPr>
            </w:pPr>
            <w:hyperlink r:id="rId213" w:history="1">
              <w:r w:rsidR="003E176A" w:rsidRPr="003E176A">
                <w:rPr>
                  <w:rFonts w:ascii="Calibri" w:eastAsia="Times New Roman" w:hAnsi="Calibri" w:cs="Calibri"/>
                  <w:color w:val="0563C1"/>
                  <w:u w:val="single"/>
                </w:rPr>
                <w:t>http://www.worldbank.org/en/country/guineabissau/overview</w:t>
              </w:r>
            </w:hyperlink>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Calibri" w:eastAsia="Times New Roman" w:hAnsi="Calibri" w:cs="Calibri"/>
                <w:color w:val="0563C1"/>
                <w:u w:val="single"/>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6120" w:type="dxa"/>
            <w:gridSpan w:val="3"/>
            <w:tcBorders>
              <w:top w:val="nil"/>
              <w:left w:val="nil"/>
              <w:bottom w:val="nil"/>
              <w:right w:val="nil"/>
            </w:tcBorders>
            <w:shd w:val="clear" w:color="auto" w:fill="auto"/>
            <w:noWrap/>
            <w:vAlign w:val="center"/>
            <w:hideMark/>
          </w:tcPr>
          <w:p w:rsidR="003E176A" w:rsidRPr="003E176A" w:rsidRDefault="003E176A" w:rsidP="003E176A">
            <w:pPr>
              <w:spacing w:before="0" w:after="0"/>
              <w:rPr>
                <w:rFonts w:ascii="Arial" w:eastAsia="Times New Roman" w:hAnsi="Arial" w:cs="Arial"/>
                <w:color w:val="000000"/>
                <w:sz w:val="18"/>
                <w:szCs w:val="18"/>
              </w:rPr>
            </w:pPr>
            <w:r w:rsidRPr="003E176A">
              <w:rPr>
                <w:rFonts w:ascii="Arial" w:eastAsia="Times New Roman" w:hAnsi="Arial" w:cs="Arial"/>
                <w:color w:val="000000"/>
                <w:sz w:val="18"/>
                <w:szCs w:val="18"/>
              </w:rPr>
              <w:t>Wikipedia. For various countries and for democracy index 2016.</w:t>
            </w: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9660" w:type="dxa"/>
            <w:gridSpan w:val="6"/>
            <w:tcBorders>
              <w:top w:val="nil"/>
              <w:left w:val="nil"/>
              <w:bottom w:val="nil"/>
              <w:right w:val="nil"/>
            </w:tcBorders>
            <w:shd w:val="clear" w:color="auto" w:fill="auto"/>
            <w:noWrap/>
            <w:vAlign w:val="center"/>
            <w:hideMark/>
          </w:tcPr>
          <w:p w:rsidR="003E176A" w:rsidRPr="003E176A" w:rsidRDefault="00342B66" w:rsidP="003E176A">
            <w:pPr>
              <w:spacing w:before="0" w:after="0"/>
              <w:rPr>
                <w:rFonts w:ascii="Calibri" w:eastAsia="Times New Roman" w:hAnsi="Calibri" w:cs="Calibri"/>
                <w:color w:val="0563C1"/>
                <w:u w:val="single"/>
              </w:rPr>
            </w:pPr>
            <w:hyperlink r:id="rId214" w:history="1">
              <w:r w:rsidR="003E176A" w:rsidRPr="003E176A">
                <w:rPr>
                  <w:rFonts w:ascii="Calibri" w:eastAsia="Times New Roman" w:hAnsi="Calibri" w:cs="Calibri"/>
                  <w:color w:val="0563C1"/>
                  <w:u w:val="single"/>
                </w:rPr>
                <w:t>2017 Index of Economic Freedom. Various countries. http://www.heritage.org/index/country/</w:t>
              </w:r>
            </w:hyperlink>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Calibri" w:eastAsia="Times New Roman" w:hAnsi="Calibri" w:cs="Calibri"/>
                <w:color w:val="0563C1"/>
                <w:u w:val="single"/>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10840" w:type="dxa"/>
            <w:gridSpan w:val="7"/>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r w:rsidRPr="003E176A">
              <w:rPr>
                <w:rFonts w:ascii="Arial" w:eastAsia="Times New Roman" w:hAnsi="Arial" w:cs="Arial"/>
                <w:color w:val="000000"/>
                <w:sz w:val="18"/>
                <w:szCs w:val="18"/>
              </w:rPr>
              <w:t xml:space="preserve">International Trade Union Confederation. ITUC Global Rights Index 2017. 2017. </w:t>
            </w:r>
            <w:hyperlink r:id="rId215" w:history="1">
              <w:r w:rsidRPr="007F6A13">
                <w:rPr>
                  <w:rStyle w:val="Hyperlink"/>
                  <w:rFonts w:ascii="Arial" w:eastAsia="Times New Roman" w:hAnsi="Arial" w:cs="Arial"/>
                  <w:sz w:val="18"/>
                  <w:szCs w:val="18"/>
                </w:rPr>
                <w:t>http://www.ituc-csi.org/ituc-global-rights-index-2017</w:t>
              </w:r>
            </w:hyperlink>
            <w:r>
              <w:rPr>
                <w:rFonts w:ascii="Arial" w:eastAsia="Times New Roman" w:hAnsi="Arial" w:cs="Arial"/>
                <w:color w:val="000000"/>
                <w:sz w:val="18"/>
                <w:szCs w:val="18"/>
              </w:rPr>
              <w:t xml:space="preserve"> </w:t>
            </w: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16340" w:type="dxa"/>
            <w:gridSpan w:val="11"/>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r w:rsidRPr="003E176A">
              <w:rPr>
                <w:rFonts w:ascii="Arial" w:eastAsia="Times New Roman" w:hAnsi="Arial" w:cs="Arial"/>
                <w:color w:val="000000"/>
                <w:sz w:val="18"/>
                <w:szCs w:val="18"/>
              </w:rPr>
              <w:t xml:space="preserve">World Economic Forum. 2017. Global Competitiveness Report 2016-2017. </w:t>
            </w:r>
          </w:p>
        </w:tc>
      </w:tr>
      <w:tr w:rsidR="003E176A" w:rsidRPr="003E176A" w:rsidTr="003E176A">
        <w:trPr>
          <w:trHeight w:val="288"/>
        </w:trPr>
        <w:tc>
          <w:tcPr>
            <w:tcW w:w="12020" w:type="dxa"/>
            <w:gridSpan w:val="8"/>
            <w:tcBorders>
              <w:top w:val="nil"/>
              <w:left w:val="nil"/>
              <w:bottom w:val="nil"/>
              <w:right w:val="nil"/>
            </w:tcBorders>
            <w:shd w:val="clear" w:color="auto" w:fill="auto"/>
            <w:noWrap/>
            <w:vAlign w:val="bottom"/>
            <w:hideMark/>
          </w:tcPr>
          <w:p w:rsidR="003E176A" w:rsidRDefault="00342B66" w:rsidP="003E176A">
            <w:pPr>
              <w:spacing w:before="0" w:after="0"/>
              <w:rPr>
                <w:rFonts w:ascii="Arial" w:eastAsia="Times New Roman" w:hAnsi="Arial" w:cs="Arial"/>
                <w:color w:val="000000"/>
                <w:sz w:val="18"/>
                <w:szCs w:val="18"/>
              </w:rPr>
            </w:pPr>
            <w:hyperlink r:id="rId216" w:history="1">
              <w:r w:rsidR="003E176A" w:rsidRPr="007F6A13">
                <w:rPr>
                  <w:rStyle w:val="Hyperlink"/>
                  <w:rFonts w:ascii="Arial" w:eastAsia="Times New Roman" w:hAnsi="Arial" w:cs="Arial"/>
                  <w:sz w:val="18"/>
                  <w:szCs w:val="18"/>
                </w:rPr>
                <w:t>http://www3.weforum.org/docs/GCR2016-2017/05FullReport/TheGlobalCompetitivenessReport2016-2017_FINAL.pdf</w:t>
              </w:r>
            </w:hyperlink>
            <w:r w:rsidR="003E176A">
              <w:rPr>
                <w:rFonts w:ascii="Arial" w:eastAsia="Times New Roman" w:hAnsi="Arial" w:cs="Arial"/>
                <w:color w:val="000000"/>
                <w:sz w:val="18"/>
                <w:szCs w:val="18"/>
              </w:rPr>
              <w:t xml:space="preserve"> </w:t>
            </w:r>
          </w:p>
          <w:p w:rsidR="003E176A" w:rsidRPr="003E176A" w:rsidRDefault="003E176A" w:rsidP="003E176A">
            <w:pPr>
              <w:spacing w:before="0" w:after="0"/>
              <w:rPr>
                <w:rFonts w:ascii="Arial" w:eastAsia="Times New Roman" w:hAnsi="Arial" w:cs="Arial"/>
                <w:color w:val="000000"/>
                <w:sz w:val="18"/>
                <w:szCs w:val="18"/>
              </w:rPr>
            </w:pPr>
            <w:r w:rsidRPr="003E176A">
              <w:rPr>
                <w:rFonts w:ascii="Arial" w:eastAsia="Times New Roman" w:hAnsi="Arial" w:cs="Arial"/>
                <w:color w:val="000000"/>
                <w:sz w:val="18"/>
                <w:szCs w:val="18"/>
              </w:rPr>
              <w:t xml:space="preserve">Transparency International. 2017. Corruption Perception Index 2016. </w:t>
            </w:r>
            <w:hyperlink r:id="rId217" w:history="1">
              <w:r w:rsidRPr="007F6A13">
                <w:rPr>
                  <w:rStyle w:val="Hyperlink"/>
                  <w:rFonts w:ascii="Arial" w:eastAsia="Times New Roman" w:hAnsi="Arial" w:cs="Arial"/>
                  <w:sz w:val="18"/>
                  <w:szCs w:val="18"/>
                </w:rPr>
                <w:t>https://www.transparency.org/news/feature/corruption_perceptions_index_2016</w:t>
              </w:r>
            </w:hyperlink>
            <w:r>
              <w:rPr>
                <w:rFonts w:ascii="Arial" w:eastAsia="Times New Roman" w:hAnsi="Arial" w:cs="Arial"/>
                <w:color w:val="000000"/>
                <w:sz w:val="18"/>
                <w:szCs w:val="18"/>
              </w:rPr>
              <w:t xml:space="preserve"> </w:t>
            </w: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Arial" w:eastAsia="Times New Roman" w:hAnsi="Arial" w:cs="Arial"/>
                <w:color w:val="000000"/>
                <w:sz w:val="18"/>
                <w:szCs w:val="18"/>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r w:rsidR="003E176A" w:rsidRPr="003E176A" w:rsidTr="003E176A">
        <w:trPr>
          <w:trHeight w:val="288"/>
        </w:trPr>
        <w:tc>
          <w:tcPr>
            <w:tcW w:w="6120" w:type="dxa"/>
            <w:gridSpan w:val="3"/>
            <w:tcBorders>
              <w:top w:val="nil"/>
              <w:left w:val="nil"/>
              <w:bottom w:val="nil"/>
              <w:right w:val="nil"/>
            </w:tcBorders>
            <w:shd w:val="clear" w:color="auto" w:fill="auto"/>
            <w:noWrap/>
            <w:vAlign w:val="bottom"/>
            <w:hideMark/>
          </w:tcPr>
          <w:p w:rsidR="003E176A" w:rsidRPr="009C11A0" w:rsidRDefault="00342B66" w:rsidP="003E176A">
            <w:pPr>
              <w:spacing w:before="0" w:after="0"/>
              <w:rPr>
                <w:rFonts w:eastAsia="Times New Roman"/>
                <w:color w:val="0563C1"/>
                <w:u w:val="single"/>
              </w:rPr>
            </w:pPr>
            <w:hyperlink r:id="rId218" w:history="1">
              <w:r w:rsidR="003E176A" w:rsidRPr="009C11A0">
                <w:rPr>
                  <w:rFonts w:eastAsia="Times New Roman"/>
                  <w:color w:val="0563C1"/>
                  <w:u w:val="single"/>
                </w:rPr>
                <w:t>https://en.wikipedia.org/wiki/Global_Peace_Index</w:t>
              </w:r>
            </w:hyperlink>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p>
          <w:p w:rsidR="00473B55" w:rsidRPr="009C11A0" w:rsidRDefault="00473B55" w:rsidP="003E176A">
            <w:pPr>
              <w:spacing w:before="0" w:after="0"/>
              <w:rPr>
                <w:rFonts w:eastAsia="Times New Roman"/>
                <w:color w:val="0563C1"/>
                <w:u w:val="single"/>
              </w:rPr>
            </w:pPr>
            <w:r w:rsidRPr="009C11A0">
              <w:rPr>
                <w:noProof/>
              </w:rPr>
              <w:lastRenderedPageBreak/>
              <w:drawing>
                <wp:inline distT="0" distB="0" distL="0" distR="0" wp14:anchorId="0B7F8934" wp14:editId="5F16C5E4">
                  <wp:extent cx="8229600" cy="5520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8229600" cy="5520690"/>
                          </a:xfrm>
                          <a:prstGeom prst="rect">
                            <a:avLst/>
                          </a:prstGeom>
                        </pic:spPr>
                      </pic:pic>
                    </a:graphicData>
                  </a:graphic>
                </wp:inline>
              </w:drawing>
            </w:r>
          </w:p>
          <w:p w:rsidR="00B26E1F" w:rsidRPr="009C11A0" w:rsidRDefault="00B26E1F" w:rsidP="003E176A">
            <w:pPr>
              <w:spacing w:before="0" w:after="0"/>
              <w:rPr>
                <w:rFonts w:eastAsia="Times New Roman"/>
                <w:color w:val="0563C1"/>
                <w:u w:val="single"/>
              </w:rPr>
            </w:pPr>
          </w:p>
          <w:p w:rsidR="00B26E1F" w:rsidRPr="009C11A0" w:rsidRDefault="00B26E1F" w:rsidP="003E176A">
            <w:pPr>
              <w:spacing w:before="0" w:after="0"/>
              <w:rPr>
                <w:rFonts w:eastAsia="Times New Roman"/>
                <w:color w:val="0563C1"/>
                <w:u w:val="single"/>
              </w:rPr>
            </w:pPr>
          </w:p>
          <w:p w:rsidR="00473B55" w:rsidRPr="009C11A0" w:rsidRDefault="00B26E1F" w:rsidP="003E176A">
            <w:pPr>
              <w:spacing w:before="0" w:after="0"/>
              <w:rPr>
                <w:rFonts w:eastAsia="Times New Roman"/>
                <w:color w:val="0563C1"/>
                <w:u w:val="single"/>
              </w:rPr>
            </w:pPr>
            <w:r w:rsidRPr="009C11A0">
              <w:rPr>
                <w:noProof/>
              </w:rPr>
              <w:lastRenderedPageBreak/>
              <w:drawing>
                <wp:inline distT="0" distB="0" distL="0" distR="0" wp14:anchorId="48796C89" wp14:editId="2F7F570F">
                  <wp:extent cx="8229600" cy="55022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8229600" cy="5502275"/>
                          </a:xfrm>
                          <a:prstGeom prst="rect">
                            <a:avLst/>
                          </a:prstGeom>
                        </pic:spPr>
                      </pic:pic>
                    </a:graphicData>
                  </a:graphic>
                </wp:inline>
              </w:drawing>
            </w:r>
          </w:p>
          <w:p w:rsidR="00B26E1F" w:rsidRPr="009C11A0" w:rsidRDefault="00B26E1F" w:rsidP="003E176A">
            <w:pPr>
              <w:spacing w:before="0" w:after="0"/>
              <w:rPr>
                <w:rFonts w:eastAsia="Times New Roman"/>
                <w:color w:val="0563C1"/>
                <w:u w:val="single"/>
              </w:rPr>
            </w:pPr>
          </w:p>
          <w:p w:rsidR="00B26E1F" w:rsidRPr="009C11A0" w:rsidRDefault="00B26E1F" w:rsidP="003E176A">
            <w:pPr>
              <w:spacing w:before="0" w:after="0"/>
              <w:rPr>
                <w:rFonts w:eastAsia="Times New Roman"/>
                <w:color w:val="0563C1"/>
                <w:u w:val="single"/>
              </w:rPr>
            </w:pPr>
          </w:p>
          <w:p w:rsidR="00B26E1F" w:rsidRPr="009C11A0" w:rsidRDefault="00B26E1F" w:rsidP="003E176A">
            <w:pPr>
              <w:spacing w:before="0" w:after="0"/>
              <w:rPr>
                <w:rFonts w:eastAsia="Times New Roman"/>
                <w:color w:val="0563C1"/>
                <w:u w:val="single"/>
              </w:rPr>
            </w:pPr>
            <w:r w:rsidRPr="009C11A0">
              <w:rPr>
                <w:noProof/>
              </w:rPr>
              <w:lastRenderedPageBreak/>
              <w:drawing>
                <wp:inline distT="0" distB="0" distL="0" distR="0" wp14:anchorId="41B6E9C7" wp14:editId="1546C272">
                  <wp:extent cx="8229600" cy="54997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8229600" cy="5499735"/>
                          </a:xfrm>
                          <a:prstGeom prst="rect">
                            <a:avLst/>
                          </a:prstGeom>
                        </pic:spPr>
                      </pic:pic>
                    </a:graphicData>
                  </a:graphic>
                </wp:inline>
              </w:drawing>
            </w:r>
          </w:p>
          <w:p w:rsidR="00B26E1F" w:rsidRPr="009C11A0" w:rsidRDefault="00B26E1F" w:rsidP="003E176A">
            <w:pPr>
              <w:spacing w:before="0" w:after="0"/>
              <w:rPr>
                <w:rFonts w:eastAsia="Times New Roman"/>
                <w:color w:val="0563C1"/>
                <w:u w:val="single"/>
              </w:rPr>
            </w:pPr>
          </w:p>
          <w:p w:rsidR="00B26E1F" w:rsidRPr="009C11A0" w:rsidRDefault="00B26E1F" w:rsidP="003E176A">
            <w:pPr>
              <w:spacing w:before="0" w:after="0"/>
              <w:rPr>
                <w:rFonts w:eastAsia="Times New Roman"/>
                <w:color w:val="0563C1"/>
                <w:u w:val="single"/>
              </w:rPr>
            </w:pPr>
          </w:p>
          <w:p w:rsidR="00B26E1F" w:rsidRPr="009C11A0" w:rsidRDefault="00B26E1F" w:rsidP="003E176A">
            <w:pPr>
              <w:spacing w:before="0" w:after="0"/>
              <w:rPr>
                <w:rFonts w:eastAsia="Times New Roman"/>
                <w:color w:val="0563C1"/>
                <w:u w:val="single"/>
              </w:rPr>
            </w:pPr>
            <w:r w:rsidRPr="009C11A0">
              <w:rPr>
                <w:noProof/>
              </w:rPr>
              <w:lastRenderedPageBreak/>
              <w:drawing>
                <wp:inline distT="0" distB="0" distL="0" distR="0" wp14:anchorId="4B1AD1B8" wp14:editId="18DF0516">
                  <wp:extent cx="8229600" cy="55098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8229600" cy="5509895"/>
                          </a:xfrm>
                          <a:prstGeom prst="rect">
                            <a:avLst/>
                          </a:prstGeom>
                        </pic:spPr>
                      </pic:pic>
                    </a:graphicData>
                  </a:graphic>
                </wp:inline>
              </w:drawing>
            </w:r>
          </w:p>
          <w:p w:rsidR="00B26E1F" w:rsidRPr="009C11A0" w:rsidRDefault="00B26E1F" w:rsidP="003E176A">
            <w:pPr>
              <w:spacing w:before="0" w:after="0"/>
              <w:rPr>
                <w:rFonts w:eastAsia="Times New Roman"/>
                <w:color w:val="0563C1"/>
                <w:u w:val="single"/>
              </w:rPr>
            </w:pPr>
          </w:p>
          <w:p w:rsidR="00B26E1F" w:rsidRPr="009C11A0" w:rsidRDefault="00B26E1F" w:rsidP="003E176A">
            <w:pPr>
              <w:spacing w:before="0" w:after="0"/>
              <w:rPr>
                <w:rFonts w:eastAsia="Times New Roman"/>
                <w:color w:val="0563C1"/>
                <w:u w:val="single"/>
              </w:rPr>
            </w:pPr>
          </w:p>
          <w:p w:rsidR="00B26E1F" w:rsidRPr="009C11A0" w:rsidRDefault="004453BF" w:rsidP="003E176A">
            <w:pPr>
              <w:spacing w:before="0" w:after="0"/>
              <w:rPr>
                <w:rFonts w:eastAsia="Times New Roman"/>
                <w:color w:val="0563C1"/>
                <w:u w:val="single"/>
              </w:rPr>
            </w:pPr>
            <w:r w:rsidRPr="009C11A0">
              <w:rPr>
                <w:noProof/>
              </w:rPr>
              <w:lastRenderedPageBreak/>
              <w:drawing>
                <wp:inline distT="0" distB="0" distL="0" distR="0" wp14:anchorId="324C13C9" wp14:editId="07CE9073">
                  <wp:extent cx="8229600" cy="55073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8229600" cy="5507355"/>
                          </a:xfrm>
                          <a:prstGeom prst="rect">
                            <a:avLst/>
                          </a:prstGeom>
                        </pic:spPr>
                      </pic:pic>
                    </a:graphicData>
                  </a:graphic>
                </wp:inline>
              </w:drawing>
            </w:r>
          </w:p>
          <w:p w:rsidR="004453BF" w:rsidRPr="009C11A0" w:rsidRDefault="004453BF" w:rsidP="003E176A">
            <w:pPr>
              <w:spacing w:before="0" w:after="0"/>
              <w:rPr>
                <w:rFonts w:eastAsia="Times New Roman"/>
                <w:color w:val="0563C1"/>
                <w:u w:val="single"/>
              </w:rPr>
            </w:pPr>
          </w:p>
          <w:p w:rsidR="004453BF" w:rsidRPr="009C11A0" w:rsidRDefault="004453BF" w:rsidP="003E176A">
            <w:pPr>
              <w:spacing w:before="0" w:after="0"/>
              <w:rPr>
                <w:rFonts w:eastAsia="Times New Roman"/>
                <w:color w:val="0563C1"/>
                <w:u w:val="single"/>
              </w:rPr>
            </w:pPr>
          </w:p>
          <w:p w:rsidR="004453BF" w:rsidRPr="009C11A0" w:rsidRDefault="004453BF" w:rsidP="003E176A">
            <w:pPr>
              <w:spacing w:before="0" w:after="0"/>
              <w:rPr>
                <w:rFonts w:eastAsia="Times New Roman"/>
                <w:color w:val="0563C1"/>
                <w:u w:val="single"/>
              </w:rPr>
            </w:pPr>
            <w:r w:rsidRPr="009C11A0">
              <w:rPr>
                <w:noProof/>
              </w:rPr>
              <w:lastRenderedPageBreak/>
              <w:drawing>
                <wp:inline distT="0" distB="0" distL="0" distR="0" wp14:anchorId="4F9A3BCF" wp14:editId="1D5B4527">
                  <wp:extent cx="8229600" cy="55156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8229600" cy="5515610"/>
                          </a:xfrm>
                          <a:prstGeom prst="rect">
                            <a:avLst/>
                          </a:prstGeom>
                        </pic:spPr>
                      </pic:pic>
                    </a:graphicData>
                  </a:graphic>
                </wp:inline>
              </w:drawing>
            </w:r>
          </w:p>
          <w:p w:rsidR="004453BF" w:rsidRPr="009C11A0" w:rsidRDefault="004453BF" w:rsidP="003E176A">
            <w:pPr>
              <w:spacing w:before="0" w:after="0"/>
              <w:rPr>
                <w:rFonts w:eastAsia="Times New Roman"/>
                <w:color w:val="0563C1"/>
                <w:u w:val="single"/>
              </w:rPr>
            </w:pPr>
          </w:p>
          <w:p w:rsidR="004453BF" w:rsidRPr="009C11A0" w:rsidRDefault="004453BF" w:rsidP="003E176A">
            <w:pPr>
              <w:spacing w:before="0" w:after="0"/>
              <w:rPr>
                <w:rFonts w:eastAsia="Times New Roman"/>
                <w:color w:val="0563C1"/>
                <w:u w:val="single"/>
              </w:rPr>
            </w:pPr>
          </w:p>
          <w:p w:rsidR="004453BF" w:rsidRPr="009C11A0" w:rsidRDefault="004453BF" w:rsidP="003E176A">
            <w:pPr>
              <w:spacing w:before="0" w:after="0"/>
              <w:rPr>
                <w:rFonts w:eastAsia="Times New Roman"/>
                <w:color w:val="0563C1"/>
                <w:u w:val="single"/>
              </w:rPr>
            </w:pPr>
            <w:r w:rsidRPr="009C11A0">
              <w:rPr>
                <w:noProof/>
              </w:rPr>
              <w:lastRenderedPageBreak/>
              <w:drawing>
                <wp:inline distT="0" distB="0" distL="0" distR="0" wp14:anchorId="0A4222AE" wp14:editId="74BA88CF">
                  <wp:extent cx="8229600" cy="55098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8229600" cy="5509895"/>
                          </a:xfrm>
                          <a:prstGeom prst="rect">
                            <a:avLst/>
                          </a:prstGeom>
                        </pic:spPr>
                      </pic:pic>
                    </a:graphicData>
                  </a:graphic>
                </wp:inline>
              </w:drawing>
            </w:r>
          </w:p>
          <w:p w:rsidR="004453BF" w:rsidRPr="009C11A0" w:rsidRDefault="004453BF" w:rsidP="003E176A">
            <w:pPr>
              <w:spacing w:before="0" w:after="0"/>
              <w:rPr>
                <w:rFonts w:eastAsia="Times New Roman"/>
                <w:color w:val="0563C1"/>
                <w:u w:val="single"/>
              </w:rPr>
            </w:pPr>
            <w:r w:rsidRPr="009C11A0">
              <w:rPr>
                <w:rFonts w:eastAsia="Times New Roman"/>
                <w:color w:val="000000" w:themeColor="text1"/>
              </w:rPr>
              <w:t xml:space="preserve">Source: </w:t>
            </w:r>
            <w:hyperlink r:id="rId226" w:anchor="home" w:history="1">
              <w:r w:rsidRPr="009C11A0">
                <w:rPr>
                  <w:rFonts w:eastAsia="Times New Roman"/>
                  <w:color w:val="0563C1"/>
                  <w:u w:val="single"/>
                </w:rPr>
                <w:t>http://info.worldbank.org/governance/wgi/#home</w:t>
              </w:r>
            </w:hyperlink>
          </w:p>
          <w:p w:rsidR="004453BF" w:rsidRPr="009C11A0" w:rsidRDefault="004453BF" w:rsidP="003E176A">
            <w:pPr>
              <w:spacing w:before="0" w:after="0"/>
              <w:rPr>
                <w:rFonts w:eastAsia="Times New Roman"/>
                <w:color w:val="0563C1"/>
                <w:u w:val="single"/>
              </w:rPr>
            </w:pPr>
          </w:p>
          <w:p w:rsidR="004453BF" w:rsidRPr="009C11A0" w:rsidRDefault="006262C9" w:rsidP="003E176A">
            <w:pPr>
              <w:spacing w:before="0" w:after="0"/>
              <w:rPr>
                <w:rFonts w:eastAsia="Times New Roman"/>
                <w:color w:val="000000" w:themeColor="text1"/>
              </w:rPr>
            </w:pPr>
            <w:r w:rsidRPr="009C11A0">
              <w:rPr>
                <w:noProof/>
              </w:rPr>
              <w:lastRenderedPageBreak/>
              <w:drawing>
                <wp:inline distT="0" distB="0" distL="0" distR="0" wp14:anchorId="4CB3190E" wp14:editId="5E2C7475">
                  <wp:extent cx="8420100" cy="4770120"/>
                  <wp:effectExtent l="19050" t="19050" r="1905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8420100" cy="4770120"/>
                          </a:xfrm>
                          <a:prstGeom prst="rect">
                            <a:avLst/>
                          </a:prstGeom>
                          <a:ln>
                            <a:solidFill>
                              <a:schemeClr val="tx1"/>
                            </a:solidFill>
                          </a:ln>
                        </pic:spPr>
                      </pic:pic>
                    </a:graphicData>
                  </a:graphic>
                </wp:inline>
              </w:drawing>
            </w:r>
          </w:p>
          <w:p w:rsidR="006262C9" w:rsidRPr="009C11A0" w:rsidRDefault="006262C9" w:rsidP="003E176A">
            <w:pPr>
              <w:spacing w:before="0" w:after="0"/>
              <w:rPr>
                <w:rFonts w:eastAsia="Times New Roman"/>
                <w:color w:val="000000" w:themeColor="text1"/>
              </w:rPr>
            </w:pPr>
          </w:p>
          <w:p w:rsidR="006262C9" w:rsidRPr="009C11A0" w:rsidRDefault="006262C9" w:rsidP="003E176A">
            <w:pPr>
              <w:spacing w:before="0" w:after="0"/>
              <w:rPr>
                <w:rFonts w:eastAsia="Times New Roman"/>
                <w:color w:val="000000" w:themeColor="text1"/>
              </w:rPr>
            </w:pPr>
          </w:p>
          <w:p w:rsidR="006262C9" w:rsidRPr="009C11A0" w:rsidRDefault="006262C9" w:rsidP="003E176A">
            <w:pPr>
              <w:spacing w:before="0" w:after="0"/>
              <w:rPr>
                <w:rFonts w:eastAsia="Times New Roman"/>
                <w:color w:val="000000" w:themeColor="text1"/>
              </w:rPr>
            </w:pPr>
          </w:p>
          <w:p w:rsidR="006262C9" w:rsidRPr="009C11A0" w:rsidRDefault="006262C9" w:rsidP="003E176A">
            <w:pPr>
              <w:spacing w:before="0" w:after="0"/>
              <w:rPr>
                <w:rFonts w:eastAsia="Times New Roman"/>
                <w:color w:val="000000" w:themeColor="text1"/>
              </w:rPr>
            </w:pPr>
          </w:p>
          <w:p w:rsidR="006262C9" w:rsidRPr="009C11A0" w:rsidRDefault="006262C9" w:rsidP="003E176A">
            <w:pPr>
              <w:spacing w:before="0" w:after="0"/>
              <w:rPr>
                <w:rFonts w:eastAsia="Times New Roman"/>
                <w:color w:val="000000" w:themeColor="text1"/>
              </w:rPr>
            </w:pPr>
          </w:p>
          <w:p w:rsidR="006262C9" w:rsidRPr="009C11A0" w:rsidRDefault="006262C9" w:rsidP="003E176A">
            <w:pPr>
              <w:spacing w:before="0" w:after="0"/>
              <w:rPr>
                <w:rFonts w:eastAsia="Times New Roman"/>
                <w:color w:val="000000" w:themeColor="text1"/>
              </w:rPr>
            </w:pPr>
          </w:p>
          <w:p w:rsidR="006262C9" w:rsidRPr="009C11A0" w:rsidRDefault="006262C9" w:rsidP="003E176A">
            <w:pPr>
              <w:spacing w:before="0" w:after="0"/>
              <w:rPr>
                <w:rFonts w:eastAsia="Times New Roman"/>
                <w:color w:val="000000" w:themeColor="text1"/>
              </w:rPr>
            </w:pPr>
          </w:p>
          <w:p w:rsidR="006262C9" w:rsidRPr="009C11A0" w:rsidRDefault="009C11A0" w:rsidP="003E176A">
            <w:pPr>
              <w:spacing w:before="0" w:after="0"/>
              <w:rPr>
                <w:rFonts w:eastAsia="Times New Roman"/>
                <w:color w:val="000000" w:themeColor="text1"/>
              </w:rPr>
            </w:pPr>
            <w:r w:rsidRPr="009C11A0">
              <w:rPr>
                <w:noProof/>
              </w:rPr>
              <w:drawing>
                <wp:inline distT="0" distB="0" distL="0" distR="0" wp14:anchorId="42D4A8EA" wp14:editId="1427288A">
                  <wp:extent cx="8473440" cy="4945380"/>
                  <wp:effectExtent l="19050" t="19050" r="22860"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8473440" cy="4945380"/>
                          </a:xfrm>
                          <a:prstGeom prst="rect">
                            <a:avLst/>
                          </a:prstGeom>
                          <a:ln>
                            <a:solidFill>
                              <a:schemeClr val="tx1"/>
                            </a:solidFill>
                          </a:ln>
                        </pic:spPr>
                      </pic:pic>
                    </a:graphicData>
                  </a:graphic>
                </wp:inline>
              </w:drawing>
            </w:r>
          </w:p>
          <w:p w:rsidR="009C11A0" w:rsidRPr="009C11A0" w:rsidRDefault="009C11A0" w:rsidP="003E176A">
            <w:pPr>
              <w:spacing w:before="0" w:after="0"/>
              <w:rPr>
                <w:rFonts w:eastAsia="Times New Roman"/>
                <w:color w:val="000000" w:themeColor="text1"/>
              </w:rPr>
            </w:pPr>
          </w:p>
          <w:p w:rsidR="009C11A0" w:rsidRPr="009C11A0" w:rsidRDefault="009C11A0" w:rsidP="003E176A">
            <w:pPr>
              <w:spacing w:before="0" w:after="0"/>
              <w:rPr>
                <w:rFonts w:eastAsia="Times New Roman"/>
                <w:color w:val="000000" w:themeColor="text1"/>
              </w:rPr>
            </w:pPr>
          </w:p>
          <w:p w:rsidR="009C11A0" w:rsidRPr="009C11A0" w:rsidRDefault="009C11A0" w:rsidP="003E176A">
            <w:pPr>
              <w:spacing w:before="0" w:after="0"/>
              <w:rPr>
                <w:rFonts w:eastAsia="Times New Roman"/>
                <w:color w:val="000000" w:themeColor="text1"/>
              </w:rPr>
            </w:pPr>
          </w:p>
          <w:p w:rsidR="009C11A0" w:rsidRPr="009C11A0" w:rsidRDefault="009C11A0" w:rsidP="003E176A">
            <w:pPr>
              <w:spacing w:before="0" w:after="0"/>
              <w:rPr>
                <w:rFonts w:eastAsia="Times New Roman"/>
                <w:color w:val="000000" w:themeColor="text1"/>
              </w:rPr>
            </w:pPr>
          </w:p>
          <w:p w:rsidR="009C11A0" w:rsidRPr="009C11A0" w:rsidRDefault="009C11A0" w:rsidP="003E176A">
            <w:pPr>
              <w:spacing w:before="0" w:after="0"/>
              <w:rPr>
                <w:rFonts w:eastAsia="Times New Roman"/>
                <w:color w:val="000000" w:themeColor="text1"/>
              </w:rPr>
            </w:pPr>
          </w:p>
          <w:p w:rsidR="009C11A0" w:rsidRPr="009C11A0" w:rsidRDefault="009C11A0" w:rsidP="003E176A">
            <w:pPr>
              <w:spacing w:before="0" w:after="0"/>
              <w:rPr>
                <w:rFonts w:eastAsia="Times New Roman"/>
                <w:color w:val="000000" w:themeColor="text1"/>
              </w:rPr>
            </w:pPr>
            <w:r w:rsidRPr="009C11A0">
              <w:rPr>
                <w:noProof/>
              </w:rPr>
              <w:drawing>
                <wp:inline distT="0" distB="0" distL="0" distR="0" wp14:anchorId="284AB9F5" wp14:editId="5966A4CB">
                  <wp:extent cx="8229600" cy="2039620"/>
                  <wp:effectExtent l="19050" t="19050" r="19050" b="177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8229600" cy="2039620"/>
                          </a:xfrm>
                          <a:prstGeom prst="rect">
                            <a:avLst/>
                          </a:prstGeom>
                          <a:ln>
                            <a:solidFill>
                              <a:schemeClr val="tx1"/>
                            </a:solidFill>
                          </a:ln>
                        </pic:spPr>
                      </pic:pic>
                    </a:graphicData>
                  </a:graphic>
                </wp:inline>
              </w:drawing>
            </w:r>
          </w:p>
          <w:p w:rsidR="009C11A0" w:rsidRDefault="009C11A0" w:rsidP="003E176A">
            <w:pPr>
              <w:spacing w:before="0" w:after="0"/>
              <w:rPr>
                <w:rFonts w:eastAsia="Times New Roman"/>
                <w:color w:val="0563C1"/>
                <w:u w:val="single"/>
              </w:rPr>
            </w:pPr>
            <w:r w:rsidRPr="009C11A0">
              <w:rPr>
                <w:rFonts w:eastAsia="Times New Roman"/>
                <w:color w:val="000000" w:themeColor="text1"/>
              </w:rPr>
              <w:t xml:space="preserve">Source: </w:t>
            </w:r>
            <w:hyperlink r:id="rId230" w:history="1">
              <w:r w:rsidRPr="009C11A0">
                <w:rPr>
                  <w:rFonts w:eastAsia="Times New Roman"/>
                  <w:color w:val="0563C1"/>
                  <w:u w:val="single"/>
                </w:rPr>
                <w:t>http://data.worldbank.org/data-catalog/CPIA</w:t>
              </w:r>
            </w:hyperlink>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r w:rsidRPr="00B03DE0">
              <w:rPr>
                <w:rFonts w:eastAsia="Times New Roman"/>
                <w:noProof/>
                <w:color w:val="0563C1"/>
                <w:u w:val="single"/>
              </w:rPr>
              <w:lastRenderedPageBreak/>
              <w:drawing>
                <wp:inline distT="0" distB="0" distL="0" distR="0">
                  <wp:extent cx="8229600" cy="5463540"/>
                  <wp:effectExtent l="0" t="0" r="0" b="0"/>
                  <wp:docPr id="17455" name="Picture 1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229600" cy="5463540"/>
                          </a:xfrm>
                          <a:prstGeom prst="rect">
                            <a:avLst/>
                          </a:prstGeom>
                          <a:noFill/>
                          <a:ln>
                            <a:noFill/>
                          </a:ln>
                        </pic:spPr>
                      </pic:pic>
                    </a:graphicData>
                  </a:graphic>
                </wp:inline>
              </w:drawing>
            </w: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r w:rsidRPr="00B03DE0">
              <w:rPr>
                <w:rFonts w:eastAsia="Times New Roman"/>
                <w:noProof/>
                <w:color w:val="0563C1"/>
                <w:u w:val="single"/>
              </w:rPr>
              <w:lastRenderedPageBreak/>
              <w:drawing>
                <wp:inline distT="0" distB="0" distL="0" distR="0">
                  <wp:extent cx="8229600" cy="5273040"/>
                  <wp:effectExtent l="0" t="0" r="0" b="0"/>
                  <wp:docPr id="17456" name="Picture 1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229600" cy="5273040"/>
                          </a:xfrm>
                          <a:prstGeom prst="rect">
                            <a:avLst/>
                          </a:prstGeom>
                          <a:noFill/>
                          <a:ln>
                            <a:noFill/>
                          </a:ln>
                        </pic:spPr>
                      </pic:pic>
                    </a:graphicData>
                  </a:graphic>
                </wp:inline>
              </w:drawing>
            </w: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r w:rsidRPr="00B03DE0">
              <w:rPr>
                <w:rFonts w:eastAsia="Times New Roman"/>
                <w:noProof/>
                <w:color w:val="0563C1"/>
                <w:u w:val="single"/>
              </w:rPr>
              <w:lastRenderedPageBreak/>
              <w:drawing>
                <wp:inline distT="0" distB="0" distL="0" distR="0">
                  <wp:extent cx="8229600" cy="5273040"/>
                  <wp:effectExtent l="0" t="0" r="0" b="0"/>
                  <wp:docPr id="17457" name="Picture 1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229600" cy="5273040"/>
                          </a:xfrm>
                          <a:prstGeom prst="rect">
                            <a:avLst/>
                          </a:prstGeom>
                          <a:noFill/>
                          <a:ln>
                            <a:noFill/>
                          </a:ln>
                        </pic:spPr>
                      </pic:pic>
                    </a:graphicData>
                  </a:graphic>
                </wp:inline>
              </w:drawing>
            </w: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B03DE0" w:rsidP="003E176A">
            <w:pPr>
              <w:spacing w:before="0" w:after="0"/>
              <w:rPr>
                <w:rFonts w:eastAsia="Times New Roman"/>
                <w:color w:val="0563C1"/>
                <w:u w:val="single"/>
              </w:rPr>
            </w:pPr>
          </w:p>
          <w:p w:rsidR="00B03DE0" w:rsidRDefault="006D58CF" w:rsidP="003E176A">
            <w:pPr>
              <w:spacing w:before="0" w:after="0"/>
              <w:rPr>
                <w:rFonts w:eastAsia="Times New Roman"/>
                <w:color w:val="0563C1"/>
                <w:u w:val="single"/>
              </w:rPr>
            </w:pPr>
            <w:r w:rsidRPr="006D58CF">
              <w:rPr>
                <w:rFonts w:eastAsia="Times New Roman"/>
                <w:noProof/>
                <w:color w:val="0563C1"/>
                <w:u w:val="single"/>
              </w:rPr>
              <w:lastRenderedPageBreak/>
              <w:drawing>
                <wp:inline distT="0" distB="0" distL="0" distR="0">
                  <wp:extent cx="8229600" cy="5273040"/>
                  <wp:effectExtent l="0" t="0" r="0" b="0"/>
                  <wp:docPr id="17459" name="Picture 1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229600" cy="5273040"/>
                          </a:xfrm>
                          <a:prstGeom prst="rect">
                            <a:avLst/>
                          </a:prstGeom>
                          <a:noFill/>
                          <a:ln>
                            <a:noFill/>
                          </a:ln>
                        </pic:spPr>
                      </pic:pic>
                    </a:graphicData>
                  </a:graphic>
                </wp:inline>
              </w:drawing>
            </w:r>
          </w:p>
          <w:p w:rsidR="006D58CF" w:rsidRDefault="006D58CF" w:rsidP="003E176A">
            <w:pPr>
              <w:spacing w:before="0" w:after="0"/>
              <w:rPr>
                <w:rFonts w:eastAsia="Times New Roman"/>
                <w:color w:val="0563C1"/>
                <w:u w:val="single"/>
              </w:rPr>
            </w:pPr>
          </w:p>
          <w:p w:rsidR="006D58CF" w:rsidRDefault="006D58CF" w:rsidP="003E176A">
            <w:pPr>
              <w:spacing w:before="0" w:after="0"/>
              <w:rPr>
                <w:rFonts w:eastAsia="Times New Roman"/>
                <w:color w:val="0563C1"/>
                <w:u w:val="single"/>
              </w:rPr>
            </w:pPr>
          </w:p>
          <w:p w:rsidR="006D58CF" w:rsidRDefault="006D58CF" w:rsidP="003E176A">
            <w:pPr>
              <w:spacing w:before="0" w:after="0"/>
              <w:rPr>
                <w:rFonts w:eastAsia="Times New Roman"/>
                <w:color w:val="0563C1"/>
                <w:u w:val="single"/>
              </w:rPr>
            </w:pPr>
          </w:p>
          <w:p w:rsidR="006D58CF" w:rsidRDefault="006D58CF" w:rsidP="003E176A">
            <w:pPr>
              <w:spacing w:before="0" w:after="0"/>
              <w:rPr>
                <w:rFonts w:eastAsia="Times New Roman"/>
                <w:color w:val="0563C1"/>
                <w:u w:val="single"/>
              </w:rPr>
            </w:pPr>
            <w:r w:rsidRPr="006D58CF">
              <w:rPr>
                <w:rFonts w:eastAsia="Times New Roman"/>
                <w:noProof/>
                <w:color w:val="0563C1"/>
                <w:u w:val="single"/>
              </w:rPr>
              <w:lastRenderedPageBreak/>
              <w:drawing>
                <wp:inline distT="0" distB="0" distL="0" distR="0">
                  <wp:extent cx="8229600" cy="5273040"/>
                  <wp:effectExtent l="0" t="0" r="0" b="0"/>
                  <wp:docPr id="17460" name="Picture 1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229600" cy="5273040"/>
                          </a:xfrm>
                          <a:prstGeom prst="rect">
                            <a:avLst/>
                          </a:prstGeom>
                          <a:noFill/>
                          <a:ln>
                            <a:noFill/>
                          </a:ln>
                        </pic:spPr>
                      </pic:pic>
                    </a:graphicData>
                  </a:graphic>
                </wp:inline>
              </w:drawing>
            </w:r>
          </w:p>
          <w:p w:rsidR="006D58CF" w:rsidRDefault="006D58CF" w:rsidP="003E176A">
            <w:pPr>
              <w:spacing w:before="0" w:after="0"/>
              <w:rPr>
                <w:rFonts w:eastAsia="Times New Roman"/>
                <w:color w:val="0563C1"/>
                <w:u w:val="single"/>
              </w:rPr>
            </w:pPr>
          </w:p>
          <w:p w:rsidR="006D58CF" w:rsidRDefault="006D58CF" w:rsidP="003E176A">
            <w:pPr>
              <w:spacing w:before="0" w:after="0"/>
              <w:rPr>
                <w:rFonts w:eastAsia="Times New Roman"/>
                <w:color w:val="0563C1"/>
                <w:u w:val="single"/>
              </w:rPr>
            </w:pPr>
          </w:p>
          <w:p w:rsidR="006D58CF" w:rsidRDefault="006D58CF" w:rsidP="003E176A">
            <w:pPr>
              <w:spacing w:before="0" w:after="0"/>
              <w:rPr>
                <w:rFonts w:eastAsia="Times New Roman"/>
                <w:color w:val="0563C1"/>
                <w:u w:val="single"/>
              </w:rPr>
            </w:pPr>
          </w:p>
          <w:p w:rsidR="006D58CF" w:rsidRDefault="006D58CF" w:rsidP="003E176A">
            <w:pPr>
              <w:spacing w:before="0" w:after="0"/>
              <w:rPr>
                <w:rFonts w:eastAsia="Times New Roman"/>
                <w:color w:val="0563C1"/>
                <w:u w:val="single"/>
              </w:rPr>
            </w:pPr>
            <w:r w:rsidRPr="006D58CF">
              <w:rPr>
                <w:rFonts w:eastAsia="Times New Roman"/>
                <w:noProof/>
                <w:color w:val="0563C1"/>
                <w:u w:val="single"/>
              </w:rPr>
              <w:lastRenderedPageBreak/>
              <w:drawing>
                <wp:inline distT="0" distB="0" distL="0" distR="0">
                  <wp:extent cx="8229600" cy="1394460"/>
                  <wp:effectExtent l="0" t="0" r="0" b="0"/>
                  <wp:docPr id="17461" name="Picture 1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229600" cy="1394460"/>
                          </a:xfrm>
                          <a:prstGeom prst="rect">
                            <a:avLst/>
                          </a:prstGeom>
                          <a:noFill/>
                          <a:ln>
                            <a:noFill/>
                          </a:ln>
                        </pic:spPr>
                      </pic:pic>
                    </a:graphicData>
                  </a:graphic>
                </wp:inline>
              </w:drawing>
            </w:r>
          </w:p>
          <w:p w:rsidR="00B03DE0" w:rsidRPr="009C11A0" w:rsidRDefault="00B03DE0" w:rsidP="003E176A">
            <w:pPr>
              <w:spacing w:before="0" w:after="0"/>
              <w:rPr>
                <w:rFonts w:eastAsia="Times New Roman"/>
                <w:color w:val="000000" w:themeColor="text1"/>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ascii="Calibri" w:eastAsia="Times New Roman" w:hAnsi="Calibri" w:cs="Calibri"/>
                <w:color w:val="0563C1"/>
                <w:u w:val="single"/>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18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3E176A" w:rsidRPr="003E176A" w:rsidRDefault="003E176A" w:rsidP="003E176A">
            <w:pPr>
              <w:spacing w:before="0" w:after="0"/>
              <w:rPr>
                <w:rFonts w:eastAsia="Times New Roman"/>
                <w:sz w:val="20"/>
                <w:szCs w:val="20"/>
              </w:rPr>
            </w:pPr>
          </w:p>
        </w:tc>
      </w:tr>
    </w:tbl>
    <w:p w:rsidR="003E176A" w:rsidRDefault="003E176A" w:rsidP="00A129B2">
      <w:pPr>
        <w:ind w:hanging="360"/>
        <w:rPr>
          <w:b/>
          <w:caps/>
          <w:color w:val="0070C0"/>
        </w:rPr>
        <w:sectPr w:rsidR="003E176A" w:rsidSect="00C8306E">
          <w:pgSz w:w="15840" w:h="12240" w:orient="landscape"/>
          <w:pgMar w:top="1440" w:right="1440" w:bottom="1440" w:left="1440" w:header="720" w:footer="720" w:gutter="0"/>
          <w:cols w:space="720"/>
          <w:titlePg/>
          <w:docGrid w:linePitch="360"/>
        </w:sectPr>
      </w:pPr>
    </w:p>
    <w:p w:rsidR="00934FDF" w:rsidRDefault="00A26F90" w:rsidP="00C8306E">
      <w:pPr>
        <w:rPr>
          <w:b/>
          <w:caps/>
          <w:color w:val="0070C0"/>
        </w:rPr>
      </w:pPr>
      <w:r w:rsidRPr="00265E01">
        <w:rPr>
          <w:b/>
          <w:caps/>
          <w:color w:val="0070C0"/>
        </w:rPr>
        <w:lastRenderedPageBreak/>
        <w:t>Abbreviations</w:t>
      </w:r>
    </w:p>
    <w:p w:rsidR="00B37905" w:rsidRPr="00C11C90" w:rsidRDefault="00B37905" w:rsidP="00B37905">
      <w:r w:rsidRPr="00C11C90">
        <w:t>ADB</w:t>
      </w:r>
      <w:r w:rsidRPr="00C11C90">
        <w:tab/>
      </w:r>
      <w:r w:rsidRPr="00C11C90">
        <w:tab/>
      </w:r>
      <w:r w:rsidRPr="00C11C90">
        <w:tab/>
        <w:t>Asian Development Bank</w:t>
      </w:r>
    </w:p>
    <w:p w:rsidR="00B37905" w:rsidRPr="00C11C90" w:rsidRDefault="00B37905" w:rsidP="00B37905">
      <w:r w:rsidRPr="00C11C90">
        <w:t>GDP</w:t>
      </w:r>
      <w:r w:rsidRPr="00C11C90">
        <w:tab/>
      </w:r>
      <w:r w:rsidRPr="00C11C90">
        <w:tab/>
      </w:r>
      <w:r w:rsidRPr="00C11C90">
        <w:tab/>
        <w:t>Gross Domestic Product</w:t>
      </w:r>
    </w:p>
    <w:p w:rsidR="00B37905" w:rsidRPr="00C11C90" w:rsidRDefault="00B37905" w:rsidP="00B37905">
      <w:r w:rsidRPr="00C11C90">
        <w:t>BB</w:t>
      </w:r>
      <w:r w:rsidRPr="00C11C90">
        <w:tab/>
      </w:r>
      <w:r w:rsidRPr="00C11C90">
        <w:tab/>
      </w:r>
      <w:r w:rsidRPr="00C11C90">
        <w:tab/>
        <w:t>Bangladesh Bank</w:t>
      </w:r>
    </w:p>
    <w:p w:rsidR="00B37905" w:rsidRPr="00C11C90" w:rsidRDefault="00B37905" w:rsidP="00B37905">
      <w:r w:rsidRPr="00C11C90">
        <w:t>IMF</w:t>
      </w:r>
      <w:r w:rsidRPr="00C11C90">
        <w:tab/>
      </w:r>
      <w:r w:rsidRPr="00C11C90">
        <w:tab/>
      </w:r>
      <w:r w:rsidRPr="00C11C90">
        <w:tab/>
        <w:t>International Monetary Fund</w:t>
      </w:r>
    </w:p>
    <w:p w:rsidR="00B37905" w:rsidRPr="00C11C90" w:rsidRDefault="00B37905" w:rsidP="00B37905">
      <w:r w:rsidRPr="00C11C90">
        <w:t>D &amp; D</w:t>
      </w:r>
      <w:r w:rsidRPr="00C11C90">
        <w:tab/>
      </w:r>
      <w:r w:rsidRPr="00C11C90">
        <w:tab/>
      </w:r>
      <w:r w:rsidRPr="00C11C90">
        <w:tab/>
        <w:t xml:space="preserve">Decentralization and Deconcontration </w:t>
      </w:r>
    </w:p>
    <w:p w:rsidR="00B37905" w:rsidRPr="00C11C90" w:rsidRDefault="00B37905" w:rsidP="00B37905">
      <w:r w:rsidRPr="00C11C90">
        <w:t>FDI</w:t>
      </w:r>
      <w:r w:rsidRPr="00C11C90">
        <w:tab/>
      </w:r>
      <w:r w:rsidRPr="00C11C90">
        <w:tab/>
      </w:r>
      <w:r w:rsidRPr="00C11C90">
        <w:tab/>
        <w:t>Foreign Direct Investment</w:t>
      </w:r>
    </w:p>
    <w:p w:rsidR="00B37905" w:rsidRPr="00C11C90" w:rsidRDefault="00B37905" w:rsidP="00B37905">
      <w:r w:rsidRPr="00C11C90">
        <w:t>CPIA</w:t>
      </w:r>
      <w:r w:rsidRPr="00C11C90">
        <w:tab/>
      </w:r>
      <w:r w:rsidRPr="00C11C90">
        <w:tab/>
      </w:r>
      <w:r w:rsidRPr="00C11C90">
        <w:tab/>
        <w:t>Country Policy and Institutional Assessment</w:t>
      </w:r>
    </w:p>
    <w:p w:rsidR="00B37905" w:rsidRPr="00C11C90" w:rsidRDefault="00B37905" w:rsidP="00B37905">
      <w:r w:rsidRPr="00C11C90">
        <w:t>SPPB</w:t>
      </w:r>
      <w:r w:rsidRPr="00C11C90">
        <w:tab/>
      </w:r>
      <w:r w:rsidRPr="00C11C90">
        <w:tab/>
      </w:r>
      <w:r w:rsidRPr="00C11C90">
        <w:tab/>
        <w:t>Second Perspective Plan of Bangladesh</w:t>
      </w:r>
    </w:p>
    <w:p w:rsidR="00B37905" w:rsidRPr="00C11C90" w:rsidRDefault="00B37905" w:rsidP="00B37905">
      <w:r w:rsidRPr="00C11C90">
        <w:t>EC</w:t>
      </w:r>
      <w:r w:rsidRPr="00C11C90">
        <w:tab/>
      </w:r>
      <w:r w:rsidRPr="00C11C90">
        <w:tab/>
      </w:r>
      <w:r w:rsidRPr="00C11C90">
        <w:tab/>
        <w:t>Election Commission</w:t>
      </w:r>
    </w:p>
    <w:p w:rsidR="00B37905" w:rsidRPr="00C11C90" w:rsidRDefault="00B37905" w:rsidP="00B37905">
      <w:r w:rsidRPr="00C11C90">
        <w:t>MTBF</w:t>
      </w:r>
      <w:r w:rsidRPr="00C11C90">
        <w:tab/>
      </w:r>
      <w:r w:rsidRPr="00C11C90">
        <w:tab/>
      </w:r>
      <w:r w:rsidRPr="00C11C90">
        <w:tab/>
        <w:t>Medium Term Budget Framework</w:t>
      </w:r>
    </w:p>
    <w:p w:rsidR="00B37905" w:rsidRPr="00C11C90" w:rsidRDefault="00B37905" w:rsidP="00B37905">
      <w:r w:rsidRPr="00C11C90">
        <w:t>OECD</w:t>
      </w:r>
      <w:r w:rsidRPr="00C11C90">
        <w:tab/>
      </w:r>
      <w:r w:rsidRPr="00C11C90">
        <w:tab/>
      </w:r>
      <w:r w:rsidRPr="00C11C90">
        <w:tab/>
        <w:t>Organization for Economic Cooperation and Development</w:t>
      </w:r>
    </w:p>
    <w:p w:rsidR="00B37905" w:rsidRPr="00C11C90" w:rsidRDefault="00B37905" w:rsidP="00B37905">
      <w:r w:rsidRPr="00C11C90">
        <w:t>NGO</w:t>
      </w:r>
      <w:r w:rsidRPr="00C11C90">
        <w:tab/>
      </w:r>
      <w:r w:rsidRPr="00C11C90">
        <w:tab/>
      </w:r>
      <w:r w:rsidRPr="00C11C90">
        <w:tab/>
        <w:t>Non-Governmental Organization</w:t>
      </w:r>
    </w:p>
    <w:p w:rsidR="00B37905" w:rsidRPr="00C11C90" w:rsidRDefault="00B37905" w:rsidP="00B37905">
      <w:r w:rsidRPr="00C11C90">
        <w:t>CSO</w:t>
      </w:r>
      <w:r w:rsidRPr="00C11C90">
        <w:tab/>
      </w:r>
      <w:r w:rsidRPr="00C11C90">
        <w:tab/>
      </w:r>
      <w:r w:rsidRPr="00C11C90">
        <w:tab/>
        <w:t>Civil society organization</w:t>
      </w:r>
    </w:p>
    <w:p w:rsidR="00B37905" w:rsidRPr="00C11C90" w:rsidRDefault="00B37905" w:rsidP="00B37905">
      <w:r w:rsidRPr="00C11C90">
        <w:t>EDP</w:t>
      </w:r>
      <w:r w:rsidRPr="00C11C90">
        <w:tab/>
      </w:r>
      <w:r w:rsidRPr="00C11C90">
        <w:tab/>
      </w:r>
      <w:r w:rsidRPr="00C11C90">
        <w:tab/>
        <w:t>Executive Development Program</w:t>
      </w:r>
    </w:p>
    <w:p w:rsidR="00B37905" w:rsidRPr="00C11C90" w:rsidRDefault="00B37905" w:rsidP="00B37905">
      <w:proofErr w:type="spellStart"/>
      <w:r w:rsidRPr="00C11C90">
        <w:t>CoE</w:t>
      </w:r>
      <w:proofErr w:type="spellEnd"/>
      <w:r w:rsidRPr="00C11C90">
        <w:tab/>
      </w:r>
      <w:r w:rsidRPr="00C11C90">
        <w:tab/>
      </w:r>
      <w:r w:rsidRPr="00C11C90">
        <w:tab/>
      </w:r>
      <w:r w:rsidRPr="00C11C90">
        <w:rPr>
          <w:rFonts w:eastAsia="Times New Roman"/>
          <w:color w:val="000000"/>
        </w:rPr>
        <w:t xml:space="preserve">Center of Excellence </w:t>
      </w:r>
      <w:r w:rsidRPr="00C11C90">
        <w:t xml:space="preserve"> </w:t>
      </w:r>
    </w:p>
    <w:p w:rsidR="00B37905" w:rsidRPr="00C11C90" w:rsidRDefault="00B37905" w:rsidP="00B37905">
      <w:r w:rsidRPr="00C11C90">
        <w:t>IT</w:t>
      </w:r>
      <w:r w:rsidRPr="00C11C90">
        <w:tab/>
      </w:r>
      <w:r w:rsidRPr="00C11C90">
        <w:tab/>
      </w:r>
      <w:r w:rsidRPr="00C11C90">
        <w:tab/>
        <w:t>Information technology</w:t>
      </w:r>
    </w:p>
    <w:p w:rsidR="00934FDF" w:rsidRDefault="00B37905" w:rsidP="00B37905">
      <w:pPr>
        <w:rPr>
          <w:b/>
          <w:caps/>
          <w:color w:val="0070C0"/>
        </w:rPr>
      </w:pPr>
      <w:r w:rsidRPr="00C11C90">
        <w:t>SEIP</w:t>
      </w:r>
      <w:r w:rsidRPr="00C11C90">
        <w:tab/>
      </w:r>
      <w:r w:rsidRPr="00C11C90">
        <w:tab/>
      </w:r>
      <w:r w:rsidRPr="00C11C90">
        <w:tab/>
        <w:t>Skills for Employment Investment Program</w:t>
      </w:r>
    </w:p>
    <w:p w:rsidR="00A00187" w:rsidRDefault="00A00187" w:rsidP="00C8306E">
      <w:pPr>
        <w:rPr>
          <w:b/>
          <w:caps/>
          <w:color w:val="0070C0"/>
        </w:rPr>
        <w:sectPr w:rsidR="00A00187" w:rsidSect="00DE7A33">
          <w:pgSz w:w="12240" w:h="15840"/>
          <w:pgMar w:top="1440" w:right="1440" w:bottom="1440" w:left="1440" w:header="720" w:footer="720" w:gutter="0"/>
          <w:cols w:space="720"/>
          <w:titlePg/>
          <w:docGrid w:linePitch="360"/>
        </w:sectPr>
      </w:pPr>
    </w:p>
    <w:p w:rsidR="00C51EDF" w:rsidRDefault="00C51EDF" w:rsidP="00C51EDF">
      <w:pPr>
        <w:spacing w:after="0" w:line="276" w:lineRule="auto"/>
        <w:contextualSpacing/>
        <w:rPr>
          <w:b/>
        </w:rPr>
      </w:pPr>
      <w:r>
        <w:rPr>
          <w:b/>
          <w:caps/>
          <w:color w:val="0070C0"/>
        </w:rPr>
        <w:lastRenderedPageBreak/>
        <w:t>attachment</w:t>
      </w:r>
      <w:r w:rsidRPr="00C51EDF">
        <w:rPr>
          <w:b/>
        </w:rPr>
        <w:t xml:space="preserve"> </w:t>
      </w:r>
      <w:r>
        <w:rPr>
          <w:b/>
        </w:rPr>
        <w:t xml:space="preserve">                      Development indicators, benchmark, milestones and 2041 targets and strategies</w:t>
      </w:r>
    </w:p>
    <w:tbl>
      <w:tblPr>
        <w:tblStyle w:val="TableGrid"/>
        <w:tblW w:w="13288" w:type="dxa"/>
        <w:tblLook w:val="04A0" w:firstRow="1" w:lastRow="0" w:firstColumn="1" w:lastColumn="0" w:noHBand="0" w:noVBand="1"/>
      </w:tblPr>
      <w:tblGrid>
        <w:gridCol w:w="1903"/>
        <w:gridCol w:w="1748"/>
        <w:gridCol w:w="1865"/>
        <w:gridCol w:w="1589"/>
        <w:gridCol w:w="2136"/>
        <w:gridCol w:w="1752"/>
        <w:gridCol w:w="2295"/>
      </w:tblGrid>
      <w:tr w:rsidR="00C51EDF" w:rsidTr="00A9053C">
        <w:trPr>
          <w:tblHeader/>
        </w:trPr>
        <w:tc>
          <w:tcPr>
            <w:tcW w:w="1903" w:type="dxa"/>
            <w:vMerge w:val="restart"/>
            <w:tcBorders>
              <w:top w:val="single" w:sz="4" w:space="0" w:color="auto"/>
              <w:left w:val="single" w:sz="4" w:space="0" w:color="auto"/>
              <w:bottom w:val="single" w:sz="4" w:space="0" w:color="auto"/>
              <w:right w:val="single" w:sz="4" w:space="0" w:color="auto"/>
            </w:tcBorders>
            <w:vAlign w:val="center"/>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Topic/challenges</w:t>
            </w:r>
          </w:p>
        </w:tc>
        <w:tc>
          <w:tcPr>
            <w:tcW w:w="1748" w:type="dxa"/>
            <w:vMerge w:val="restart"/>
            <w:tcBorders>
              <w:top w:val="single" w:sz="4" w:space="0" w:color="auto"/>
              <w:left w:val="single" w:sz="4" w:space="0" w:color="auto"/>
              <w:bottom w:val="single" w:sz="4" w:space="0" w:color="auto"/>
              <w:right w:val="single" w:sz="4" w:space="0" w:color="auto"/>
            </w:tcBorders>
            <w:vAlign w:val="center"/>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Indicator</w:t>
            </w:r>
          </w:p>
        </w:tc>
        <w:tc>
          <w:tcPr>
            <w:tcW w:w="1865" w:type="dxa"/>
            <w:vMerge w:val="restart"/>
            <w:tcBorders>
              <w:top w:val="single" w:sz="4" w:space="0" w:color="auto"/>
              <w:left w:val="single" w:sz="4" w:space="0" w:color="auto"/>
              <w:bottom w:val="single" w:sz="4" w:space="0" w:color="auto"/>
              <w:right w:val="single" w:sz="4" w:space="0" w:color="auto"/>
            </w:tcBorders>
            <w:vAlign w:val="center"/>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Benchmark 2017</w:t>
            </w:r>
          </w:p>
        </w:tc>
        <w:tc>
          <w:tcPr>
            <w:tcW w:w="3725" w:type="dxa"/>
            <w:gridSpan w:val="2"/>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 xml:space="preserve">Milestones </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Targets</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Strategies</w:t>
            </w:r>
          </w:p>
        </w:tc>
      </w:tr>
      <w:tr w:rsidR="00C51EDF" w:rsidTr="00A9053C">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1EDF" w:rsidRPr="00CB2D86" w:rsidRDefault="00C51EDF" w:rsidP="00A9053C">
            <w:pPr>
              <w:rPr>
                <w:rFonts w:ascii="Times New Roman" w:hAnsi="Times New Roman" w:cs="Times New Roman"/>
                <w:b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1EDF" w:rsidRPr="00CB2D86" w:rsidRDefault="00C51EDF" w:rsidP="00A9053C">
            <w:pPr>
              <w:rPr>
                <w:rFonts w:ascii="Times New Roman" w:hAnsi="Times New Roman" w:cs="Times New Roman"/>
                <w:b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1EDF" w:rsidRPr="00CB2D86" w:rsidRDefault="00C51EDF" w:rsidP="00A9053C">
            <w:pP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2021</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2030</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2041</w:t>
            </w:r>
          </w:p>
        </w:tc>
        <w:tc>
          <w:tcPr>
            <w:tcW w:w="2295"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rFonts w:ascii="Times New Roman" w:hAnsi="Times New Roman" w:cs="Times New Roman"/>
                <w:b w:val="0"/>
                <w:sz w:val="18"/>
                <w:szCs w:val="18"/>
              </w:rPr>
            </w:pPr>
          </w:p>
        </w:tc>
      </w:tr>
      <w:tr w:rsidR="00C51EDF" w:rsidTr="00A9053C">
        <w:tc>
          <w:tcPr>
            <w:tcW w:w="1903"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sz w:val="18"/>
                <w:szCs w:val="18"/>
              </w:rPr>
            </w:pPr>
            <w:r>
              <w:rPr>
                <w:sz w:val="18"/>
                <w:szCs w:val="18"/>
              </w:rPr>
              <w:t>Vision</w:t>
            </w:r>
          </w:p>
        </w:tc>
        <w:tc>
          <w:tcPr>
            <w:tcW w:w="11385" w:type="dxa"/>
            <w:gridSpan w:val="6"/>
            <w:tcBorders>
              <w:top w:val="single" w:sz="4" w:space="0" w:color="auto"/>
              <w:left w:val="single" w:sz="4" w:space="0" w:color="auto"/>
              <w:bottom w:val="single" w:sz="4" w:space="0" w:color="auto"/>
              <w:right w:val="single" w:sz="4" w:space="0" w:color="auto"/>
            </w:tcBorders>
          </w:tcPr>
          <w:p w:rsidR="00C51EDF" w:rsidRDefault="00C51EDF" w:rsidP="00A9053C">
            <w:pPr>
              <w:pStyle w:val="ListParagraph"/>
              <w:tabs>
                <w:tab w:val="left" w:pos="156"/>
              </w:tabs>
              <w:spacing w:line="276" w:lineRule="auto"/>
              <w:ind w:left="-29"/>
              <w:rPr>
                <w:rFonts w:ascii="Times New Roman" w:hAnsi="Times New Roman" w:cs="Times New Roman"/>
                <w:sz w:val="18"/>
                <w:szCs w:val="18"/>
              </w:rPr>
            </w:pPr>
            <w:r>
              <w:rPr>
                <w:rFonts w:ascii="Times New Roman" w:hAnsi="Times New Roman" w:cs="Times New Roman"/>
                <w:sz w:val="18"/>
                <w:szCs w:val="18"/>
              </w:rPr>
              <w:t>Bangladesh a developed country by 2014 with per capita income of $12,500 in today’s prices</w:t>
            </w:r>
          </w:p>
          <w:p w:rsidR="00C51EDF" w:rsidRPr="00CB2D86" w:rsidRDefault="00C51EDF" w:rsidP="00A9053C">
            <w:pPr>
              <w:pStyle w:val="ListParagraph"/>
              <w:tabs>
                <w:tab w:val="left" w:pos="156"/>
              </w:tabs>
              <w:spacing w:line="276" w:lineRule="auto"/>
              <w:ind w:left="-29"/>
              <w:rPr>
                <w:rFonts w:ascii="Times New Roman" w:hAnsi="Times New Roman" w:cs="Times New Roman"/>
                <w:b w:val="0"/>
                <w:sz w:val="18"/>
                <w:szCs w:val="18"/>
              </w:rPr>
            </w:pPr>
            <w:r>
              <w:rPr>
                <w:rFonts w:ascii="Times New Roman" w:hAnsi="Times New Roman" w:cs="Times New Roman"/>
                <w:sz w:val="18"/>
                <w:szCs w:val="18"/>
              </w:rPr>
              <w:t>There will be no hungry stomach ever in Sonar Bangla</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sz w:val="18"/>
                <w:szCs w:val="18"/>
              </w:rPr>
              <w:t>Planning</w:t>
            </w:r>
            <w:r w:rsidRPr="00CB2D86">
              <w:rPr>
                <w:rFonts w:ascii="Times New Roman" w:hAnsi="Times New Roman" w:cs="Times New Roman"/>
                <w:b w:val="0"/>
                <w:sz w:val="18"/>
                <w:szCs w:val="18"/>
              </w:rPr>
              <w:t xml:space="preserve"> -</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 xml:space="preserve">Plans are paper products with realization lagging far behind targets. Two major challenges are synchronization with the medium-term expenditure framework and the annual budget, especially in fiscal projection and project/program implementation capacity. Planning capacity is overtaxed between tasks of strategy formulation and policy development and detailed project review for approval. </w:t>
            </w:r>
          </w:p>
        </w:tc>
        <w:tc>
          <w:tcPr>
            <w:tcW w:w="1748"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Plan target achievement (%)</w:t>
            </w:r>
          </w:p>
        </w:tc>
        <w:tc>
          <w:tcPr>
            <w:tcW w:w="186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Indifferent – 50 to 60 % realization</w:t>
            </w: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7</w:t>
            </w:r>
            <w:r w:rsidRPr="00CB2D86">
              <w:rPr>
                <w:rFonts w:ascii="Times New Roman" w:hAnsi="Times New Roman" w:cs="Times New Roman"/>
                <w:b w:val="0"/>
                <w:sz w:val="18"/>
                <w:szCs w:val="18"/>
              </w:rPr>
              <w:t>0%</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8</w:t>
            </w:r>
            <w:r w:rsidRPr="00CB2D86">
              <w:rPr>
                <w:rFonts w:ascii="Times New Roman" w:hAnsi="Times New Roman" w:cs="Times New Roman"/>
                <w:b w:val="0"/>
                <w:sz w:val="18"/>
                <w:szCs w:val="18"/>
              </w:rPr>
              <w:t>0%-</w:t>
            </w:r>
            <w:r>
              <w:rPr>
                <w:rFonts w:ascii="Times New Roman" w:hAnsi="Times New Roman" w:cs="Times New Roman"/>
                <w:b w:val="0"/>
                <w:sz w:val="18"/>
                <w:szCs w:val="18"/>
              </w:rPr>
              <w:t>9</w:t>
            </w:r>
            <w:r w:rsidRPr="00CB2D86">
              <w:rPr>
                <w:rFonts w:ascii="Times New Roman" w:hAnsi="Times New Roman" w:cs="Times New Roman"/>
                <w:b w:val="0"/>
                <w:sz w:val="18"/>
                <w:szCs w:val="18"/>
              </w:rPr>
              <w:t>0%</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90%-100%</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55"/>
              </w:numPr>
              <w:tabs>
                <w:tab w:val="left" w:pos="156"/>
              </w:tabs>
              <w:spacing w:line="276" w:lineRule="auto"/>
              <w:ind w:left="-43" w:firstLine="0"/>
              <w:rPr>
                <w:rFonts w:ascii="Times New Roman" w:hAnsi="Times New Roman" w:cs="Times New Roman"/>
                <w:b w:val="0"/>
                <w:sz w:val="18"/>
                <w:szCs w:val="18"/>
              </w:rPr>
            </w:pPr>
            <w:r w:rsidRPr="00CB2D86">
              <w:rPr>
                <w:rFonts w:ascii="Times New Roman" w:hAnsi="Times New Roman" w:cs="Times New Roman"/>
                <w:b w:val="0"/>
                <w:sz w:val="18"/>
                <w:szCs w:val="18"/>
              </w:rPr>
              <w:t>Improve coordination with the Ministry of Finance</w:t>
            </w:r>
          </w:p>
          <w:p w:rsidR="00C51EDF" w:rsidRPr="00CB2D86" w:rsidRDefault="00C51EDF" w:rsidP="00A9053C">
            <w:pPr>
              <w:pStyle w:val="ListParagraph"/>
              <w:numPr>
                <w:ilvl w:val="0"/>
                <w:numId w:val="55"/>
              </w:numPr>
              <w:tabs>
                <w:tab w:val="left" w:pos="156"/>
              </w:tabs>
              <w:spacing w:line="276" w:lineRule="auto"/>
              <w:ind w:left="-29" w:firstLine="0"/>
              <w:rPr>
                <w:rFonts w:ascii="Times New Roman" w:hAnsi="Times New Roman" w:cs="Times New Roman"/>
                <w:b w:val="0"/>
                <w:sz w:val="18"/>
                <w:szCs w:val="18"/>
              </w:rPr>
            </w:pPr>
            <w:r w:rsidRPr="00CB2D86">
              <w:rPr>
                <w:rFonts w:ascii="Times New Roman" w:hAnsi="Times New Roman" w:cs="Times New Roman"/>
                <w:b w:val="0"/>
                <w:sz w:val="18"/>
                <w:szCs w:val="18"/>
              </w:rPr>
              <w:t>Focus primarily on medium to longer-term strategy formulation</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sz w:val="18"/>
                <w:szCs w:val="18"/>
              </w:rPr>
              <w:t>Governance</w:t>
            </w:r>
            <w:r w:rsidRPr="00CB2D86">
              <w:rPr>
                <w:rFonts w:ascii="Times New Roman" w:hAnsi="Times New Roman" w:cs="Times New Roman"/>
                <w:b w:val="0"/>
                <w:sz w:val="18"/>
                <w:szCs w:val="18"/>
              </w:rPr>
              <w:t xml:space="preserve"> - </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Challenges to address (Alamgir 2015) are lacking strength, competency, effectiveness, transparency and accountability and struggling with the serious consequences of corruption</w:t>
            </w:r>
          </w:p>
        </w:tc>
        <w:tc>
          <w:tcPr>
            <w:tcW w:w="1748"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World Bank governance effectiveness score 2015</w:t>
            </w:r>
          </w:p>
        </w:tc>
        <w:tc>
          <w:tcPr>
            <w:tcW w:w="186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-0.73</w:t>
            </w: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-0.50</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1.00</w:t>
            </w:r>
          </w:p>
        </w:tc>
        <w:tc>
          <w:tcPr>
            <w:tcW w:w="1752"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1.50</w:t>
            </w: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(among developed country group)</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17"/>
              </w:numPr>
              <w:tabs>
                <w:tab w:val="left" w:pos="120"/>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Adhere to seven key principles of governance applied to 8 institutions of governance </w:t>
            </w:r>
            <w:r w:rsidRPr="00E849A6">
              <w:rPr>
                <w:rFonts w:ascii="Times New Roman" w:hAnsi="Times New Roman" w:cs="Times New Roman"/>
                <w:b w:val="0"/>
                <w:color w:val="000000" w:themeColor="text1"/>
                <w:sz w:val="18"/>
                <w:szCs w:val="18"/>
              </w:rPr>
              <w:t xml:space="preserve">(Figure </w:t>
            </w:r>
            <w:r w:rsidR="00E849A6">
              <w:rPr>
                <w:rFonts w:ascii="Times New Roman" w:hAnsi="Times New Roman" w:cs="Times New Roman"/>
                <w:b w:val="0"/>
                <w:color w:val="000000" w:themeColor="text1"/>
                <w:sz w:val="18"/>
                <w:szCs w:val="18"/>
              </w:rPr>
              <w:t>4</w:t>
            </w:r>
            <w:r w:rsidRPr="00E849A6">
              <w:rPr>
                <w:rFonts w:ascii="Times New Roman" w:hAnsi="Times New Roman" w:cs="Times New Roman"/>
                <w:b w:val="0"/>
                <w:color w:val="000000" w:themeColor="text1"/>
                <w:sz w:val="18"/>
                <w:szCs w:val="18"/>
              </w:rPr>
              <w:t xml:space="preserve">) </w:t>
            </w:r>
          </w:p>
          <w:p w:rsidR="00C51EDF" w:rsidRPr="00CB2D86" w:rsidRDefault="00C51EDF" w:rsidP="00A9053C">
            <w:pPr>
              <w:pStyle w:val="ListParagraph"/>
              <w:numPr>
                <w:ilvl w:val="0"/>
                <w:numId w:val="17"/>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Undertake civil service reform for effective administration</w:t>
            </w:r>
          </w:p>
          <w:p w:rsidR="00C51EDF" w:rsidRPr="00CB2D86" w:rsidRDefault="00C51EDF" w:rsidP="00A9053C">
            <w:pPr>
              <w:pStyle w:val="ListParagraph"/>
              <w:numPr>
                <w:ilvl w:val="0"/>
                <w:numId w:val="17"/>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Implement public financial management reform for accountability by </w:t>
            </w:r>
            <w:r w:rsidRPr="00CB2D86">
              <w:rPr>
                <w:rFonts w:ascii="Times New Roman" w:hAnsi="Times New Roman" w:cs="Times New Roman"/>
                <w:b w:val="0"/>
                <w:sz w:val="18"/>
                <w:szCs w:val="18"/>
              </w:rPr>
              <w:lastRenderedPageBreak/>
              <w:t>strengthening core governance institutions</w:t>
            </w:r>
          </w:p>
          <w:p w:rsidR="00C51EDF" w:rsidRPr="00CB2D86" w:rsidRDefault="00C51EDF" w:rsidP="00A9053C">
            <w:pPr>
              <w:pStyle w:val="ListParagraph"/>
              <w:numPr>
                <w:ilvl w:val="0"/>
                <w:numId w:val="17"/>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Implement the Right to Information Act for transparency</w:t>
            </w:r>
          </w:p>
          <w:p w:rsidR="00C51EDF" w:rsidRPr="00CB2D86" w:rsidRDefault="00C51EDF" w:rsidP="00A9053C">
            <w:pPr>
              <w:pStyle w:val="ListParagraph"/>
              <w:numPr>
                <w:ilvl w:val="0"/>
                <w:numId w:val="17"/>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Strengthen ACC For anti-corruption measures </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sz w:val="18"/>
                <w:szCs w:val="18"/>
              </w:rPr>
              <w:lastRenderedPageBreak/>
              <w:t>Finance</w:t>
            </w:r>
            <w:r w:rsidRPr="00CB2D86">
              <w:rPr>
                <w:rFonts w:ascii="Times New Roman" w:hAnsi="Times New Roman" w:cs="Times New Roman"/>
                <w:b w:val="0"/>
                <w:sz w:val="18"/>
                <w:szCs w:val="18"/>
              </w:rPr>
              <w:t xml:space="preserve"> – </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color w:val="000000" w:themeColor="text1"/>
                <w:kern w:val="24"/>
                <w:sz w:val="18"/>
                <w:szCs w:val="18"/>
              </w:rPr>
              <w:t>Domestic resource mobilization inadequate to meet financing needs of a growing economy; financial governance is weak; sub-optimal resource allocation; Foreign Direct Investment (FDI) is anemic; the financial sector is fragmented; and inadequate synergy between monetary and fiscal policy</w:t>
            </w:r>
          </w:p>
        </w:tc>
        <w:tc>
          <w:tcPr>
            <w:tcW w:w="1748"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CPIA economic management cluster average (1=low to 6=high) 2015</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Tax/GDP ratio</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FDI</w:t>
            </w:r>
            <w:r>
              <w:rPr>
                <w:rFonts w:ascii="Times New Roman" w:hAnsi="Times New Roman" w:cs="Times New Roman"/>
                <w:b w:val="0"/>
                <w:sz w:val="18"/>
                <w:szCs w:val="18"/>
              </w:rPr>
              <w:t>/GDP</w:t>
            </w:r>
          </w:p>
        </w:tc>
        <w:tc>
          <w:tcPr>
            <w:tcW w:w="1865"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3.83</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9.0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3.0</w:t>
            </w:r>
          </w:p>
          <w:p w:rsidR="00C51EDF" w:rsidRPr="00CB2D86" w:rsidRDefault="00C51EDF"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4.00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12.0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6.0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4.50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15.0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20.0</w:t>
            </w:r>
          </w:p>
        </w:tc>
        <w:tc>
          <w:tcPr>
            <w:tcW w:w="1752"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5.00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20.0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40.0</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18"/>
              </w:numPr>
              <w:tabs>
                <w:tab w:val="left" w:pos="72"/>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Harmonize fiscal and monitory policy</w:t>
            </w:r>
          </w:p>
          <w:p w:rsidR="00C51EDF" w:rsidRPr="00CB2D86" w:rsidRDefault="00C51EDF" w:rsidP="00A9053C">
            <w:pPr>
              <w:pStyle w:val="ListParagraph"/>
              <w:numPr>
                <w:ilvl w:val="0"/>
                <w:numId w:val="18"/>
              </w:numPr>
              <w:tabs>
                <w:tab w:val="left" w:pos="72"/>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Make budget growth oriented (Sadiq 2016)</w:t>
            </w:r>
          </w:p>
          <w:p w:rsidR="00C51EDF" w:rsidRPr="00CB2D86" w:rsidRDefault="00C51EDF" w:rsidP="00A9053C">
            <w:pPr>
              <w:pStyle w:val="ListParagraph"/>
              <w:numPr>
                <w:ilvl w:val="0"/>
                <w:numId w:val="18"/>
              </w:numPr>
              <w:tabs>
                <w:tab w:val="left" w:pos="72"/>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Take measures to sustain inflation and interest rate at the level of comparator countries and reduce interest spread</w:t>
            </w:r>
          </w:p>
          <w:p w:rsidR="00C51EDF" w:rsidRPr="00CB2D86" w:rsidRDefault="00C51EDF" w:rsidP="00A9053C">
            <w:pPr>
              <w:pStyle w:val="ListParagraph"/>
              <w:numPr>
                <w:ilvl w:val="0"/>
                <w:numId w:val="18"/>
              </w:numPr>
              <w:tabs>
                <w:tab w:val="left" w:pos="72"/>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Improve access to finance for productive investments by small, medium and large borrowers</w:t>
            </w:r>
          </w:p>
          <w:p w:rsidR="00C51EDF" w:rsidRPr="00CB2D86" w:rsidRDefault="00C51EDF" w:rsidP="00A9053C">
            <w:pPr>
              <w:pStyle w:val="ListParagraph"/>
              <w:numPr>
                <w:ilvl w:val="0"/>
                <w:numId w:val="18"/>
              </w:numPr>
              <w:tabs>
                <w:tab w:val="left" w:pos="72"/>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Improve tax base and tax administration for domestic resource mobilization (establishment of an efficient, equitable and productive tax system with full implementation of the VAT Law required raising tax/GDP ratio)</w:t>
            </w:r>
          </w:p>
          <w:p w:rsidR="00C51EDF" w:rsidRPr="00CB2D86" w:rsidRDefault="00C51EDF" w:rsidP="00A9053C">
            <w:pPr>
              <w:pStyle w:val="ListParagraph"/>
              <w:numPr>
                <w:ilvl w:val="0"/>
                <w:numId w:val="18"/>
              </w:numPr>
              <w:tabs>
                <w:tab w:val="left" w:pos="72"/>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Implement measures for financial market integration</w:t>
            </w:r>
          </w:p>
          <w:p w:rsidR="00C51EDF" w:rsidRPr="00CB2D86" w:rsidRDefault="00C51EDF" w:rsidP="00A9053C">
            <w:pPr>
              <w:pStyle w:val="ListParagraph"/>
              <w:numPr>
                <w:ilvl w:val="0"/>
                <w:numId w:val="18"/>
              </w:numPr>
              <w:tabs>
                <w:tab w:val="left" w:pos="72"/>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Improving financial governance and access to finance especially for SMEs</w:t>
            </w:r>
          </w:p>
          <w:p w:rsidR="00C51EDF" w:rsidRPr="00CB2D86" w:rsidRDefault="00C51EDF" w:rsidP="00A9053C">
            <w:pPr>
              <w:pStyle w:val="ListParagraph"/>
              <w:numPr>
                <w:ilvl w:val="0"/>
                <w:numId w:val="18"/>
              </w:numPr>
              <w:tabs>
                <w:tab w:val="left" w:pos="72"/>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Provide incentives for FDI especially tax incentives for </w:t>
            </w:r>
            <w:r w:rsidRPr="00CB2D86">
              <w:rPr>
                <w:rFonts w:ascii="Times New Roman" w:hAnsi="Times New Roman" w:cs="Times New Roman"/>
                <w:b w:val="0"/>
                <w:sz w:val="18"/>
                <w:szCs w:val="18"/>
              </w:rPr>
              <w:lastRenderedPageBreak/>
              <w:t>non-resident Bangladeshi (NRB) investments</w:t>
            </w:r>
          </w:p>
          <w:p w:rsidR="00C51EDF" w:rsidRPr="00CB2D86" w:rsidRDefault="00C51EDF" w:rsidP="00A9053C">
            <w:pPr>
              <w:pStyle w:val="ListParagraph"/>
              <w:numPr>
                <w:ilvl w:val="0"/>
                <w:numId w:val="18"/>
              </w:numPr>
              <w:tabs>
                <w:tab w:val="left" w:pos="72"/>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Take steps for capital market development with built in regulation and stabilizers including streamlined corporate governance</w:t>
            </w:r>
          </w:p>
          <w:p w:rsidR="00C51EDF" w:rsidRPr="00CB2D86" w:rsidRDefault="00C51EDF" w:rsidP="00A9053C">
            <w:pPr>
              <w:pStyle w:val="ListParagraph"/>
              <w:numPr>
                <w:ilvl w:val="0"/>
                <w:numId w:val="18"/>
              </w:numPr>
              <w:tabs>
                <w:tab w:val="left" w:pos="72"/>
                <w:tab w:val="left" w:pos="126"/>
                <w:tab w:val="left" w:pos="21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Keep public domestic borrowing under control (Sadiq 2016)</w:t>
            </w:r>
          </w:p>
          <w:p w:rsidR="00C51EDF" w:rsidRPr="00CB2D86" w:rsidRDefault="00C51EDF" w:rsidP="00A9053C">
            <w:pPr>
              <w:pStyle w:val="ListParagraph"/>
              <w:numPr>
                <w:ilvl w:val="0"/>
                <w:numId w:val="18"/>
              </w:numPr>
              <w:tabs>
                <w:tab w:val="left" w:pos="72"/>
                <w:tab w:val="left" w:pos="126"/>
                <w:tab w:val="left" w:pos="228"/>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Reform public enterprises sand eliminate loss making units </w:t>
            </w:r>
          </w:p>
          <w:p w:rsidR="00C51EDF" w:rsidRPr="00CB2D86" w:rsidRDefault="00C51EDF" w:rsidP="00A9053C">
            <w:pPr>
              <w:pStyle w:val="ListParagraph"/>
              <w:numPr>
                <w:ilvl w:val="0"/>
                <w:numId w:val="18"/>
              </w:numPr>
              <w:tabs>
                <w:tab w:val="left" w:pos="72"/>
                <w:tab w:val="left" w:pos="126"/>
                <w:tab w:val="left" w:pos="228"/>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Make microfinance financially competitive and adherent to prudential norms as directed by the Microfinance Regulatory Authority (MRA)</w:t>
            </w:r>
          </w:p>
          <w:p w:rsidR="00C51EDF" w:rsidRPr="00CB2D86" w:rsidRDefault="00C51EDF" w:rsidP="00A9053C">
            <w:pPr>
              <w:pStyle w:val="ListParagraph"/>
              <w:numPr>
                <w:ilvl w:val="0"/>
                <w:numId w:val="18"/>
              </w:numPr>
              <w:tabs>
                <w:tab w:val="left" w:pos="72"/>
                <w:tab w:val="left" w:pos="126"/>
                <w:tab w:val="left" w:pos="252"/>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Pursue financial inclusion and stability</w:t>
            </w:r>
          </w:p>
          <w:p w:rsidR="00C51EDF" w:rsidRPr="00CB2D86" w:rsidRDefault="00C51EDF" w:rsidP="00A9053C">
            <w:pPr>
              <w:pStyle w:val="ListParagraph"/>
              <w:numPr>
                <w:ilvl w:val="0"/>
                <w:numId w:val="18"/>
              </w:numPr>
              <w:tabs>
                <w:tab w:val="left" w:pos="72"/>
                <w:tab w:val="left" w:pos="228"/>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Continue investments in e-finance</w:t>
            </w:r>
          </w:p>
          <w:p w:rsidR="00C51EDF" w:rsidRPr="00CB2D86" w:rsidRDefault="00C51EDF" w:rsidP="00A9053C">
            <w:pPr>
              <w:pStyle w:val="ListParagraph"/>
              <w:numPr>
                <w:ilvl w:val="0"/>
                <w:numId w:val="18"/>
              </w:numPr>
              <w:tabs>
                <w:tab w:val="left" w:pos="72"/>
                <w:tab w:val="left" w:pos="228"/>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Minimize political interference in banking operations</w:t>
            </w:r>
          </w:p>
          <w:p w:rsidR="00C51EDF" w:rsidRPr="00CB2D86" w:rsidRDefault="00C51EDF" w:rsidP="00A9053C">
            <w:pPr>
              <w:pStyle w:val="ListParagraph"/>
              <w:numPr>
                <w:ilvl w:val="0"/>
                <w:numId w:val="18"/>
              </w:numPr>
              <w:tabs>
                <w:tab w:val="left" w:pos="72"/>
                <w:tab w:val="left" w:pos="21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Pay attention to the quality of people in banking</w:t>
            </w:r>
          </w:p>
          <w:p w:rsidR="00C51EDF" w:rsidRPr="00CB2D86" w:rsidRDefault="00C51EDF" w:rsidP="00A9053C">
            <w:pPr>
              <w:pStyle w:val="ListParagraph"/>
              <w:numPr>
                <w:ilvl w:val="0"/>
                <w:numId w:val="18"/>
              </w:numPr>
              <w:tabs>
                <w:tab w:val="left" w:pos="72"/>
                <w:tab w:val="left" w:pos="27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Reduce the number of public banks</w:t>
            </w:r>
          </w:p>
          <w:p w:rsidR="00C51EDF" w:rsidRPr="00CB2D86" w:rsidRDefault="00C51EDF" w:rsidP="00A9053C">
            <w:pPr>
              <w:pStyle w:val="ListParagraph"/>
              <w:numPr>
                <w:ilvl w:val="0"/>
                <w:numId w:val="18"/>
              </w:numPr>
              <w:tabs>
                <w:tab w:val="left" w:pos="72"/>
                <w:tab w:val="left" w:pos="228"/>
              </w:tabs>
              <w:spacing w:line="276" w:lineRule="auto"/>
              <w:ind w:left="-58" w:firstLine="0"/>
              <w:rPr>
                <w:rFonts w:ascii="Times New Roman" w:hAnsi="Times New Roman" w:cs="Times New Roman"/>
                <w:b w:val="0"/>
                <w:sz w:val="18"/>
                <w:szCs w:val="18"/>
              </w:rPr>
            </w:pPr>
            <w:r w:rsidRPr="00CB2D86">
              <w:rPr>
                <w:rFonts w:ascii="Times New Roman" w:eastAsia="Times New Roman" w:hAnsi="Times New Roman" w:cs="Times New Roman"/>
                <w:b w:val="0"/>
                <w:color w:val="000000"/>
                <w:sz w:val="18"/>
                <w:szCs w:val="18"/>
              </w:rPr>
              <w:t>Set up a finance and banking reforms commission to determine a roadmap for reforms in financial and banking management</w:t>
            </w:r>
          </w:p>
          <w:p w:rsidR="00C51EDF" w:rsidRPr="00CB2D86" w:rsidRDefault="00C51EDF" w:rsidP="00A9053C">
            <w:pPr>
              <w:pStyle w:val="ListParagraph"/>
              <w:numPr>
                <w:ilvl w:val="0"/>
                <w:numId w:val="18"/>
              </w:numPr>
              <w:tabs>
                <w:tab w:val="left" w:pos="72"/>
                <w:tab w:val="left" w:pos="216"/>
              </w:tabs>
              <w:spacing w:line="276" w:lineRule="auto"/>
              <w:ind w:left="-58" w:firstLine="0"/>
              <w:rPr>
                <w:rFonts w:ascii="Times New Roman" w:hAnsi="Times New Roman" w:cs="Times New Roman"/>
                <w:b w:val="0"/>
                <w:sz w:val="18"/>
                <w:szCs w:val="18"/>
              </w:rPr>
            </w:pPr>
            <w:r w:rsidRPr="00CB2D86">
              <w:rPr>
                <w:rFonts w:ascii="Times New Roman" w:eastAsia="Times New Roman" w:hAnsi="Times New Roman" w:cs="Times New Roman"/>
                <w:b w:val="0"/>
                <w:color w:val="000000"/>
                <w:sz w:val="18"/>
                <w:szCs w:val="18"/>
              </w:rPr>
              <w:lastRenderedPageBreak/>
              <w:t>Enhance Bangladesh Bank's capacity for bank supervision and keep it under continuous review</w:t>
            </w:r>
          </w:p>
          <w:p w:rsidR="00C51EDF" w:rsidRPr="00CB2D86" w:rsidRDefault="00C51EDF" w:rsidP="00A9053C">
            <w:pPr>
              <w:pStyle w:val="ListParagraph"/>
              <w:numPr>
                <w:ilvl w:val="0"/>
                <w:numId w:val="18"/>
              </w:numPr>
              <w:tabs>
                <w:tab w:val="left" w:pos="72"/>
                <w:tab w:val="left" w:pos="216"/>
              </w:tabs>
              <w:spacing w:line="276" w:lineRule="auto"/>
              <w:ind w:left="-58" w:firstLine="0"/>
              <w:rPr>
                <w:rFonts w:ascii="Times New Roman" w:hAnsi="Times New Roman" w:cs="Times New Roman"/>
                <w:b w:val="0"/>
                <w:sz w:val="18"/>
                <w:szCs w:val="18"/>
              </w:rPr>
            </w:pPr>
            <w:r w:rsidRPr="00CB2D86">
              <w:rPr>
                <w:rFonts w:ascii="Times New Roman" w:eastAsia="Times New Roman" w:hAnsi="Times New Roman" w:cs="Times New Roman"/>
                <w:b w:val="0"/>
                <w:color w:val="000000"/>
                <w:sz w:val="18"/>
                <w:szCs w:val="18"/>
              </w:rPr>
              <w:t>Enhance independence and strengthen three institutions to deal with efficiency and corruption in banking in Bangladesh: The Bangladesh Bank, the Anti- Corruption Commission and the Office of the Comptroller and Auditor General</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sz w:val="18"/>
                <w:szCs w:val="18"/>
              </w:rPr>
              <w:lastRenderedPageBreak/>
              <w:t>Democratization</w:t>
            </w:r>
            <w:r w:rsidRPr="00CB2D86">
              <w:rPr>
                <w:rFonts w:ascii="Times New Roman" w:hAnsi="Times New Roman" w:cs="Times New Roman"/>
                <w:b w:val="0"/>
                <w:sz w:val="18"/>
                <w:szCs w:val="18"/>
              </w:rPr>
              <w:t xml:space="preserve"> </w:t>
            </w:r>
            <w:r w:rsidRPr="00CB2D86">
              <w:rPr>
                <w:rFonts w:ascii="Times New Roman" w:hAnsi="Times New Roman" w:cs="Times New Roman"/>
                <w:b w:val="0"/>
                <w:sz w:val="18"/>
                <w:szCs w:val="18"/>
              </w:rPr>
              <w:softHyphen/>
              <w:t xml:space="preserve">– </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The challenge how to move from hybrid democracy to pluralistic full democracy</w:t>
            </w:r>
          </w:p>
        </w:tc>
        <w:tc>
          <w:tcPr>
            <w:tcW w:w="1748"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The Economist Democracy Index Score</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(0 – 10 scale)</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Election (A –Periodic and timely election at all levels including political party; B – Periodic and timely election at national level but indifferent at other levels; C – Periodic and/or interrupted or controversial national election and indifferent at other levels)</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Freedom (political and civil) score</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lastRenderedPageBreak/>
              <w:t>Economic and social rights (Is right to education and property protected?)</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Civil and political participation (Is there equal freedom of assembly and participation in political life?)</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Political parties (Are all political parties allowed to form and participate in electoral process)</w:t>
            </w:r>
          </w:p>
        </w:tc>
        <w:tc>
          <w:tcPr>
            <w:tcW w:w="1865"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5.73</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C</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457E3" w:rsidRDefault="00C457E3" w:rsidP="00A9053C">
            <w:pPr>
              <w:spacing w:line="276" w:lineRule="auto"/>
              <w:contextualSpacing/>
              <w:jc w:val="center"/>
              <w:rPr>
                <w:rFonts w:ascii="Times New Roman" w:hAnsi="Times New Roman" w:cs="Times New Roman"/>
                <w:b w:val="0"/>
                <w:sz w:val="18"/>
                <w:szCs w:val="18"/>
              </w:rPr>
            </w:pPr>
          </w:p>
          <w:p w:rsidR="00C457E3" w:rsidRPr="00CB2D86"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47</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lastRenderedPageBreak/>
              <w:t>Partially</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Partially</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457E3" w:rsidRPr="00CB2D86"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Partially</w:t>
            </w:r>
          </w:p>
        </w:tc>
        <w:tc>
          <w:tcPr>
            <w:tcW w:w="1589"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6.5</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B</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457E3" w:rsidRDefault="00C457E3" w:rsidP="00A9053C">
            <w:pPr>
              <w:spacing w:line="276" w:lineRule="auto"/>
              <w:contextualSpacing/>
              <w:jc w:val="center"/>
              <w:rPr>
                <w:rFonts w:ascii="Times New Roman" w:hAnsi="Times New Roman" w:cs="Times New Roman"/>
                <w:b w:val="0"/>
                <w:sz w:val="18"/>
                <w:szCs w:val="18"/>
              </w:rPr>
            </w:pPr>
          </w:p>
          <w:p w:rsidR="00C457E3" w:rsidRPr="00CB2D86"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55</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lastRenderedPageBreak/>
              <w:t>Partially+</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Partially+</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457E3" w:rsidRPr="00CB2D86"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Partially+</w:t>
            </w:r>
          </w:p>
        </w:tc>
        <w:tc>
          <w:tcPr>
            <w:tcW w:w="2136"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7.5</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A</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457E3" w:rsidRDefault="00C457E3" w:rsidP="00A9053C">
            <w:pPr>
              <w:spacing w:line="276" w:lineRule="auto"/>
              <w:contextualSpacing/>
              <w:jc w:val="center"/>
              <w:rPr>
                <w:rFonts w:ascii="Times New Roman" w:hAnsi="Times New Roman" w:cs="Times New Roman"/>
                <w:b w:val="0"/>
                <w:sz w:val="18"/>
                <w:szCs w:val="18"/>
              </w:rPr>
            </w:pPr>
          </w:p>
          <w:p w:rsidR="00C457E3" w:rsidRPr="00CB2D86"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65</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lastRenderedPageBreak/>
              <w:t>Fully</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Fully</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457E3" w:rsidRPr="00CB2D86"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Fully</w:t>
            </w:r>
          </w:p>
        </w:tc>
        <w:tc>
          <w:tcPr>
            <w:tcW w:w="1752"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8.5</w:t>
            </w: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(among developed country group)</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A</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457E3" w:rsidRDefault="00C457E3" w:rsidP="00A9053C">
            <w:pPr>
              <w:spacing w:line="276" w:lineRule="auto"/>
              <w:contextualSpacing/>
              <w:jc w:val="center"/>
              <w:rPr>
                <w:rFonts w:ascii="Times New Roman" w:hAnsi="Times New Roman" w:cs="Times New Roman"/>
                <w:b w:val="0"/>
                <w:sz w:val="18"/>
                <w:szCs w:val="18"/>
              </w:rPr>
            </w:pPr>
          </w:p>
          <w:p w:rsidR="00C457E3" w:rsidRPr="00CB2D86"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80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lastRenderedPageBreak/>
              <w:t>Fully</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Fully</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457E3" w:rsidRPr="00CB2D86"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Fully</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19"/>
              </w:numPr>
              <w:spacing w:line="276" w:lineRule="auto"/>
              <w:ind w:left="129" w:hanging="187"/>
              <w:rPr>
                <w:rFonts w:ascii="Times New Roman" w:hAnsi="Times New Roman" w:cs="Times New Roman"/>
                <w:b w:val="0"/>
                <w:sz w:val="18"/>
                <w:szCs w:val="18"/>
              </w:rPr>
            </w:pPr>
            <w:r w:rsidRPr="00CB2D86">
              <w:rPr>
                <w:rFonts w:ascii="Times New Roman" w:hAnsi="Times New Roman" w:cs="Times New Roman"/>
                <w:b w:val="0"/>
                <w:sz w:val="18"/>
                <w:szCs w:val="18"/>
              </w:rPr>
              <w:lastRenderedPageBreak/>
              <w:t>Strengthen and empower EC to act independently as in India</w:t>
            </w:r>
          </w:p>
          <w:p w:rsidR="00C51EDF" w:rsidRPr="00592270" w:rsidRDefault="00C51EDF" w:rsidP="00A9053C">
            <w:pPr>
              <w:pStyle w:val="ListParagraph"/>
              <w:numPr>
                <w:ilvl w:val="0"/>
                <w:numId w:val="19"/>
              </w:numPr>
              <w:spacing w:line="276" w:lineRule="auto"/>
              <w:ind w:left="126" w:hanging="180"/>
              <w:rPr>
                <w:rFonts w:ascii="Times New Roman" w:hAnsi="Times New Roman" w:cs="Times New Roman"/>
                <w:b w:val="0"/>
                <w:color w:val="000000" w:themeColor="text1"/>
                <w:sz w:val="18"/>
                <w:szCs w:val="18"/>
              </w:rPr>
            </w:pPr>
            <w:r w:rsidRPr="00CB2D86">
              <w:rPr>
                <w:rFonts w:ascii="Times New Roman" w:hAnsi="Times New Roman" w:cs="Times New Roman"/>
                <w:b w:val="0"/>
                <w:sz w:val="18"/>
                <w:szCs w:val="18"/>
              </w:rPr>
              <w:t xml:space="preserve">Sustain economic, political and social consensus on the ‘respect matrix’ </w:t>
            </w:r>
            <w:r w:rsidRPr="00592270">
              <w:rPr>
                <w:rFonts w:ascii="Times New Roman" w:hAnsi="Times New Roman" w:cs="Times New Roman"/>
                <w:b w:val="0"/>
                <w:color w:val="000000" w:themeColor="text1"/>
                <w:sz w:val="18"/>
                <w:szCs w:val="18"/>
              </w:rPr>
              <w:t xml:space="preserve">(Figure </w:t>
            </w:r>
            <w:r w:rsidR="00592270">
              <w:rPr>
                <w:rFonts w:ascii="Times New Roman" w:hAnsi="Times New Roman" w:cs="Times New Roman"/>
                <w:b w:val="0"/>
                <w:color w:val="000000" w:themeColor="text1"/>
                <w:sz w:val="18"/>
                <w:szCs w:val="18"/>
              </w:rPr>
              <w:t>5</w:t>
            </w:r>
            <w:r w:rsidRPr="00592270">
              <w:rPr>
                <w:rFonts w:ascii="Times New Roman" w:hAnsi="Times New Roman" w:cs="Times New Roman"/>
                <w:b w:val="0"/>
                <w:color w:val="000000" w:themeColor="text1"/>
                <w:sz w:val="18"/>
                <w:szCs w:val="18"/>
              </w:rPr>
              <w:t>)</w:t>
            </w:r>
          </w:p>
          <w:p w:rsidR="00C51EDF" w:rsidRPr="00CB2D86" w:rsidRDefault="00C51EDF" w:rsidP="00A9053C">
            <w:pPr>
              <w:pStyle w:val="ListParagraph"/>
              <w:numPr>
                <w:ilvl w:val="0"/>
                <w:numId w:val="19"/>
              </w:numPr>
              <w:spacing w:line="276" w:lineRule="auto"/>
              <w:ind w:left="126" w:hanging="180"/>
              <w:rPr>
                <w:rFonts w:ascii="Times New Roman" w:hAnsi="Times New Roman" w:cs="Times New Roman"/>
                <w:b w:val="0"/>
                <w:sz w:val="18"/>
                <w:szCs w:val="18"/>
              </w:rPr>
            </w:pPr>
            <w:r w:rsidRPr="00CB2D86">
              <w:rPr>
                <w:rFonts w:ascii="Times New Roman" w:hAnsi="Times New Roman" w:cs="Times New Roman"/>
                <w:b w:val="0"/>
                <w:color w:val="000000" w:themeColor="text1"/>
                <w:sz w:val="18"/>
                <w:szCs w:val="18"/>
              </w:rPr>
              <w:t>Ensure independence of judiciary and separation of power of Executive, Legislature and Judiciary</w:t>
            </w:r>
          </w:p>
          <w:p w:rsidR="00C51EDF" w:rsidRPr="00CB2D86" w:rsidRDefault="00C51EDF" w:rsidP="00A9053C">
            <w:pPr>
              <w:pStyle w:val="ListParagraph"/>
              <w:numPr>
                <w:ilvl w:val="0"/>
                <w:numId w:val="19"/>
              </w:numPr>
              <w:spacing w:line="276" w:lineRule="auto"/>
              <w:ind w:left="126" w:hanging="180"/>
              <w:rPr>
                <w:rFonts w:ascii="Times New Roman" w:hAnsi="Times New Roman" w:cs="Times New Roman"/>
                <w:b w:val="0"/>
                <w:sz w:val="18"/>
                <w:szCs w:val="18"/>
              </w:rPr>
            </w:pPr>
            <w:r w:rsidRPr="00CB2D86">
              <w:rPr>
                <w:rFonts w:ascii="Times New Roman" w:hAnsi="Times New Roman" w:cs="Times New Roman"/>
                <w:b w:val="0"/>
                <w:color w:val="000000" w:themeColor="text1"/>
                <w:sz w:val="18"/>
                <w:szCs w:val="18"/>
              </w:rPr>
              <w:t>Review and strengthen the legal and regulatory framework for election</w:t>
            </w:r>
          </w:p>
          <w:p w:rsidR="00C51EDF" w:rsidRPr="00CB2D86" w:rsidRDefault="00C51EDF" w:rsidP="00A9053C">
            <w:pPr>
              <w:pStyle w:val="ListParagraph"/>
              <w:numPr>
                <w:ilvl w:val="0"/>
                <w:numId w:val="19"/>
              </w:numPr>
              <w:spacing w:line="276" w:lineRule="auto"/>
              <w:ind w:left="126" w:hanging="180"/>
              <w:rPr>
                <w:rFonts w:ascii="Times New Roman" w:hAnsi="Times New Roman" w:cs="Times New Roman"/>
                <w:b w:val="0"/>
                <w:sz w:val="18"/>
                <w:szCs w:val="18"/>
              </w:rPr>
            </w:pPr>
            <w:r w:rsidRPr="00CB2D86">
              <w:rPr>
                <w:rFonts w:ascii="Times New Roman" w:hAnsi="Times New Roman" w:cs="Times New Roman"/>
                <w:b w:val="0"/>
                <w:color w:val="000000" w:themeColor="text1"/>
                <w:sz w:val="18"/>
                <w:szCs w:val="18"/>
              </w:rPr>
              <w:t>Provide constitutional and legal guarantee for avoiding/eliminating possibility of non-democratic extra-constitutional usurpation of power by any force/group including the armed forces</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sz w:val="18"/>
                <w:szCs w:val="18"/>
              </w:rPr>
              <w:t>Decentralization</w:t>
            </w:r>
            <w:r w:rsidRPr="00CB2D86">
              <w:rPr>
                <w:rFonts w:ascii="Times New Roman" w:hAnsi="Times New Roman" w:cs="Times New Roman"/>
                <w:b w:val="0"/>
                <w:sz w:val="18"/>
                <w:szCs w:val="18"/>
              </w:rPr>
              <w:t xml:space="preserve"> – </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The challenge is how to introduce effective administrative, financial/fiscal, electoral, judicial, political and appointments decentralization (order of level of decentralization is very limited, limited, partial and high)</w:t>
            </w:r>
          </w:p>
        </w:tc>
        <w:tc>
          <w:tcPr>
            <w:tcW w:w="1748"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Vertical (law and order) decentralization</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Political decentralization</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Fiscal and planning decentralization</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Administrative decentralization</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Judicial decentralization</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Electoral decentralization</w:t>
            </w:r>
          </w:p>
        </w:tc>
        <w:tc>
          <w:tcPr>
            <w:tcW w:w="1865"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Very limited</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457E3"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Very limited</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Limited</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Limited</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Limited</w:t>
            </w:r>
          </w:p>
        </w:tc>
        <w:tc>
          <w:tcPr>
            <w:tcW w:w="1589"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Limited</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457E3"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Limited</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Limited</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Limited</w:t>
            </w:r>
          </w:p>
        </w:tc>
        <w:tc>
          <w:tcPr>
            <w:tcW w:w="2136"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High</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457E3"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High</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w:t>
            </w:r>
          </w:p>
        </w:tc>
        <w:tc>
          <w:tcPr>
            <w:tcW w:w="1752"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High</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High</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457E3" w:rsidRDefault="00C457E3"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High</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High</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High</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High</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20"/>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legislating a comprehensive Law </w:t>
            </w:r>
            <w:r w:rsidRPr="00CB2D86">
              <w:rPr>
                <w:rFonts w:ascii="Times New Roman" w:hAnsi="Times New Roman" w:cs="Times New Roman"/>
                <w:b w:val="0"/>
                <w:color w:val="000000" w:themeColor="text1"/>
                <w:sz w:val="18"/>
                <w:szCs w:val="18"/>
              </w:rPr>
              <w:t>clarifying powers and functions of local bodies at all levels. This Law will replace 130 laws and over 100 sub-laws and rules covering local bodies</w:t>
            </w:r>
          </w:p>
          <w:p w:rsidR="00C51EDF" w:rsidRPr="00CB2D86" w:rsidRDefault="00C51EDF" w:rsidP="00A9053C">
            <w:pPr>
              <w:pStyle w:val="ListParagraph"/>
              <w:numPr>
                <w:ilvl w:val="0"/>
                <w:numId w:val="20"/>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Establish six provinces replacing current divisions</w:t>
            </w:r>
          </w:p>
          <w:p w:rsidR="00C51EDF" w:rsidRPr="00CB2D86" w:rsidRDefault="00C51EDF" w:rsidP="00A9053C">
            <w:pPr>
              <w:pStyle w:val="ListParagraph"/>
              <w:numPr>
                <w:ilvl w:val="0"/>
                <w:numId w:val="20"/>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Secure four tiers of local government - </w:t>
            </w:r>
            <w:r w:rsidRPr="00CB2D86">
              <w:rPr>
                <w:rFonts w:ascii="Times New Roman" w:hAnsi="Times New Roman" w:cs="Times New Roman"/>
                <w:b w:val="0"/>
                <w:color w:val="000000"/>
                <w:sz w:val="18"/>
                <w:szCs w:val="18"/>
              </w:rPr>
              <w:t>Gram (Village) Sarkar, Union Parishad, Thana and Zila Parishad</w:t>
            </w:r>
            <w:r w:rsidRPr="00CB2D86">
              <w:rPr>
                <w:rFonts w:ascii="Times New Roman" w:hAnsi="Times New Roman" w:cs="Times New Roman"/>
                <w:b w:val="0"/>
                <w:sz w:val="18"/>
                <w:szCs w:val="18"/>
              </w:rPr>
              <w:t xml:space="preserve"> - for rural areas and two tiers - City Corporations and Paurashavas - for urban areas,</w:t>
            </w:r>
          </w:p>
          <w:p w:rsidR="00C51EDF" w:rsidRPr="00CB2D86" w:rsidRDefault="00C51EDF" w:rsidP="00A9053C">
            <w:pPr>
              <w:pStyle w:val="ListParagraph"/>
              <w:numPr>
                <w:ilvl w:val="0"/>
                <w:numId w:val="20"/>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Promote fiscal decentralization to facilitate </w:t>
            </w:r>
            <w:r w:rsidRPr="00CB2D86">
              <w:rPr>
                <w:rFonts w:ascii="Times New Roman" w:hAnsi="Times New Roman" w:cs="Times New Roman"/>
                <w:b w:val="0"/>
                <w:sz w:val="18"/>
                <w:szCs w:val="18"/>
              </w:rPr>
              <w:lastRenderedPageBreak/>
              <w:t xml:space="preserve">emergence of autonomous and accountable local governments (Sadiq 2016) including shifting the center of gravity of the central power from Dhaka to the Faridpur region,  </w:t>
            </w:r>
          </w:p>
          <w:p w:rsidR="00C51EDF" w:rsidRPr="00CB2D86" w:rsidRDefault="00C51EDF" w:rsidP="00A9053C">
            <w:pPr>
              <w:pStyle w:val="ListParagraph"/>
              <w:numPr>
                <w:ilvl w:val="0"/>
                <w:numId w:val="20"/>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Keep local governments totally independent of the influence of local political leadership and civil bureaucrats,</w:t>
            </w:r>
          </w:p>
          <w:p w:rsidR="00C51EDF" w:rsidRPr="00CB2D86" w:rsidRDefault="00C51EDF" w:rsidP="00A9053C">
            <w:pPr>
              <w:pStyle w:val="ListParagraph"/>
              <w:numPr>
                <w:ilvl w:val="0"/>
                <w:numId w:val="20"/>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Entrust local governments with planning and implementation of local development projects irrespective of sources of fund </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sz w:val="18"/>
                <w:szCs w:val="18"/>
              </w:rPr>
            </w:pPr>
            <w:r w:rsidRPr="00CB2D86">
              <w:rPr>
                <w:rFonts w:ascii="Times New Roman" w:hAnsi="Times New Roman" w:cs="Times New Roman"/>
                <w:sz w:val="18"/>
                <w:szCs w:val="18"/>
              </w:rPr>
              <w:lastRenderedPageBreak/>
              <w:t>Capacity building</w:t>
            </w:r>
          </w:p>
        </w:tc>
        <w:tc>
          <w:tcPr>
            <w:tcW w:w="1748"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rFonts w:ascii="Times New Roman" w:hAnsi="Times New Roman" w:cs="Times New Roman"/>
                <w:b w:val="0"/>
                <w:sz w:val="18"/>
                <w:szCs w:val="18"/>
              </w:rPr>
            </w:pPr>
          </w:p>
        </w:tc>
        <w:tc>
          <w:tcPr>
            <w:tcW w:w="1865"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p>
        </w:tc>
        <w:tc>
          <w:tcPr>
            <w:tcW w:w="1589"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p>
        </w:tc>
        <w:tc>
          <w:tcPr>
            <w:tcW w:w="2136"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p>
        </w:tc>
        <w:tc>
          <w:tcPr>
            <w:tcW w:w="1752"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p>
        </w:tc>
        <w:tc>
          <w:tcPr>
            <w:tcW w:w="2295"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rFonts w:ascii="Times New Roman" w:hAnsi="Times New Roman" w:cs="Times New Roman"/>
                <w:b w:val="0"/>
                <w:sz w:val="18"/>
                <w:szCs w:val="18"/>
              </w:rPr>
            </w:pP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sz w:val="18"/>
                <w:szCs w:val="18"/>
              </w:rPr>
            </w:pPr>
            <w:r w:rsidRPr="00CB2D86">
              <w:rPr>
                <w:rFonts w:ascii="Times New Roman" w:hAnsi="Times New Roman" w:cs="Times New Roman"/>
                <w:sz w:val="18"/>
                <w:szCs w:val="18"/>
              </w:rPr>
              <w:t>Gender empowerment</w:t>
            </w:r>
          </w:p>
        </w:tc>
        <w:tc>
          <w:tcPr>
            <w:tcW w:w="1748"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Gender sensitive budget</w:t>
            </w:r>
          </w:p>
        </w:tc>
        <w:tc>
          <w:tcPr>
            <w:tcW w:w="186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Partially</w:t>
            </w: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Partially+</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Fully</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Fully</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21"/>
              </w:numPr>
              <w:tabs>
                <w:tab w:val="left" w:pos="156"/>
              </w:tabs>
              <w:spacing w:line="276" w:lineRule="auto"/>
              <w:ind w:left="-24" w:firstLine="0"/>
              <w:rPr>
                <w:rFonts w:ascii="Times New Roman" w:hAnsi="Times New Roman" w:cs="Times New Roman"/>
                <w:b w:val="0"/>
                <w:sz w:val="18"/>
                <w:szCs w:val="18"/>
              </w:rPr>
            </w:pPr>
            <w:r w:rsidRPr="00CB2D86">
              <w:rPr>
                <w:rFonts w:ascii="Times New Roman" w:hAnsi="Times New Roman" w:cs="Times New Roman"/>
                <w:b w:val="0"/>
                <w:sz w:val="18"/>
                <w:szCs w:val="18"/>
              </w:rPr>
              <w:t>Make planning and budget process gender sensitive at all levels</w:t>
            </w:r>
          </w:p>
          <w:p w:rsidR="00C51EDF" w:rsidRDefault="00C51EDF" w:rsidP="00A9053C">
            <w:pPr>
              <w:pStyle w:val="ListParagraph"/>
              <w:numPr>
                <w:ilvl w:val="0"/>
                <w:numId w:val="21"/>
              </w:numPr>
              <w:tabs>
                <w:tab w:val="left" w:pos="156"/>
              </w:tabs>
              <w:spacing w:line="276" w:lineRule="auto"/>
              <w:ind w:left="-24" w:firstLine="0"/>
              <w:rPr>
                <w:rFonts w:ascii="Times New Roman" w:hAnsi="Times New Roman" w:cs="Times New Roman"/>
                <w:b w:val="0"/>
                <w:sz w:val="18"/>
                <w:szCs w:val="18"/>
              </w:rPr>
            </w:pPr>
            <w:r w:rsidRPr="00CB2D86">
              <w:rPr>
                <w:rFonts w:ascii="Times New Roman" w:hAnsi="Times New Roman" w:cs="Times New Roman"/>
                <w:b w:val="0"/>
                <w:sz w:val="18"/>
                <w:szCs w:val="18"/>
              </w:rPr>
              <w:t>Promote female participation in the electoral process</w:t>
            </w:r>
          </w:p>
          <w:p w:rsidR="00C51EDF" w:rsidRDefault="00C51EDF" w:rsidP="00A9053C">
            <w:pPr>
              <w:pStyle w:val="ListParagraph"/>
              <w:numPr>
                <w:ilvl w:val="0"/>
                <w:numId w:val="21"/>
              </w:numPr>
              <w:tabs>
                <w:tab w:val="left" w:pos="156"/>
              </w:tabs>
              <w:spacing w:line="276" w:lineRule="auto"/>
              <w:ind w:left="-24" w:firstLine="0"/>
              <w:rPr>
                <w:rFonts w:ascii="Times New Roman" w:hAnsi="Times New Roman" w:cs="Times New Roman"/>
                <w:b w:val="0"/>
                <w:sz w:val="18"/>
                <w:szCs w:val="18"/>
              </w:rPr>
            </w:pPr>
            <w:r>
              <w:rPr>
                <w:rFonts w:ascii="Times New Roman" w:hAnsi="Times New Roman" w:cs="Times New Roman"/>
                <w:b w:val="0"/>
                <w:sz w:val="18"/>
                <w:szCs w:val="18"/>
              </w:rPr>
              <w:t>Strengthening gender-sensitive legislative, regulatory and institutional framework</w:t>
            </w:r>
          </w:p>
          <w:p w:rsidR="00C51EDF" w:rsidRDefault="00C51EDF" w:rsidP="00A9053C">
            <w:pPr>
              <w:pStyle w:val="ListParagraph"/>
              <w:numPr>
                <w:ilvl w:val="0"/>
                <w:numId w:val="21"/>
              </w:numPr>
              <w:tabs>
                <w:tab w:val="left" w:pos="156"/>
              </w:tabs>
              <w:spacing w:line="276" w:lineRule="auto"/>
              <w:ind w:left="-24" w:firstLine="0"/>
              <w:rPr>
                <w:rFonts w:ascii="Times New Roman" w:hAnsi="Times New Roman" w:cs="Times New Roman"/>
                <w:b w:val="0"/>
                <w:sz w:val="18"/>
                <w:szCs w:val="18"/>
              </w:rPr>
            </w:pPr>
            <w:r>
              <w:rPr>
                <w:rFonts w:ascii="Times New Roman" w:hAnsi="Times New Roman" w:cs="Times New Roman"/>
                <w:b w:val="0"/>
                <w:sz w:val="18"/>
                <w:szCs w:val="18"/>
              </w:rPr>
              <w:t>Mainstreaming women in social and political institutions</w:t>
            </w:r>
          </w:p>
          <w:p w:rsidR="00C51EDF" w:rsidRDefault="00C51EDF" w:rsidP="00A9053C">
            <w:pPr>
              <w:pStyle w:val="ListParagraph"/>
              <w:numPr>
                <w:ilvl w:val="0"/>
                <w:numId w:val="21"/>
              </w:numPr>
              <w:tabs>
                <w:tab w:val="left" w:pos="156"/>
              </w:tabs>
              <w:spacing w:line="276" w:lineRule="auto"/>
              <w:ind w:left="-24" w:firstLine="0"/>
              <w:rPr>
                <w:rFonts w:ascii="Times New Roman" w:hAnsi="Times New Roman" w:cs="Times New Roman"/>
                <w:b w:val="0"/>
                <w:sz w:val="18"/>
                <w:szCs w:val="18"/>
              </w:rPr>
            </w:pPr>
            <w:r>
              <w:rPr>
                <w:rFonts w:ascii="Times New Roman" w:hAnsi="Times New Roman" w:cs="Times New Roman"/>
                <w:b w:val="0"/>
                <w:sz w:val="18"/>
                <w:szCs w:val="18"/>
              </w:rPr>
              <w:t>Increasing and including women’s voice at all public for a</w:t>
            </w:r>
          </w:p>
          <w:p w:rsidR="00C51EDF" w:rsidRDefault="00C51EDF" w:rsidP="00A9053C">
            <w:pPr>
              <w:pStyle w:val="ListParagraph"/>
              <w:numPr>
                <w:ilvl w:val="0"/>
                <w:numId w:val="21"/>
              </w:numPr>
              <w:tabs>
                <w:tab w:val="left" w:pos="156"/>
              </w:tabs>
              <w:spacing w:line="276" w:lineRule="auto"/>
              <w:ind w:left="-24" w:firstLine="0"/>
              <w:rPr>
                <w:rFonts w:ascii="Times New Roman" w:hAnsi="Times New Roman" w:cs="Times New Roman"/>
                <w:b w:val="0"/>
                <w:sz w:val="18"/>
                <w:szCs w:val="18"/>
              </w:rPr>
            </w:pPr>
            <w:r>
              <w:rPr>
                <w:rFonts w:ascii="Times New Roman" w:hAnsi="Times New Roman" w:cs="Times New Roman"/>
                <w:b w:val="0"/>
                <w:sz w:val="18"/>
                <w:szCs w:val="18"/>
              </w:rPr>
              <w:t>Securing women’s land and property rights</w:t>
            </w:r>
          </w:p>
          <w:p w:rsidR="00C51EDF" w:rsidRPr="00EC4661" w:rsidRDefault="00C51EDF" w:rsidP="00A9053C">
            <w:pPr>
              <w:pStyle w:val="ListParagraph"/>
              <w:numPr>
                <w:ilvl w:val="0"/>
                <w:numId w:val="21"/>
              </w:numPr>
              <w:tabs>
                <w:tab w:val="left" w:pos="156"/>
              </w:tabs>
              <w:spacing w:line="276" w:lineRule="auto"/>
              <w:ind w:left="-24" w:firstLine="0"/>
              <w:rPr>
                <w:rFonts w:ascii="Times New Roman" w:hAnsi="Times New Roman" w:cs="Times New Roman"/>
                <w:b w:val="0"/>
                <w:sz w:val="18"/>
                <w:szCs w:val="18"/>
              </w:rPr>
            </w:pPr>
            <w:r>
              <w:rPr>
                <w:rFonts w:ascii="Times New Roman" w:hAnsi="Times New Roman" w:cs="Times New Roman"/>
                <w:b w:val="0"/>
                <w:sz w:val="18"/>
                <w:szCs w:val="18"/>
              </w:rPr>
              <w:lastRenderedPageBreak/>
              <w:t>Training and skill development</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sz w:val="18"/>
                <w:szCs w:val="18"/>
              </w:rPr>
            </w:pPr>
            <w:r w:rsidRPr="00CB2D86">
              <w:rPr>
                <w:rFonts w:ascii="Times New Roman" w:hAnsi="Times New Roman" w:cs="Times New Roman"/>
                <w:sz w:val="18"/>
                <w:szCs w:val="18"/>
              </w:rPr>
              <w:lastRenderedPageBreak/>
              <w:t>Legislature</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 xml:space="preserve">Over past decade, the parliament as a decision-making body has become almost dysfunctional with a culture of boycott dominating the landscape since 1991. The parliament is often completely dominated by one major political party with one-sided legislation and constitutional amendment </w:t>
            </w:r>
          </w:p>
        </w:tc>
        <w:tc>
          <w:tcPr>
            <w:tcW w:w="1748"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Functional capacity to lead in legislation, budget formulation and dealing with national crises and emergencies</w:t>
            </w:r>
          </w:p>
        </w:tc>
        <w:tc>
          <w:tcPr>
            <w:tcW w:w="186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Non-functioning legislature dominated by one party</w:t>
            </w: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Improved-functioning legislature not dominated by one party focusing on the national target of developed Bangladesh by 2041 ruled by law, peaceful and tolerant and free of abusive corruption</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 xml:space="preserve">Well-functioning legislature with diversity of interests  represented paving the way for achieving the national target of developed Bangladesh by 2041 ruled by law, peaceful and tolerant and free of abusive corruption </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Well-functioning legislature with diversity of interests  represented achieving the national target of developed Bangladesh ruled by law, peaceful and tolerant and free of abusive corruption</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22"/>
              </w:numPr>
              <w:tabs>
                <w:tab w:val="left" w:pos="9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Establish bicameral legislature at the center</w:t>
            </w:r>
          </w:p>
          <w:p w:rsidR="00C51EDF" w:rsidRPr="00CB2D86" w:rsidRDefault="00C51EDF" w:rsidP="00A9053C">
            <w:pPr>
              <w:pStyle w:val="ListParagraph"/>
              <w:numPr>
                <w:ilvl w:val="0"/>
                <w:numId w:val="22"/>
              </w:numPr>
              <w:tabs>
                <w:tab w:val="left" w:pos="9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Develop political consensus on the functioning of the legislature</w:t>
            </w:r>
          </w:p>
          <w:p w:rsidR="00C51EDF" w:rsidRPr="00CB2D86" w:rsidRDefault="00C51EDF" w:rsidP="00A9053C">
            <w:pPr>
              <w:pStyle w:val="ListParagraph"/>
              <w:numPr>
                <w:ilvl w:val="0"/>
                <w:numId w:val="22"/>
              </w:numPr>
              <w:tabs>
                <w:tab w:val="left" w:pos="9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Strengthen legislature through finance, infrastructure, technology, human resources including legislators and research and monitoring</w:t>
            </w:r>
          </w:p>
          <w:p w:rsidR="00C51EDF" w:rsidRPr="00CB2D86" w:rsidRDefault="00C51EDF" w:rsidP="00A9053C">
            <w:pPr>
              <w:pStyle w:val="ListParagraph"/>
              <w:numPr>
                <w:ilvl w:val="0"/>
                <w:numId w:val="22"/>
              </w:numPr>
              <w:tabs>
                <w:tab w:val="left" w:pos="9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Establish strategic, organizational &amp; operational planning and accountability system and outcome measurement</w:t>
            </w:r>
          </w:p>
          <w:p w:rsidR="00C51EDF" w:rsidRPr="00CB2D86" w:rsidRDefault="00C51EDF" w:rsidP="00A9053C">
            <w:pPr>
              <w:pStyle w:val="ListParagraph"/>
              <w:numPr>
                <w:ilvl w:val="0"/>
                <w:numId w:val="22"/>
              </w:numPr>
              <w:tabs>
                <w:tab w:val="left" w:pos="9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Establish a system for internal operations and management (administrative, financial and human resources, facility, quality assurance, technology and risks)   </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sz w:val="18"/>
                <w:szCs w:val="18"/>
              </w:rPr>
            </w:pPr>
            <w:r w:rsidRPr="00CB2D86">
              <w:rPr>
                <w:rFonts w:ascii="Times New Roman" w:hAnsi="Times New Roman" w:cs="Times New Roman"/>
                <w:sz w:val="18"/>
                <w:szCs w:val="18"/>
              </w:rPr>
              <w:t>Judiciary</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Challenges are case overload, quality of people, poor incentive, litigating public, political influence, corruption, poor legal education and capacity</w:t>
            </w:r>
          </w:p>
        </w:tc>
        <w:tc>
          <w:tcPr>
            <w:tcW w:w="1748"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Judicial quality</w:t>
            </w:r>
          </w:p>
        </w:tc>
        <w:tc>
          <w:tcPr>
            <w:tcW w:w="186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Weak judiciary susceptible to political influence and corruption</w:t>
            </w: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Improved judiciary but susceptible to political influence and corruption</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Strong judiciary still lacking in some of the desired attributes</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Strong, independent, separate, effective, efficient, just, impartial, incorruptible, a political and victim-friendly judiciary</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23"/>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An independent commission may review the macro environment of the judicial system and its operation</w:t>
            </w:r>
          </w:p>
          <w:p w:rsidR="00C51EDF" w:rsidRPr="00CB2D86" w:rsidRDefault="00C51EDF" w:rsidP="00A9053C">
            <w:pPr>
              <w:pStyle w:val="ListParagraph"/>
              <w:numPr>
                <w:ilvl w:val="0"/>
                <w:numId w:val="23"/>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Uphold the action taken by the caretaker government to institutionalize separation of power in 2007</w:t>
            </w:r>
          </w:p>
          <w:p w:rsidR="00C51EDF" w:rsidRPr="00CB2D86" w:rsidRDefault="00C51EDF" w:rsidP="00A9053C">
            <w:pPr>
              <w:pStyle w:val="ListParagraph"/>
              <w:numPr>
                <w:ilvl w:val="0"/>
                <w:numId w:val="23"/>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Recognize that true independence of the judiciary and separation of judiciary </w:t>
            </w:r>
            <w:r w:rsidRPr="00CB2D86">
              <w:rPr>
                <w:rFonts w:ascii="Times New Roman" w:hAnsi="Times New Roman" w:cs="Times New Roman"/>
                <w:b w:val="0"/>
                <w:sz w:val="18"/>
                <w:szCs w:val="18"/>
              </w:rPr>
              <w:lastRenderedPageBreak/>
              <w:t>depends squarely on the Government’s willingness to accommodate changes</w:t>
            </w:r>
          </w:p>
          <w:p w:rsidR="00C51EDF" w:rsidRPr="00CB2D86" w:rsidRDefault="00C51EDF" w:rsidP="00A9053C">
            <w:pPr>
              <w:pStyle w:val="ListParagraph"/>
              <w:numPr>
                <w:ilvl w:val="0"/>
                <w:numId w:val="23"/>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Strengthen the judicial institution through finance, infrastructure, technology, manpower and research and monitoring</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sz w:val="18"/>
                <w:szCs w:val="18"/>
              </w:rPr>
            </w:pPr>
            <w:r>
              <w:rPr>
                <w:rFonts w:ascii="Times New Roman" w:hAnsi="Times New Roman" w:cs="Times New Roman"/>
                <w:sz w:val="18"/>
                <w:szCs w:val="18"/>
              </w:rPr>
              <w:lastRenderedPageBreak/>
              <w:t>Executive,</w:t>
            </w:r>
            <w:r w:rsidRPr="00CB2D86">
              <w:rPr>
                <w:rFonts w:ascii="Times New Roman" w:hAnsi="Times New Roman" w:cs="Times New Roman"/>
                <w:sz w:val="18"/>
                <w:szCs w:val="18"/>
              </w:rPr>
              <w:t xml:space="preserve"> </w:t>
            </w:r>
            <w:r>
              <w:rPr>
                <w:rFonts w:ascii="Times New Roman" w:hAnsi="Times New Roman" w:cs="Times New Roman"/>
                <w:sz w:val="18"/>
                <w:szCs w:val="18"/>
              </w:rPr>
              <w:t>the b</w:t>
            </w:r>
            <w:r w:rsidRPr="00CB2D86">
              <w:rPr>
                <w:rFonts w:ascii="Times New Roman" w:hAnsi="Times New Roman" w:cs="Times New Roman"/>
                <w:sz w:val="18"/>
                <w:szCs w:val="18"/>
              </w:rPr>
              <w:t>ureaucracy</w:t>
            </w:r>
            <w:r>
              <w:rPr>
                <w:rFonts w:ascii="Times New Roman" w:hAnsi="Times New Roman" w:cs="Times New Roman"/>
                <w:sz w:val="18"/>
                <w:szCs w:val="18"/>
              </w:rPr>
              <w:t xml:space="preserve"> and the rule of law</w:t>
            </w:r>
          </w:p>
          <w:p w:rsidR="00C51EDF"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 xml:space="preserve">The challenge is embedded in this quote “The structure and working patterns of bureaucracy in Bangladesh are a legacy of British colonial rule, which impeded reform efforts after Independence and caused </w:t>
            </w:r>
            <w:proofErr w:type="spellStart"/>
            <w:r w:rsidRPr="00CB2D86">
              <w:rPr>
                <w:rFonts w:ascii="Times New Roman" w:hAnsi="Times New Roman" w:cs="Times New Roman"/>
                <w:b w:val="0"/>
                <w:sz w:val="18"/>
                <w:szCs w:val="18"/>
              </w:rPr>
              <w:t>politicisation</w:t>
            </w:r>
            <w:proofErr w:type="spellEnd"/>
            <w:r w:rsidRPr="00CB2D86">
              <w:rPr>
                <w:rFonts w:ascii="Times New Roman" w:hAnsi="Times New Roman" w:cs="Times New Roman"/>
                <w:b w:val="0"/>
                <w:sz w:val="18"/>
                <w:szCs w:val="18"/>
              </w:rPr>
              <w:t xml:space="preserve"> of the administration and governance. Civil-military elitisms reduced accountability of the administration, resulting in a dominating bureaucratic structure with corruption.” (Mollah 2011) from Ahmed, Alamgir and Mujeri (2016)</w:t>
            </w:r>
          </w:p>
          <w:p w:rsidR="00C51EDF" w:rsidRDefault="00C51EDF" w:rsidP="00A9053C">
            <w:pPr>
              <w:spacing w:line="276" w:lineRule="auto"/>
              <w:contextualSpacing/>
              <w:rPr>
                <w:rFonts w:ascii="Times New Roman" w:hAnsi="Times New Roman" w:cs="Times New Roman"/>
                <w:b w:val="0"/>
                <w:sz w:val="18"/>
                <w:szCs w:val="18"/>
              </w:rPr>
            </w:pPr>
          </w:p>
          <w:p w:rsidR="00C51EDF" w:rsidRPr="002C02F5" w:rsidRDefault="00C51EDF" w:rsidP="00A9053C">
            <w:pPr>
              <w:spacing w:line="276" w:lineRule="auto"/>
              <w:contextualSpacing/>
              <w:rPr>
                <w:rFonts w:ascii="Times New Roman" w:hAnsi="Times New Roman" w:cs="Times New Roman"/>
                <w:b w:val="0"/>
                <w:sz w:val="18"/>
                <w:szCs w:val="18"/>
              </w:rPr>
            </w:pPr>
            <w:r w:rsidRPr="002C02F5">
              <w:rPr>
                <w:rFonts w:ascii="Times New Roman" w:hAnsi="Times New Roman" w:cs="Times New Roman"/>
                <w:b w:val="0"/>
                <w:sz w:val="18"/>
                <w:szCs w:val="18"/>
              </w:rPr>
              <w:t xml:space="preserve">As for rule </w:t>
            </w:r>
            <w:proofErr w:type="spellStart"/>
            <w:r w:rsidRPr="002C02F5">
              <w:rPr>
                <w:rFonts w:ascii="Times New Roman" w:hAnsi="Times New Roman" w:cs="Times New Roman"/>
                <w:b w:val="0"/>
                <w:sz w:val="18"/>
                <w:szCs w:val="18"/>
              </w:rPr>
              <w:t>od</w:t>
            </w:r>
            <w:proofErr w:type="spellEnd"/>
            <w:r w:rsidRPr="002C02F5">
              <w:rPr>
                <w:rFonts w:ascii="Times New Roman" w:hAnsi="Times New Roman" w:cs="Times New Roman"/>
                <w:b w:val="0"/>
                <w:sz w:val="18"/>
                <w:szCs w:val="18"/>
              </w:rPr>
              <w:t xml:space="preserve"> law the twin challenges are </w:t>
            </w:r>
            <w:r w:rsidRPr="002C02F5">
              <w:rPr>
                <w:rFonts w:ascii="Times New Roman" w:hAnsi="Times New Roman" w:cs="Times New Roman"/>
                <w:b w:val="0"/>
                <w:sz w:val="18"/>
                <w:szCs w:val="18"/>
              </w:rPr>
              <w:lastRenderedPageBreak/>
              <w:t>corruption and institutional subversion of the rule of law.</w:t>
            </w:r>
          </w:p>
        </w:tc>
        <w:tc>
          <w:tcPr>
            <w:tcW w:w="1748"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lastRenderedPageBreak/>
              <w:t>The quality of the bureaucracy</w:t>
            </w:r>
            <w:r>
              <w:rPr>
                <w:rFonts w:ascii="Times New Roman" w:hAnsi="Times New Roman" w:cs="Times New Roman"/>
                <w:b w:val="0"/>
                <w:sz w:val="18"/>
                <w:szCs w:val="18"/>
              </w:rPr>
              <w:t xml:space="preserve"> and law and order agencies</w:t>
            </w:r>
          </w:p>
        </w:tc>
        <w:tc>
          <w:tcPr>
            <w:tcW w:w="186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As individuals intelligent and better educated and more sensitive to people than before but as group lacks focus, elitist, ineffective, highly politicized and prone to influence and corruption</w:t>
            </w: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 xml:space="preserve">Slow but sure emergence of a reform minded bureaucracy </w:t>
            </w:r>
            <w:r>
              <w:rPr>
                <w:rFonts w:ascii="Times New Roman" w:hAnsi="Times New Roman" w:cs="Times New Roman"/>
                <w:b w:val="0"/>
                <w:sz w:val="18"/>
                <w:szCs w:val="18"/>
              </w:rPr>
              <w:t xml:space="preserve">and law enforcement operatives </w:t>
            </w:r>
            <w:r w:rsidRPr="00CB2D86">
              <w:rPr>
                <w:rFonts w:ascii="Times New Roman" w:hAnsi="Times New Roman" w:cs="Times New Roman"/>
                <w:b w:val="0"/>
                <w:sz w:val="18"/>
                <w:szCs w:val="18"/>
              </w:rPr>
              <w:t>open to change including being focused on socioeconomic development</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 xml:space="preserve">Reformed bureaucracy </w:t>
            </w:r>
            <w:r>
              <w:rPr>
                <w:rFonts w:ascii="Times New Roman" w:hAnsi="Times New Roman" w:cs="Times New Roman"/>
                <w:b w:val="0"/>
                <w:sz w:val="18"/>
                <w:szCs w:val="18"/>
              </w:rPr>
              <w:t xml:space="preserve">and law enforcement agencies </w:t>
            </w:r>
            <w:r w:rsidRPr="00CB2D86">
              <w:rPr>
                <w:rFonts w:ascii="Times New Roman" w:hAnsi="Times New Roman" w:cs="Times New Roman"/>
                <w:b w:val="0"/>
                <w:sz w:val="18"/>
                <w:szCs w:val="18"/>
              </w:rPr>
              <w:t>with less elitist trait, more effective, less politicized and less prone to influence and corruption and willing to be the champion of Bangladesh Vision 2041 of a developed nation</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A strong, independent, reformed bureaucracy</w:t>
            </w:r>
            <w:r>
              <w:rPr>
                <w:rFonts w:ascii="Times New Roman" w:hAnsi="Times New Roman" w:cs="Times New Roman"/>
                <w:b w:val="0"/>
                <w:sz w:val="18"/>
                <w:szCs w:val="18"/>
              </w:rPr>
              <w:t xml:space="preserve"> and law enforcement agencies</w:t>
            </w:r>
            <w:r w:rsidRPr="00CB2D86">
              <w:rPr>
                <w:rFonts w:ascii="Times New Roman" w:hAnsi="Times New Roman" w:cs="Times New Roman"/>
                <w:b w:val="0"/>
                <w:sz w:val="18"/>
                <w:szCs w:val="18"/>
              </w:rPr>
              <w:t xml:space="preserve"> far less prone to influence and corruption and fully committed to and proud of achieving Bangladesh Vision 2041 and go beyond</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24"/>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A Commission to look into civil service reform taking account of previous attempts</w:t>
            </w:r>
          </w:p>
          <w:p w:rsidR="00C51EDF" w:rsidRPr="00CB2D86" w:rsidRDefault="00C51EDF" w:rsidP="00A9053C">
            <w:pPr>
              <w:pStyle w:val="ListParagraph"/>
              <w:numPr>
                <w:ilvl w:val="0"/>
                <w:numId w:val="24"/>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A periodic Pay and Services Commission to keep the incentive framework up to date</w:t>
            </w:r>
          </w:p>
          <w:p w:rsidR="00C51EDF" w:rsidRPr="00CB2D86" w:rsidRDefault="00C51EDF" w:rsidP="00A9053C">
            <w:pPr>
              <w:pStyle w:val="ListParagraph"/>
              <w:numPr>
                <w:ilvl w:val="0"/>
                <w:numId w:val="24"/>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Politicians “Hands off bureaucracy”</w:t>
            </w:r>
          </w:p>
          <w:p w:rsidR="00C51EDF" w:rsidRDefault="00C51EDF" w:rsidP="00A9053C">
            <w:pPr>
              <w:pStyle w:val="ListParagraph"/>
              <w:numPr>
                <w:ilvl w:val="0"/>
                <w:numId w:val="24"/>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 Strengthen the civil service institution through finance, infrastructure, technology, manpower and research and monitoring</w:t>
            </w:r>
          </w:p>
          <w:p w:rsidR="00C51EDF" w:rsidRPr="00CB2D86" w:rsidRDefault="00C51EDF" w:rsidP="00A9053C">
            <w:pPr>
              <w:pStyle w:val="ListParagraph"/>
              <w:numPr>
                <w:ilvl w:val="0"/>
                <w:numId w:val="24"/>
              </w:numPr>
              <w:tabs>
                <w:tab w:val="left" w:pos="126"/>
              </w:tabs>
              <w:spacing w:line="276" w:lineRule="auto"/>
              <w:ind w:left="-58" w:firstLine="0"/>
              <w:rPr>
                <w:rFonts w:ascii="Times New Roman" w:hAnsi="Times New Roman" w:cs="Times New Roman"/>
                <w:b w:val="0"/>
                <w:sz w:val="18"/>
                <w:szCs w:val="18"/>
              </w:rPr>
            </w:pPr>
            <w:r>
              <w:rPr>
                <w:rFonts w:ascii="Times New Roman" w:hAnsi="Times New Roman" w:cs="Times New Roman"/>
                <w:b w:val="0"/>
                <w:sz w:val="18"/>
                <w:szCs w:val="18"/>
              </w:rPr>
              <w:t xml:space="preserve">Strengthen law enforcement agencies, implement skill development and training program with emphasis on attitudinal approach to maintenance of law and order and enhance manpower </w:t>
            </w:r>
          </w:p>
        </w:tc>
      </w:tr>
      <w:tr w:rsidR="00C51EDF" w:rsidTr="00A9053C">
        <w:tc>
          <w:tcPr>
            <w:tcW w:w="1903" w:type="dxa"/>
            <w:tcBorders>
              <w:top w:val="single" w:sz="4" w:space="0" w:color="auto"/>
              <w:left w:val="single" w:sz="4" w:space="0" w:color="auto"/>
              <w:bottom w:val="single" w:sz="4" w:space="0" w:color="auto"/>
              <w:right w:val="single" w:sz="4" w:space="0" w:color="auto"/>
            </w:tcBorders>
          </w:tcPr>
          <w:p w:rsidR="00C51EDF" w:rsidRPr="00A77883" w:rsidRDefault="00C51EDF" w:rsidP="00A9053C">
            <w:pPr>
              <w:spacing w:line="276" w:lineRule="auto"/>
              <w:contextualSpacing/>
              <w:rPr>
                <w:rFonts w:ascii="Times New Roman" w:hAnsi="Times New Roman" w:cs="Times New Roman"/>
                <w:sz w:val="18"/>
                <w:szCs w:val="18"/>
              </w:rPr>
            </w:pPr>
            <w:r w:rsidRPr="00A77883">
              <w:rPr>
                <w:rFonts w:ascii="Times New Roman" w:hAnsi="Times New Roman" w:cs="Times New Roman"/>
                <w:sz w:val="18"/>
                <w:szCs w:val="18"/>
              </w:rPr>
              <w:t>Political institutions</w:t>
            </w:r>
          </w:p>
          <w:p w:rsidR="00C51EDF" w:rsidRPr="00CB2D86"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The challenge is to strengthen political institutions to steer the country along stable and inclusive development path in a sustainable way. The related challenge is to prod political parties to adhere to the principles of pluralistic democracy,</w:t>
            </w:r>
          </w:p>
        </w:tc>
        <w:tc>
          <w:tcPr>
            <w:tcW w:w="1748"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Party conventions</w:t>
            </w:r>
          </w:p>
          <w:p w:rsidR="00C51EDF"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Election for party office bearers</w:t>
            </w:r>
          </w:p>
        </w:tc>
        <w:tc>
          <w:tcPr>
            <w:tcW w:w="1865"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Irregular</w:t>
            </w: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(party conventions and election for party office bearer are seldom organized)</w:t>
            </w:r>
          </w:p>
          <w:p w:rsidR="00C51EDF" w:rsidRPr="00CB2D86"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 xml:space="preserve">Political institutions are at infancy </w:t>
            </w:r>
          </w:p>
        </w:tc>
        <w:tc>
          <w:tcPr>
            <w:tcW w:w="1589"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Intermittent</w:t>
            </w: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(party conventions and election for party office bearer are held once in a while)</w:t>
            </w:r>
          </w:p>
          <w:p w:rsidR="00C51EDF" w:rsidRPr="00CB2D86"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Political institutions are coming out of infancy</w:t>
            </w:r>
          </w:p>
        </w:tc>
        <w:tc>
          <w:tcPr>
            <w:tcW w:w="2136"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Periodic</w:t>
            </w: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(party conventions and election for party office bearer are held periodically, say every 2 or 3 years)</w:t>
            </w:r>
          </w:p>
          <w:p w:rsidR="00C51EDF" w:rsidRPr="00CB2D86"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Political institutions are gaining experience</w:t>
            </w:r>
          </w:p>
        </w:tc>
        <w:tc>
          <w:tcPr>
            <w:tcW w:w="1752"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Annual or Bi-annual</w:t>
            </w: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(party conventions and election for party office bearer are held annually or bi-annually)</w:t>
            </w:r>
          </w:p>
          <w:p w:rsidR="00C51EDF" w:rsidRPr="00CB2D86"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Political institutions are mature</w:t>
            </w:r>
          </w:p>
        </w:tc>
        <w:tc>
          <w:tcPr>
            <w:tcW w:w="2295" w:type="dxa"/>
            <w:tcBorders>
              <w:top w:val="single" w:sz="4" w:space="0" w:color="auto"/>
              <w:left w:val="single" w:sz="4" w:space="0" w:color="auto"/>
              <w:bottom w:val="single" w:sz="4" w:space="0" w:color="auto"/>
              <w:right w:val="single" w:sz="4" w:space="0" w:color="auto"/>
            </w:tcBorders>
          </w:tcPr>
          <w:p w:rsidR="00C51EDF" w:rsidRDefault="00C51EDF" w:rsidP="00A9053C">
            <w:pPr>
              <w:pStyle w:val="ListParagraph"/>
              <w:numPr>
                <w:ilvl w:val="0"/>
                <w:numId w:val="31"/>
              </w:numPr>
              <w:tabs>
                <w:tab w:val="left" w:pos="156"/>
              </w:tabs>
              <w:spacing w:line="276" w:lineRule="auto"/>
              <w:ind w:left="0" w:hanging="29"/>
              <w:rPr>
                <w:rFonts w:ascii="Times New Roman" w:hAnsi="Times New Roman" w:cs="Times New Roman"/>
                <w:b w:val="0"/>
                <w:sz w:val="18"/>
                <w:szCs w:val="18"/>
              </w:rPr>
            </w:pPr>
            <w:r w:rsidRPr="009B25B7">
              <w:rPr>
                <w:rFonts w:ascii="Times New Roman" w:hAnsi="Times New Roman" w:cs="Times New Roman"/>
                <w:b w:val="0"/>
                <w:sz w:val="18"/>
                <w:szCs w:val="18"/>
              </w:rPr>
              <w:t>Review and revise party constitution</w:t>
            </w:r>
          </w:p>
          <w:p w:rsidR="00C51EDF" w:rsidRPr="009B25B7" w:rsidRDefault="00C51EDF" w:rsidP="00A9053C">
            <w:pPr>
              <w:pStyle w:val="ListParagraph"/>
              <w:numPr>
                <w:ilvl w:val="0"/>
                <w:numId w:val="31"/>
              </w:numPr>
              <w:tabs>
                <w:tab w:val="left" w:pos="156"/>
              </w:tabs>
              <w:spacing w:line="276" w:lineRule="auto"/>
              <w:ind w:left="0" w:hanging="29"/>
              <w:rPr>
                <w:rFonts w:ascii="Times New Roman" w:hAnsi="Times New Roman" w:cs="Times New Roman"/>
                <w:b w:val="0"/>
                <w:sz w:val="18"/>
                <w:szCs w:val="18"/>
              </w:rPr>
            </w:pPr>
            <w:r>
              <w:rPr>
                <w:rFonts w:ascii="Times New Roman" w:hAnsi="Times New Roman" w:cs="Times New Roman"/>
                <w:b w:val="0"/>
                <w:sz w:val="18"/>
                <w:szCs w:val="18"/>
              </w:rPr>
              <w:t>Establish consultative bodies to seek members’ views on important issues</w:t>
            </w:r>
          </w:p>
          <w:p w:rsidR="00C51EDF" w:rsidRDefault="00C51EDF" w:rsidP="00A9053C">
            <w:pPr>
              <w:spacing w:line="276" w:lineRule="auto"/>
              <w:rPr>
                <w:rFonts w:ascii="Times New Roman" w:hAnsi="Times New Roman" w:cs="Times New Roman"/>
                <w:b w:val="0"/>
                <w:sz w:val="18"/>
                <w:szCs w:val="18"/>
              </w:rPr>
            </w:pPr>
          </w:p>
          <w:p w:rsidR="00C51EDF" w:rsidRPr="009B25B7" w:rsidRDefault="00C51EDF" w:rsidP="00A9053C">
            <w:pPr>
              <w:spacing w:line="276" w:lineRule="auto"/>
              <w:rPr>
                <w:rFonts w:ascii="Times New Roman" w:hAnsi="Times New Roman" w:cs="Times New Roman"/>
                <w:b w:val="0"/>
                <w:sz w:val="18"/>
                <w:szCs w:val="18"/>
              </w:rPr>
            </w:pPr>
          </w:p>
        </w:tc>
      </w:tr>
      <w:tr w:rsidR="00C51EDF" w:rsidTr="00A9053C">
        <w:tc>
          <w:tcPr>
            <w:tcW w:w="1903"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rPr>
                <w:rFonts w:ascii="Times New Roman" w:hAnsi="Times New Roman" w:cs="Times New Roman"/>
                <w:sz w:val="18"/>
                <w:szCs w:val="18"/>
              </w:rPr>
            </w:pPr>
            <w:r>
              <w:rPr>
                <w:rFonts w:ascii="Times New Roman" w:hAnsi="Times New Roman" w:cs="Times New Roman"/>
                <w:sz w:val="18"/>
                <w:szCs w:val="18"/>
              </w:rPr>
              <w:t>Social institutions</w:t>
            </w:r>
          </w:p>
          <w:p w:rsidR="00C51EDF" w:rsidRDefault="00C51EDF" w:rsidP="00A9053C">
            <w:pPr>
              <w:spacing w:line="276" w:lineRule="auto"/>
              <w:contextualSpacing/>
              <w:rPr>
                <w:rFonts w:ascii="Times New Roman" w:hAnsi="Times New Roman" w:cs="Times New Roman"/>
                <w:b w:val="0"/>
                <w:sz w:val="18"/>
                <w:szCs w:val="18"/>
              </w:rPr>
            </w:pPr>
            <w:r w:rsidRPr="00892990">
              <w:rPr>
                <w:rFonts w:ascii="Times New Roman" w:hAnsi="Times New Roman" w:cs="Times New Roman"/>
                <w:b w:val="0"/>
                <w:sz w:val="18"/>
                <w:szCs w:val="18"/>
              </w:rPr>
              <w:t>Civil society organizations (CSO)</w:t>
            </w:r>
          </w:p>
          <w:p w:rsidR="00C51EDF" w:rsidRDefault="00C51EDF" w:rsidP="00A9053C">
            <w:pPr>
              <w:spacing w:line="276" w:lineRule="auto"/>
              <w:contextualSpacing/>
              <w:rPr>
                <w:rFonts w:ascii="Times New Roman" w:hAnsi="Times New Roman" w:cs="Times New Roman"/>
                <w:b w:val="0"/>
                <w:sz w:val="18"/>
                <w:szCs w:val="18"/>
              </w:rPr>
            </w:pPr>
          </w:p>
          <w:p w:rsidR="00C51EDF" w:rsidRPr="00892990"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Challenges facing civil society organizations are: (</w:t>
            </w:r>
            <w:proofErr w:type="spellStart"/>
            <w:r>
              <w:rPr>
                <w:rFonts w:ascii="Times New Roman" w:hAnsi="Times New Roman" w:cs="Times New Roman"/>
                <w:b w:val="0"/>
                <w:sz w:val="18"/>
                <w:szCs w:val="18"/>
              </w:rPr>
              <w:t>i</w:t>
            </w:r>
            <w:proofErr w:type="spellEnd"/>
            <w:r>
              <w:rPr>
                <w:rFonts w:ascii="Times New Roman" w:hAnsi="Times New Roman" w:cs="Times New Roman"/>
                <w:b w:val="0"/>
                <w:sz w:val="18"/>
                <w:szCs w:val="18"/>
              </w:rPr>
              <w:t xml:space="preserve">) mutually suspicious and divisive relationship with the government; (ii) attempted excessive control by the government; (iii) political, administrative and financial repression; (iv) lack of financial independence, (v) foreign aid dependence; (vi) degeneration into </w:t>
            </w:r>
            <w:r>
              <w:rPr>
                <w:rFonts w:ascii="Times New Roman" w:hAnsi="Times New Roman" w:cs="Times New Roman"/>
                <w:b w:val="0"/>
                <w:sz w:val="18"/>
                <w:szCs w:val="18"/>
              </w:rPr>
              <w:lastRenderedPageBreak/>
              <w:t xml:space="preserve">contractor status; (vii) limited or no innovation; (viii) poor governance with lack of transparency, accountability and corruption; (ix) internal conflict and tension; (x) autocracy of the top; (xi) mixed quality of staff and personnel; (xii) fraud and lack of professionalism; (xiv) lack of matching skill; (xv) waning idealism; (xvi) unproductive competition and rivalry undermining the quality of services provided; (xvii) slow death of early optimism of alterative to public sector service delivery; (xix) no clear succession plan by the founder philosopher be it Yunus or Abed or Dr. Zafrullah Chowdhury or any other; (xx) personality cult </w:t>
            </w:r>
          </w:p>
        </w:tc>
        <w:tc>
          <w:tcPr>
            <w:tcW w:w="1748"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lastRenderedPageBreak/>
              <w:t>Stage of development of CSOs (conception, organization, low-level/quality operation, fully-fledged operation, mature high quality broad-based operation</w:t>
            </w:r>
          </w:p>
        </w:tc>
        <w:tc>
          <w:tcPr>
            <w:tcW w:w="1865"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A combination of low-level/quality operation and fully-fledged operation with</w:t>
            </w: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some as international best practice</w:t>
            </w:r>
          </w:p>
        </w:tc>
        <w:tc>
          <w:tcPr>
            <w:tcW w:w="1589"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All fully-fledged operation with</w:t>
            </w: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 xml:space="preserve">some as international best practice and many institutionalized under normal regulatory and business practices </w:t>
            </w:r>
          </w:p>
        </w:tc>
        <w:tc>
          <w:tcPr>
            <w:tcW w:w="2136"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All mature high quality broad-based operation with some as international best practice and many institutionalized under normal regulatory and business practices</w:t>
            </w:r>
          </w:p>
        </w:tc>
        <w:tc>
          <w:tcPr>
            <w:tcW w:w="1752"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All mature high quality broad-based operation with some as international best practice and all institutionalized under normal regulatory and business practices</w:t>
            </w:r>
          </w:p>
        </w:tc>
        <w:tc>
          <w:tcPr>
            <w:tcW w:w="2295" w:type="dxa"/>
            <w:tcBorders>
              <w:top w:val="single" w:sz="4" w:space="0" w:color="auto"/>
              <w:left w:val="single" w:sz="4" w:space="0" w:color="auto"/>
              <w:bottom w:val="single" w:sz="4" w:space="0" w:color="auto"/>
              <w:right w:val="single" w:sz="4" w:space="0" w:color="auto"/>
            </w:tcBorders>
          </w:tcPr>
          <w:p w:rsidR="00C51EDF" w:rsidRDefault="00C51EDF" w:rsidP="00A9053C">
            <w:pPr>
              <w:pStyle w:val="ListParagraph"/>
              <w:numPr>
                <w:ilvl w:val="0"/>
                <w:numId w:val="32"/>
              </w:numPr>
              <w:tabs>
                <w:tab w:val="left" w:pos="108"/>
              </w:tabs>
              <w:spacing w:line="276" w:lineRule="auto"/>
              <w:ind w:left="-29" w:firstLine="0"/>
              <w:rPr>
                <w:rFonts w:ascii="Times New Roman" w:hAnsi="Times New Roman" w:cs="Times New Roman"/>
                <w:b w:val="0"/>
                <w:sz w:val="18"/>
                <w:szCs w:val="18"/>
              </w:rPr>
            </w:pPr>
            <w:r>
              <w:rPr>
                <w:rFonts w:ascii="Times New Roman" w:hAnsi="Times New Roman" w:cs="Times New Roman"/>
                <w:b w:val="0"/>
                <w:sz w:val="18"/>
                <w:szCs w:val="18"/>
              </w:rPr>
              <w:t>Recognize freedom of association and operation</w:t>
            </w:r>
          </w:p>
          <w:p w:rsidR="00C51EDF" w:rsidRDefault="00C51EDF" w:rsidP="00A9053C">
            <w:pPr>
              <w:pStyle w:val="ListParagraph"/>
              <w:numPr>
                <w:ilvl w:val="0"/>
                <w:numId w:val="32"/>
              </w:numPr>
              <w:tabs>
                <w:tab w:val="left" w:pos="108"/>
              </w:tabs>
              <w:spacing w:line="276" w:lineRule="auto"/>
              <w:ind w:left="-29" w:firstLine="0"/>
              <w:rPr>
                <w:rFonts w:ascii="Times New Roman" w:hAnsi="Times New Roman" w:cs="Times New Roman"/>
                <w:b w:val="0"/>
                <w:sz w:val="18"/>
                <w:szCs w:val="18"/>
              </w:rPr>
            </w:pPr>
            <w:r>
              <w:rPr>
                <w:rFonts w:ascii="Times New Roman" w:hAnsi="Times New Roman" w:cs="Times New Roman"/>
                <w:b w:val="0"/>
                <w:sz w:val="18"/>
                <w:szCs w:val="18"/>
              </w:rPr>
              <w:t xml:space="preserve"> Provide legal and regulatory framework</w:t>
            </w:r>
          </w:p>
          <w:p w:rsidR="00C51EDF" w:rsidRDefault="00C51EDF" w:rsidP="00A9053C">
            <w:pPr>
              <w:pStyle w:val="ListParagraph"/>
              <w:numPr>
                <w:ilvl w:val="0"/>
                <w:numId w:val="32"/>
              </w:numPr>
              <w:tabs>
                <w:tab w:val="left" w:pos="108"/>
              </w:tabs>
              <w:spacing w:line="276" w:lineRule="auto"/>
              <w:ind w:left="-29" w:firstLine="0"/>
              <w:rPr>
                <w:rFonts w:ascii="Times New Roman" w:hAnsi="Times New Roman" w:cs="Times New Roman"/>
                <w:b w:val="0"/>
                <w:sz w:val="18"/>
                <w:szCs w:val="18"/>
              </w:rPr>
            </w:pPr>
            <w:r>
              <w:rPr>
                <w:rFonts w:ascii="Times New Roman" w:hAnsi="Times New Roman" w:cs="Times New Roman"/>
                <w:b w:val="0"/>
                <w:sz w:val="18"/>
                <w:szCs w:val="18"/>
              </w:rPr>
              <w:t xml:space="preserve"> Organize external monitoring and evaluation on selected basis using agreed criteria</w:t>
            </w:r>
          </w:p>
          <w:p w:rsidR="00C51EDF" w:rsidRDefault="00C51EDF" w:rsidP="00A9053C">
            <w:pPr>
              <w:pStyle w:val="ListParagraph"/>
              <w:numPr>
                <w:ilvl w:val="0"/>
                <w:numId w:val="32"/>
              </w:numPr>
              <w:tabs>
                <w:tab w:val="left" w:pos="108"/>
              </w:tabs>
              <w:spacing w:line="276" w:lineRule="auto"/>
              <w:ind w:left="-29" w:firstLine="0"/>
              <w:rPr>
                <w:rFonts w:ascii="Times New Roman" w:hAnsi="Times New Roman" w:cs="Times New Roman"/>
                <w:b w:val="0"/>
                <w:sz w:val="18"/>
                <w:szCs w:val="18"/>
              </w:rPr>
            </w:pPr>
            <w:r>
              <w:rPr>
                <w:rFonts w:ascii="Times New Roman" w:hAnsi="Times New Roman" w:cs="Times New Roman"/>
                <w:b w:val="0"/>
                <w:sz w:val="18"/>
                <w:szCs w:val="18"/>
              </w:rPr>
              <w:t xml:space="preserve"> Provide, financial, moral, administrative and political support as appropriate</w:t>
            </w:r>
          </w:p>
          <w:p w:rsidR="00C51EDF" w:rsidRDefault="00C51EDF" w:rsidP="00A9053C">
            <w:pPr>
              <w:pStyle w:val="ListParagraph"/>
              <w:numPr>
                <w:ilvl w:val="0"/>
                <w:numId w:val="32"/>
              </w:numPr>
              <w:tabs>
                <w:tab w:val="left" w:pos="108"/>
              </w:tabs>
              <w:spacing w:line="276" w:lineRule="auto"/>
              <w:ind w:left="-29" w:firstLine="0"/>
              <w:rPr>
                <w:rFonts w:ascii="Times New Roman" w:hAnsi="Times New Roman" w:cs="Times New Roman"/>
                <w:b w:val="0"/>
                <w:sz w:val="18"/>
                <w:szCs w:val="18"/>
              </w:rPr>
            </w:pPr>
            <w:r>
              <w:rPr>
                <w:rFonts w:ascii="Times New Roman" w:hAnsi="Times New Roman" w:cs="Times New Roman"/>
                <w:b w:val="0"/>
                <w:sz w:val="18"/>
                <w:szCs w:val="18"/>
              </w:rPr>
              <w:t>No witch hunting under any pretext</w:t>
            </w:r>
          </w:p>
          <w:p w:rsidR="00C51EDF" w:rsidRDefault="00C51EDF" w:rsidP="00A9053C">
            <w:pPr>
              <w:pStyle w:val="ListParagraph"/>
              <w:numPr>
                <w:ilvl w:val="0"/>
                <w:numId w:val="32"/>
              </w:numPr>
              <w:tabs>
                <w:tab w:val="left" w:pos="108"/>
              </w:tabs>
              <w:spacing w:line="276" w:lineRule="auto"/>
              <w:ind w:left="-29" w:firstLine="0"/>
              <w:rPr>
                <w:rFonts w:ascii="Times New Roman" w:hAnsi="Times New Roman" w:cs="Times New Roman"/>
                <w:b w:val="0"/>
                <w:sz w:val="18"/>
                <w:szCs w:val="18"/>
              </w:rPr>
            </w:pPr>
            <w:r>
              <w:rPr>
                <w:rFonts w:ascii="Times New Roman" w:hAnsi="Times New Roman" w:cs="Times New Roman"/>
                <w:b w:val="0"/>
                <w:sz w:val="18"/>
                <w:szCs w:val="18"/>
              </w:rPr>
              <w:t xml:space="preserve"> All CSOs should be operating under a social compact draw up for all organizations</w:t>
            </w:r>
          </w:p>
          <w:p w:rsidR="00C51EDF" w:rsidRDefault="00C51EDF" w:rsidP="00A9053C">
            <w:pPr>
              <w:pStyle w:val="ListParagraph"/>
              <w:numPr>
                <w:ilvl w:val="0"/>
                <w:numId w:val="32"/>
              </w:numPr>
              <w:tabs>
                <w:tab w:val="left" w:pos="108"/>
              </w:tabs>
              <w:spacing w:line="276" w:lineRule="auto"/>
              <w:ind w:left="-29" w:firstLine="0"/>
              <w:rPr>
                <w:rFonts w:ascii="Times New Roman" w:hAnsi="Times New Roman" w:cs="Times New Roman"/>
                <w:b w:val="0"/>
                <w:sz w:val="18"/>
                <w:szCs w:val="18"/>
              </w:rPr>
            </w:pPr>
            <w:r>
              <w:rPr>
                <w:rFonts w:ascii="Times New Roman" w:hAnsi="Times New Roman" w:cs="Times New Roman"/>
                <w:b w:val="0"/>
                <w:sz w:val="18"/>
                <w:szCs w:val="18"/>
              </w:rPr>
              <w:t>Implement government and independent audit</w:t>
            </w:r>
          </w:p>
          <w:p w:rsidR="00C51EDF" w:rsidRPr="009B25B7" w:rsidRDefault="00C51EDF" w:rsidP="00A9053C">
            <w:pPr>
              <w:pStyle w:val="ListParagraph"/>
              <w:numPr>
                <w:ilvl w:val="0"/>
                <w:numId w:val="32"/>
              </w:numPr>
              <w:tabs>
                <w:tab w:val="left" w:pos="108"/>
              </w:tabs>
              <w:spacing w:line="276" w:lineRule="auto"/>
              <w:ind w:left="-29" w:firstLine="0"/>
              <w:rPr>
                <w:rFonts w:ascii="Times New Roman" w:hAnsi="Times New Roman" w:cs="Times New Roman"/>
                <w:b w:val="0"/>
                <w:sz w:val="18"/>
                <w:szCs w:val="18"/>
              </w:rPr>
            </w:pPr>
            <w:r>
              <w:rPr>
                <w:rFonts w:ascii="Times New Roman" w:hAnsi="Times New Roman" w:cs="Times New Roman"/>
                <w:b w:val="0"/>
                <w:sz w:val="18"/>
                <w:szCs w:val="18"/>
              </w:rPr>
              <w:lastRenderedPageBreak/>
              <w:t xml:space="preserve"> Deal with the challenges outlined here in a strategic way </w:t>
            </w:r>
          </w:p>
        </w:tc>
      </w:tr>
      <w:tr w:rsidR="00C51EDF" w:rsidTr="00A9053C">
        <w:tc>
          <w:tcPr>
            <w:tcW w:w="1903"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rFonts w:ascii="Times New Roman" w:hAnsi="Times New Roman" w:cs="Times New Roman"/>
                <w:sz w:val="18"/>
                <w:szCs w:val="18"/>
              </w:rPr>
            </w:pPr>
            <w:r w:rsidRPr="00CB2D86">
              <w:rPr>
                <w:rFonts w:ascii="Times New Roman" w:hAnsi="Times New Roman" w:cs="Times New Roman"/>
                <w:sz w:val="18"/>
                <w:szCs w:val="18"/>
              </w:rPr>
              <w:lastRenderedPageBreak/>
              <w:t xml:space="preserve">Land </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color w:val="000000" w:themeColor="text1"/>
                <w:kern w:val="24"/>
                <w:sz w:val="18"/>
                <w:szCs w:val="18"/>
              </w:rPr>
              <w:t xml:space="preserve">Resources are on the decline both </w:t>
            </w:r>
            <w:r w:rsidRPr="00CB2D86">
              <w:rPr>
                <w:rFonts w:ascii="Times New Roman" w:hAnsi="Times New Roman" w:cs="Times New Roman"/>
                <w:b w:val="0"/>
                <w:sz w:val="18"/>
                <w:szCs w:val="18"/>
              </w:rPr>
              <w:t xml:space="preserve">quality and quantity wise; declining trend in the </w:t>
            </w:r>
            <w:r w:rsidRPr="00CB2D86">
              <w:rPr>
                <w:rFonts w:ascii="Times New Roman" w:hAnsi="Times New Roman" w:cs="Times New Roman"/>
                <w:b w:val="0"/>
                <w:sz w:val="18"/>
                <w:szCs w:val="18"/>
              </w:rPr>
              <w:lastRenderedPageBreak/>
              <w:t xml:space="preserve">availability of arable land; land productivity under threat; land use intensity, degradation, and poor management are undermining sustainability; inadequate investment in land conservation, reclamation and development; lack of cadastral survey; backlog of land titling and registration; inadequate protection of tenants; and land speculation distorting resource allocation and reducing growth potential </w:t>
            </w:r>
          </w:p>
          <w:p w:rsidR="00C51EDF" w:rsidRPr="00CB2D86" w:rsidRDefault="00C51EDF" w:rsidP="00A9053C">
            <w:pPr>
              <w:spacing w:line="276" w:lineRule="auto"/>
              <w:contextualSpacing/>
              <w:rPr>
                <w:rFonts w:ascii="Times New Roman" w:hAnsi="Times New Roman" w:cs="Times New Roman"/>
                <w:b w:val="0"/>
                <w:sz w:val="18"/>
                <w:szCs w:val="18"/>
              </w:rPr>
            </w:pPr>
          </w:p>
        </w:tc>
        <w:tc>
          <w:tcPr>
            <w:tcW w:w="1748"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lastRenderedPageBreak/>
              <w:t>Land management quality</w:t>
            </w:r>
          </w:p>
        </w:tc>
        <w:tc>
          <w:tcPr>
            <w:tcW w:w="186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Chaotic with numerous litigation</w:t>
            </w: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Improved with cases reduced by 10%</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Improved with cases reduced by 30%</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Improved with cases reduced by 50%+</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25"/>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Formulate a balanced Land-use Planning Policy following examples of India, Korea, Indonesia and Thailand</w:t>
            </w:r>
          </w:p>
          <w:p w:rsidR="00C51EDF" w:rsidRPr="00CB2D86" w:rsidRDefault="00C51EDF" w:rsidP="00A9053C">
            <w:pPr>
              <w:pStyle w:val="ListParagraph"/>
              <w:numPr>
                <w:ilvl w:val="0"/>
                <w:numId w:val="25"/>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lastRenderedPageBreak/>
              <w:t xml:space="preserve">Prepare land-use plan/spatial plan at national, regional, urban and rural levels with special consideration for compact townships in rural areas (Salim Rashid) </w:t>
            </w:r>
          </w:p>
          <w:p w:rsidR="00C51EDF" w:rsidRPr="00CB2D86" w:rsidRDefault="00C51EDF" w:rsidP="00A9053C">
            <w:pPr>
              <w:pStyle w:val="ListParagraph"/>
              <w:numPr>
                <w:ilvl w:val="0"/>
                <w:numId w:val="25"/>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Formulate a forward looking urban development strategy around sound spatial planning, land zoning and mass transit</w:t>
            </w:r>
          </w:p>
          <w:p w:rsidR="00C51EDF" w:rsidRPr="00CB2D86" w:rsidRDefault="00C51EDF" w:rsidP="00A9053C">
            <w:pPr>
              <w:pStyle w:val="ListParagraph"/>
              <w:numPr>
                <w:ilvl w:val="0"/>
                <w:numId w:val="25"/>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Pursue an urbanization policy for improved management of the accelerated urbanization process already under way in a somewhat chaotic manner</w:t>
            </w:r>
          </w:p>
          <w:p w:rsidR="00C51EDF" w:rsidRPr="00CB2D86" w:rsidRDefault="00C51EDF" w:rsidP="00A9053C">
            <w:pPr>
              <w:pStyle w:val="ListParagraph"/>
              <w:numPr>
                <w:ilvl w:val="0"/>
                <w:numId w:val="25"/>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Increase investment in land rehabilitation, development and protection</w:t>
            </w:r>
          </w:p>
          <w:p w:rsidR="00C51EDF" w:rsidRPr="00CB2D86" w:rsidRDefault="00C51EDF" w:rsidP="00A9053C">
            <w:pPr>
              <w:pStyle w:val="ListParagraph"/>
              <w:numPr>
                <w:ilvl w:val="0"/>
                <w:numId w:val="25"/>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Implement legislation enacted for ownership and tenurial rights</w:t>
            </w:r>
          </w:p>
          <w:p w:rsidR="00C51EDF" w:rsidRPr="00CB2D86" w:rsidRDefault="00C51EDF" w:rsidP="00A9053C">
            <w:pPr>
              <w:pStyle w:val="ListParagraph"/>
              <w:numPr>
                <w:ilvl w:val="0"/>
                <w:numId w:val="25"/>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Pay special attention to land administration; digitize land records but proceed cautiously;</w:t>
            </w:r>
          </w:p>
          <w:p w:rsidR="00C51EDF" w:rsidRPr="00CB2D86" w:rsidRDefault="00C51EDF" w:rsidP="00A9053C">
            <w:pPr>
              <w:pStyle w:val="ListParagraph"/>
              <w:numPr>
                <w:ilvl w:val="0"/>
                <w:numId w:val="25"/>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Formulate Alternative Dispute Resolution (ADR) Mechanism to expedite disposal of cases </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sz w:val="18"/>
                <w:szCs w:val="18"/>
              </w:rPr>
              <w:lastRenderedPageBreak/>
              <w:t>Basic education</w:t>
            </w:r>
            <w:r w:rsidRPr="00CB2D86">
              <w:rPr>
                <w:rFonts w:ascii="Times New Roman" w:hAnsi="Times New Roman" w:cs="Times New Roman"/>
                <w:b w:val="0"/>
                <w:sz w:val="18"/>
                <w:szCs w:val="18"/>
              </w:rPr>
              <w:t xml:space="preserve"> – </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 xml:space="preserve">Bangladesh has performed well in terms of basic education indicators (primary school enrolment and female enrolment for example) but is haunted by poor quality and dropout problems. </w:t>
            </w:r>
            <w:r w:rsidRPr="00CB2D86">
              <w:rPr>
                <w:rFonts w:ascii="Times New Roman" w:hAnsi="Times New Roman" w:cs="Times New Roman"/>
                <w:b w:val="0"/>
                <w:color w:val="000000" w:themeColor="text1"/>
                <w:kern w:val="24"/>
                <w:sz w:val="18"/>
                <w:szCs w:val="18"/>
              </w:rPr>
              <w:t>Inadequate preparation for participation in a tech savvy, multilingual, multi-skilled and multi-tasked world is the issue</w:t>
            </w:r>
          </w:p>
        </w:tc>
        <w:tc>
          <w:tcPr>
            <w:tcW w:w="1748"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Primary dropout rate</w:t>
            </w:r>
          </w:p>
          <w:p w:rsidR="00C51EDF" w:rsidRPr="00CB2D86" w:rsidRDefault="00C51EDF" w:rsidP="00A9053C">
            <w:pPr>
              <w:spacing w:line="276" w:lineRule="auto"/>
              <w:contextualSpacing/>
              <w:rPr>
                <w:rFonts w:ascii="Times New Roman" w:hAnsi="Times New Roman" w:cs="Times New Roman"/>
                <w:b w:val="0"/>
                <w:sz w:val="18"/>
                <w:szCs w:val="18"/>
              </w:rPr>
            </w:pP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Secondary dropout rate</w:t>
            </w:r>
          </w:p>
        </w:tc>
        <w:tc>
          <w:tcPr>
            <w:tcW w:w="1865"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21%</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50%</w:t>
            </w:r>
          </w:p>
        </w:tc>
        <w:tc>
          <w:tcPr>
            <w:tcW w:w="1589"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18%</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40%</w:t>
            </w:r>
          </w:p>
        </w:tc>
        <w:tc>
          <w:tcPr>
            <w:tcW w:w="2136"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10%</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10%</w:t>
            </w:r>
          </w:p>
        </w:tc>
        <w:tc>
          <w:tcPr>
            <w:tcW w:w="1752"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5%</w:t>
            </w:r>
          </w:p>
          <w:p w:rsidR="00C51EDF" w:rsidRPr="00CB2D86" w:rsidRDefault="00C51EDF" w:rsidP="00A9053C">
            <w:pPr>
              <w:spacing w:line="276" w:lineRule="auto"/>
              <w:contextualSpacing/>
              <w:jc w:val="center"/>
              <w:rPr>
                <w:rFonts w:ascii="Times New Roman" w:hAnsi="Times New Roman" w:cs="Times New Roman"/>
                <w:b w:val="0"/>
                <w:sz w:val="18"/>
                <w:szCs w:val="18"/>
              </w:rPr>
            </w:pP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5%</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26"/>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Raise public spending on education as % of GDP gradually to 5% and above</w:t>
            </w:r>
          </w:p>
          <w:p w:rsidR="00C51EDF" w:rsidRPr="00CB2D86" w:rsidRDefault="00C51EDF" w:rsidP="00A9053C">
            <w:pPr>
              <w:pStyle w:val="ListParagraph"/>
              <w:numPr>
                <w:ilvl w:val="0"/>
                <w:numId w:val="26"/>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Decentralize educational governance</w:t>
            </w:r>
          </w:p>
          <w:p w:rsidR="00C51EDF" w:rsidRPr="00CB2D86" w:rsidRDefault="00C51EDF" w:rsidP="00A9053C">
            <w:pPr>
              <w:pStyle w:val="ListParagraph"/>
              <w:numPr>
                <w:ilvl w:val="0"/>
                <w:numId w:val="26"/>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Raise teacher quantity and quality with upgraded teacher education which suffer from serious gap</w:t>
            </w:r>
          </w:p>
          <w:p w:rsidR="00C51EDF" w:rsidRPr="00CB2D86" w:rsidRDefault="00C51EDF" w:rsidP="00A9053C">
            <w:pPr>
              <w:pStyle w:val="ListParagraph"/>
              <w:numPr>
                <w:ilvl w:val="0"/>
                <w:numId w:val="26"/>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Provide support to pre-primary education</w:t>
            </w:r>
          </w:p>
          <w:p w:rsidR="00C51EDF" w:rsidRPr="00CB2D86" w:rsidRDefault="00C51EDF" w:rsidP="00A9053C">
            <w:pPr>
              <w:pStyle w:val="ListParagraph"/>
              <w:numPr>
                <w:ilvl w:val="0"/>
                <w:numId w:val="26"/>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Primary and secondary education should be brought under one administrative jurisdiction</w:t>
            </w:r>
          </w:p>
          <w:p w:rsidR="00C51EDF" w:rsidRPr="00CB2D86" w:rsidRDefault="00C51EDF" w:rsidP="00A9053C">
            <w:pPr>
              <w:pStyle w:val="ListParagraph"/>
              <w:numPr>
                <w:ilvl w:val="0"/>
                <w:numId w:val="26"/>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Promote skill development anchored in a drive for universal English and computer literacy from an early stage of schooling and competency in at least one additional foreign language and skill for all higher secondary certificate (</w:t>
            </w:r>
            <w:smartTag w:uri="urn:schemas-microsoft-com:office:smarttags" w:element="stockticker">
              <w:r w:rsidRPr="00CB2D86">
                <w:rPr>
                  <w:rFonts w:ascii="Times New Roman" w:hAnsi="Times New Roman" w:cs="Times New Roman"/>
                  <w:b w:val="0"/>
                  <w:sz w:val="18"/>
                  <w:szCs w:val="18"/>
                </w:rPr>
                <w:t>HSC</w:t>
              </w:r>
            </w:smartTag>
            <w:r w:rsidRPr="00CB2D86">
              <w:rPr>
                <w:rFonts w:ascii="Times New Roman" w:hAnsi="Times New Roman" w:cs="Times New Roman"/>
                <w:b w:val="0"/>
                <w:sz w:val="18"/>
                <w:szCs w:val="18"/>
              </w:rPr>
              <w:t>) graduates</w:t>
            </w:r>
          </w:p>
          <w:p w:rsidR="00C51EDF" w:rsidRPr="00CB2D86" w:rsidRDefault="00C51EDF" w:rsidP="00A9053C">
            <w:pPr>
              <w:pStyle w:val="ListParagraph"/>
              <w:numPr>
                <w:ilvl w:val="0"/>
                <w:numId w:val="26"/>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Tackle the two challenges of basic education that is meaningful quality and system dropouts through six strategic actions: (</w:t>
            </w:r>
            <w:proofErr w:type="spellStart"/>
            <w:r w:rsidRPr="00CB2D86">
              <w:rPr>
                <w:rFonts w:ascii="Times New Roman" w:hAnsi="Times New Roman" w:cs="Times New Roman"/>
                <w:b w:val="0"/>
                <w:sz w:val="18"/>
                <w:szCs w:val="18"/>
              </w:rPr>
              <w:t>i</w:t>
            </w:r>
            <w:proofErr w:type="spellEnd"/>
            <w:r w:rsidRPr="00CB2D86">
              <w:rPr>
                <w:rFonts w:ascii="Times New Roman" w:hAnsi="Times New Roman" w:cs="Times New Roman"/>
                <w:b w:val="0"/>
                <w:sz w:val="18"/>
                <w:szCs w:val="18"/>
              </w:rPr>
              <w:t xml:space="preserve">) teacher quality, (ii) curriculum, (iii) teaching materials and physical facilities, and (iv) educational support both at school and at home for those vulnerable to falling through cracks; (v) developing open </w:t>
            </w:r>
            <w:r w:rsidRPr="00CB2D86">
              <w:rPr>
                <w:rFonts w:ascii="Times New Roman" w:hAnsi="Times New Roman" w:cs="Times New Roman"/>
                <w:b w:val="0"/>
                <w:sz w:val="18"/>
                <w:szCs w:val="18"/>
              </w:rPr>
              <w:lastRenderedPageBreak/>
              <w:t>school platforms (TV, net, mobile applications) with specific ICT support. (Like India did in some areas, distribute $20 Tablet PC to all HSC students for about only $50 million); and (vi) developing vocational experts for export as migrant workers</w:t>
            </w:r>
          </w:p>
        </w:tc>
      </w:tr>
      <w:tr w:rsidR="00C51EDF" w:rsidTr="00A9053C">
        <w:tc>
          <w:tcPr>
            <w:tcW w:w="1903"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sz w:val="18"/>
                <w:szCs w:val="18"/>
              </w:rPr>
              <w:lastRenderedPageBreak/>
              <w:t>Skill</w:t>
            </w:r>
            <w:r w:rsidRPr="00CB2D86">
              <w:rPr>
                <w:rFonts w:ascii="Times New Roman" w:hAnsi="Times New Roman" w:cs="Times New Roman"/>
                <w:b w:val="0"/>
                <w:sz w:val="18"/>
                <w:szCs w:val="18"/>
              </w:rPr>
              <w:t xml:space="preserve"> – </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color w:val="000000" w:themeColor="text1"/>
                <w:kern w:val="24"/>
                <w:sz w:val="18"/>
                <w:szCs w:val="18"/>
              </w:rPr>
              <w:t>The challenge is annual addition of 2 million plus labor is difficult to absorb in the absence of appropriate training and skill development; low skill pervades the entire labor force causing low productivity; training and skill development facilities are inadequate and poorly equipped; competency based training is missing; and skill mix of overseas workers is unfavorable to raising average earnings/remittances to the level of other Asian countries like India, Pakistan and Sri Lanka</w:t>
            </w:r>
          </w:p>
        </w:tc>
        <w:tc>
          <w:tcPr>
            <w:tcW w:w="1748"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Skill training target</w:t>
            </w:r>
          </w:p>
        </w:tc>
        <w:tc>
          <w:tcPr>
            <w:tcW w:w="186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5 million</w:t>
            </w:r>
          </w:p>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(actual much lower less than a million)</w:t>
            </w: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6.5 million</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 xml:space="preserve">9 million </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14 million</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27"/>
              </w:numPr>
              <w:tabs>
                <w:tab w:val="left" w:pos="126"/>
              </w:tabs>
              <w:spacing w:line="276" w:lineRule="auto"/>
              <w:ind w:left="-54" w:firstLine="0"/>
              <w:rPr>
                <w:rFonts w:ascii="Times New Roman" w:hAnsi="Times New Roman" w:cs="Times New Roman"/>
                <w:b w:val="0"/>
                <w:sz w:val="18"/>
                <w:szCs w:val="18"/>
              </w:rPr>
            </w:pPr>
            <w:r w:rsidRPr="00CB2D86">
              <w:rPr>
                <w:rFonts w:ascii="Times New Roman" w:hAnsi="Times New Roman" w:cs="Times New Roman"/>
                <w:b w:val="0"/>
                <w:sz w:val="18"/>
                <w:szCs w:val="18"/>
              </w:rPr>
              <w:t>Strengthen TVET education through finance, infrastructure, manpower and research and monitoring</w:t>
            </w:r>
          </w:p>
          <w:p w:rsidR="00C51EDF" w:rsidRPr="00CB2D86" w:rsidRDefault="00C51EDF" w:rsidP="00A9053C">
            <w:pPr>
              <w:pStyle w:val="ListParagraph"/>
              <w:numPr>
                <w:ilvl w:val="0"/>
                <w:numId w:val="27"/>
              </w:numPr>
              <w:tabs>
                <w:tab w:val="left" w:pos="126"/>
              </w:tabs>
              <w:spacing w:line="276" w:lineRule="auto"/>
              <w:ind w:left="-54" w:firstLine="0"/>
              <w:rPr>
                <w:rFonts w:ascii="Times New Roman" w:hAnsi="Times New Roman" w:cs="Times New Roman"/>
                <w:b w:val="0"/>
                <w:sz w:val="18"/>
                <w:szCs w:val="18"/>
              </w:rPr>
            </w:pPr>
            <w:r w:rsidRPr="00CB2D86">
              <w:rPr>
                <w:rFonts w:ascii="Times New Roman" w:hAnsi="Times New Roman" w:cs="Times New Roman"/>
                <w:b w:val="0"/>
                <w:sz w:val="18"/>
                <w:szCs w:val="18"/>
              </w:rPr>
              <w:t>Introduce skill orientation in school, college, university education with all secondary graduates being equipped with at least one vocational skill and one foreign language</w:t>
            </w:r>
          </w:p>
          <w:p w:rsidR="00C51EDF" w:rsidRPr="00CB2D86" w:rsidRDefault="00C51EDF" w:rsidP="00A9053C">
            <w:pPr>
              <w:pStyle w:val="ListParagraph"/>
              <w:numPr>
                <w:ilvl w:val="0"/>
                <w:numId w:val="27"/>
              </w:numPr>
              <w:tabs>
                <w:tab w:val="left" w:pos="126"/>
              </w:tabs>
              <w:spacing w:line="276" w:lineRule="auto"/>
              <w:ind w:left="-54" w:firstLine="0"/>
              <w:rPr>
                <w:rFonts w:ascii="Times New Roman" w:hAnsi="Times New Roman" w:cs="Times New Roman"/>
                <w:b w:val="0"/>
                <w:sz w:val="18"/>
                <w:szCs w:val="18"/>
              </w:rPr>
            </w:pPr>
            <w:r w:rsidRPr="00CB2D86">
              <w:rPr>
                <w:rFonts w:ascii="Times New Roman" w:hAnsi="Times New Roman" w:cs="Times New Roman"/>
                <w:b w:val="0"/>
                <w:sz w:val="18"/>
                <w:szCs w:val="18"/>
              </w:rPr>
              <w:t>Make MOF’s Skill for Employment Investment Program (SEIP) a national platform for skill development through public-private partnership fostered by operationalization of the newly established the National Skill Development Authority (NSDA) and the National Human Resources Development Fund (NHRDF) to support m</w:t>
            </w:r>
            <w:r w:rsidRPr="00CB2D86">
              <w:rPr>
                <w:rFonts w:ascii="Times New Roman" w:hAnsi="Times New Roman" w:cs="Times New Roman"/>
                <w:b w:val="0"/>
                <w:bCs/>
                <w:sz w:val="18"/>
                <w:szCs w:val="18"/>
              </w:rPr>
              <w:t xml:space="preserve">arket responsive inclusive skills training by public and private training institutions’ </w:t>
            </w:r>
            <w:r w:rsidRPr="00CB2D86">
              <w:rPr>
                <w:rFonts w:ascii="Times New Roman" w:hAnsi="Times New Roman" w:cs="Times New Roman"/>
                <w:b w:val="0"/>
                <w:sz w:val="18"/>
                <w:szCs w:val="18"/>
              </w:rPr>
              <w:lastRenderedPageBreak/>
              <w:t>programs to meet projected skills gap in the future years</w:t>
            </w:r>
          </w:p>
          <w:p w:rsidR="00C51EDF" w:rsidRPr="00CB2D86" w:rsidRDefault="00C51EDF" w:rsidP="00A9053C">
            <w:pPr>
              <w:pStyle w:val="ListParagraph"/>
              <w:numPr>
                <w:ilvl w:val="0"/>
                <w:numId w:val="27"/>
              </w:numPr>
              <w:tabs>
                <w:tab w:val="left" w:pos="126"/>
              </w:tabs>
              <w:spacing w:line="276" w:lineRule="auto"/>
              <w:ind w:left="-54" w:firstLine="0"/>
              <w:rPr>
                <w:rFonts w:ascii="Times New Roman" w:hAnsi="Times New Roman" w:cs="Times New Roman"/>
                <w:b w:val="0"/>
                <w:sz w:val="18"/>
                <w:szCs w:val="18"/>
              </w:rPr>
            </w:pPr>
            <w:r w:rsidRPr="00CB2D86">
              <w:rPr>
                <w:rFonts w:ascii="Times New Roman" w:hAnsi="Times New Roman" w:cs="Times New Roman"/>
                <w:b w:val="0"/>
                <w:sz w:val="18"/>
                <w:szCs w:val="18"/>
              </w:rPr>
              <w:t>Executive development Program</w:t>
            </w:r>
          </w:p>
          <w:p w:rsidR="00C51EDF" w:rsidRPr="00CB2D86" w:rsidRDefault="00C51EDF" w:rsidP="00A9053C">
            <w:pPr>
              <w:pStyle w:val="ListParagraph"/>
              <w:numPr>
                <w:ilvl w:val="0"/>
                <w:numId w:val="27"/>
              </w:numPr>
              <w:tabs>
                <w:tab w:val="left" w:pos="126"/>
              </w:tabs>
              <w:spacing w:line="276" w:lineRule="auto"/>
              <w:ind w:left="-54" w:firstLine="0"/>
              <w:rPr>
                <w:rFonts w:ascii="Times New Roman" w:hAnsi="Times New Roman" w:cs="Times New Roman"/>
                <w:b w:val="0"/>
                <w:sz w:val="18"/>
                <w:szCs w:val="18"/>
              </w:rPr>
            </w:pPr>
            <w:r w:rsidRPr="00CB2D86">
              <w:rPr>
                <w:rFonts w:ascii="Times New Roman" w:hAnsi="Times New Roman" w:cs="Times New Roman"/>
                <w:b w:val="0"/>
                <w:sz w:val="18"/>
                <w:szCs w:val="18"/>
              </w:rPr>
              <w:t>Policy analysis training</w:t>
            </w:r>
          </w:p>
        </w:tc>
      </w:tr>
      <w:tr w:rsidR="00C51EDF" w:rsidTr="00A9053C">
        <w:tc>
          <w:tcPr>
            <w:tcW w:w="1903"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rPr>
                <w:rFonts w:ascii="Times New Roman" w:hAnsi="Times New Roman" w:cs="Times New Roman"/>
                <w:sz w:val="18"/>
                <w:szCs w:val="18"/>
              </w:rPr>
            </w:pPr>
            <w:r>
              <w:rPr>
                <w:rFonts w:ascii="Times New Roman" w:hAnsi="Times New Roman" w:cs="Times New Roman"/>
                <w:sz w:val="18"/>
                <w:szCs w:val="18"/>
              </w:rPr>
              <w:lastRenderedPageBreak/>
              <w:t>Technology</w:t>
            </w:r>
          </w:p>
          <w:p w:rsidR="00C51EDF" w:rsidRPr="006A5BAD" w:rsidRDefault="00C51EDF" w:rsidP="00A9053C">
            <w:pPr>
              <w:spacing w:after="200" w:line="276" w:lineRule="auto"/>
              <w:ind w:left="-18"/>
              <w:rPr>
                <w:rFonts w:ascii="Times New Roman" w:hAnsi="Times New Roman" w:cs="Times New Roman"/>
                <w:b w:val="0"/>
                <w:sz w:val="18"/>
                <w:szCs w:val="18"/>
              </w:rPr>
            </w:pPr>
            <w:r w:rsidRPr="006A5BAD">
              <w:rPr>
                <w:rFonts w:ascii="Times New Roman" w:hAnsi="Times New Roman" w:cs="Times New Roman"/>
                <w:b w:val="0"/>
                <w:sz w:val="18"/>
                <w:szCs w:val="18"/>
              </w:rPr>
              <w:t>Technology platform</w:t>
            </w:r>
            <w:r>
              <w:rPr>
                <w:rFonts w:ascii="Times New Roman" w:hAnsi="Times New Roman" w:cs="Times New Roman"/>
                <w:b w:val="0"/>
                <w:sz w:val="18"/>
                <w:szCs w:val="18"/>
              </w:rPr>
              <w:t>: The challenge is how to create an environment from free flow of technologies through development adoption and adaptation</w:t>
            </w:r>
          </w:p>
          <w:p w:rsidR="00C51EDF" w:rsidRDefault="00C51EDF" w:rsidP="00A9053C">
            <w:pPr>
              <w:spacing w:after="200" w:line="276" w:lineRule="auto"/>
              <w:ind w:left="-18"/>
              <w:rPr>
                <w:rFonts w:ascii="Times New Roman" w:hAnsi="Times New Roman" w:cs="Times New Roman"/>
                <w:b w:val="0"/>
                <w:sz w:val="18"/>
                <w:szCs w:val="18"/>
              </w:rPr>
            </w:pPr>
          </w:p>
          <w:p w:rsidR="00C51EDF" w:rsidRDefault="00C51EDF" w:rsidP="00A9053C">
            <w:pPr>
              <w:spacing w:after="200" w:line="276" w:lineRule="auto"/>
              <w:ind w:left="-18"/>
              <w:rPr>
                <w:rFonts w:ascii="Times New Roman" w:hAnsi="Times New Roman" w:cs="Times New Roman"/>
                <w:b w:val="0"/>
                <w:sz w:val="18"/>
                <w:szCs w:val="18"/>
              </w:rPr>
            </w:pPr>
            <w:r w:rsidRPr="006A5BAD">
              <w:rPr>
                <w:rFonts w:ascii="Times New Roman" w:hAnsi="Times New Roman" w:cs="Times New Roman"/>
                <w:b w:val="0"/>
                <w:sz w:val="18"/>
                <w:szCs w:val="18"/>
              </w:rPr>
              <w:t>Advanced Universities for science and technology</w:t>
            </w:r>
            <w:r>
              <w:rPr>
                <w:rFonts w:ascii="Times New Roman" w:hAnsi="Times New Roman" w:cs="Times New Roman"/>
                <w:b w:val="0"/>
                <w:sz w:val="18"/>
                <w:szCs w:val="18"/>
              </w:rPr>
              <w:t>: The challenge is how to avoid the current of university expansions without resources and quality</w:t>
            </w:r>
          </w:p>
          <w:p w:rsidR="00C51EDF" w:rsidRDefault="00C51EDF" w:rsidP="00A9053C">
            <w:pPr>
              <w:spacing w:after="200" w:line="276" w:lineRule="auto"/>
              <w:ind w:left="-18"/>
              <w:rPr>
                <w:rFonts w:ascii="Times New Roman" w:hAnsi="Times New Roman" w:cs="Times New Roman"/>
                <w:b w:val="0"/>
                <w:sz w:val="18"/>
                <w:szCs w:val="18"/>
              </w:rPr>
            </w:pPr>
          </w:p>
          <w:p w:rsidR="00C51EDF" w:rsidRPr="006A5BAD" w:rsidRDefault="00C51EDF" w:rsidP="00A9053C">
            <w:pPr>
              <w:spacing w:after="200" w:line="276" w:lineRule="auto"/>
              <w:ind w:left="-18"/>
              <w:rPr>
                <w:rFonts w:ascii="Times New Roman" w:hAnsi="Times New Roman" w:cs="Times New Roman"/>
                <w:b w:val="0"/>
                <w:sz w:val="18"/>
                <w:szCs w:val="18"/>
              </w:rPr>
            </w:pPr>
          </w:p>
          <w:p w:rsidR="00C51EDF" w:rsidRPr="004D775E" w:rsidRDefault="00C51EDF" w:rsidP="00A9053C">
            <w:pPr>
              <w:spacing w:line="276" w:lineRule="auto"/>
              <w:rPr>
                <w:rFonts w:ascii="Times New Roman" w:hAnsi="Times New Roman" w:cs="Times New Roman"/>
                <w:b w:val="0"/>
                <w:sz w:val="18"/>
                <w:szCs w:val="18"/>
              </w:rPr>
            </w:pPr>
            <w:r w:rsidRPr="006A5BAD">
              <w:rPr>
                <w:rFonts w:ascii="Times New Roman" w:hAnsi="Times New Roman" w:cs="Times New Roman"/>
                <w:b w:val="0"/>
                <w:sz w:val="18"/>
                <w:szCs w:val="18"/>
              </w:rPr>
              <w:t>IT - Core of IT Parks Project</w:t>
            </w:r>
            <w:r>
              <w:rPr>
                <w:rFonts w:ascii="Times New Roman" w:hAnsi="Times New Roman" w:cs="Times New Roman"/>
                <w:b w:val="0"/>
                <w:sz w:val="18"/>
                <w:szCs w:val="18"/>
              </w:rPr>
              <w:t>: challenges are infrastructure (</w:t>
            </w:r>
            <w:r w:rsidRPr="00EB36F5">
              <w:rPr>
                <w:rFonts w:ascii="Times New Roman" w:hAnsi="Times New Roman" w:cs="Times New Roman"/>
                <w:b w:val="0"/>
                <w:sz w:val="18"/>
                <w:szCs w:val="18"/>
                <w:lang w:val="en-IN"/>
              </w:rPr>
              <w:t>Lack of established IT parks and Class A office spaces</w:t>
            </w:r>
            <w:r>
              <w:rPr>
                <w:rFonts w:ascii="Times New Roman" w:hAnsi="Times New Roman" w:cs="Times New Roman"/>
                <w:b w:val="0"/>
                <w:sz w:val="18"/>
                <w:szCs w:val="18"/>
                <w:lang w:val="en-IN"/>
              </w:rPr>
              <w:t>)</w:t>
            </w:r>
            <w:r>
              <w:rPr>
                <w:rFonts w:ascii="Times New Roman" w:hAnsi="Times New Roman" w:cs="Times New Roman"/>
                <w:b w:val="0"/>
                <w:sz w:val="18"/>
                <w:szCs w:val="18"/>
              </w:rPr>
              <w:t xml:space="preserve">, manpower </w:t>
            </w:r>
            <w:r>
              <w:rPr>
                <w:rFonts w:ascii="Times New Roman" w:hAnsi="Times New Roman" w:cs="Times New Roman"/>
                <w:b w:val="0"/>
                <w:sz w:val="18"/>
                <w:szCs w:val="18"/>
              </w:rPr>
              <w:lastRenderedPageBreak/>
              <w:t>(</w:t>
            </w:r>
            <w:r>
              <w:rPr>
                <w:rFonts w:ascii="Times New Roman" w:hAnsi="Times New Roman" w:cs="Times New Roman"/>
                <w:b w:val="0"/>
                <w:sz w:val="18"/>
                <w:szCs w:val="18"/>
                <w:lang w:val="en-IN"/>
              </w:rPr>
              <w:t>r</w:t>
            </w:r>
            <w:r w:rsidRPr="00BE2070">
              <w:rPr>
                <w:rFonts w:ascii="Times New Roman" w:hAnsi="Times New Roman" w:cs="Times New Roman"/>
                <w:b w:val="0"/>
                <w:sz w:val="18"/>
                <w:szCs w:val="18"/>
                <w:lang w:val="en-IN"/>
              </w:rPr>
              <w:t>ight talent pool not available currently</w:t>
            </w:r>
            <w:r>
              <w:rPr>
                <w:rFonts w:ascii="Times New Roman" w:hAnsi="Times New Roman" w:cs="Times New Roman"/>
                <w:b w:val="0"/>
                <w:sz w:val="18"/>
                <w:szCs w:val="18"/>
                <w:lang w:val="en-IN"/>
              </w:rPr>
              <w:t>)</w:t>
            </w:r>
            <w:r>
              <w:rPr>
                <w:rFonts w:ascii="Times New Roman" w:hAnsi="Times New Roman" w:cs="Times New Roman"/>
                <w:b w:val="0"/>
                <w:sz w:val="18"/>
                <w:szCs w:val="18"/>
              </w:rPr>
              <w:t xml:space="preserve"> and policies; public-private partnership; weak private sector; limited domestic market; FDI; attracting reputed foreign companies, limited access to finance; taking advantage of the fact that i</w:t>
            </w:r>
            <w:r w:rsidRPr="004D775E">
              <w:rPr>
                <w:rFonts w:ascii="Times New Roman" w:hAnsi="Times New Roman" w:cs="Times New Roman"/>
                <w:b w:val="0"/>
                <w:sz w:val="18"/>
                <w:szCs w:val="18"/>
              </w:rPr>
              <w:t>ntelligent enterprises have increased use of automation, robotics, artificial intelligence &amp; cognitive computing across industries</w:t>
            </w:r>
            <w:r>
              <w:rPr>
                <w:rFonts w:ascii="Times New Roman" w:hAnsi="Times New Roman" w:cs="Times New Roman"/>
                <w:b w:val="0"/>
                <w:sz w:val="18"/>
                <w:szCs w:val="18"/>
              </w:rPr>
              <w:t xml:space="preserve"> </w:t>
            </w:r>
            <w:proofErr w:type="spellStart"/>
            <w:r>
              <w:rPr>
                <w:rFonts w:ascii="Times New Roman" w:hAnsi="Times New Roman" w:cs="Times New Roman"/>
                <w:b w:val="0"/>
                <w:sz w:val="18"/>
                <w:szCs w:val="18"/>
              </w:rPr>
              <w:t>Tholon</w:t>
            </w:r>
            <w:proofErr w:type="spellEnd"/>
            <w:r>
              <w:rPr>
                <w:rFonts w:ascii="Times New Roman" w:hAnsi="Times New Roman" w:cs="Times New Roman"/>
                <w:b w:val="0"/>
                <w:sz w:val="18"/>
                <w:szCs w:val="18"/>
              </w:rPr>
              <w:t xml:space="preserve"> 2016)</w:t>
            </w:r>
          </w:p>
          <w:p w:rsidR="00C51EDF" w:rsidRPr="00CB2D86" w:rsidRDefault="00C51EDF" w:rsidP="00A9053C">
            <w:pPr>
              <w:spacing w:line="276" w:lineRule="auto"/>
              <w:contextualSpacing/>
              <w:rPr>
                <w:rFonts w:ascii="Times New Roman" w:hAnsi="Times New Roman" w:cs="Times New Roman"/>
                <w:sz w:val="18"/>
                <w:szCs w:val="18"/>
              </w:rPr>
            </w:pPr>
          </w:p>
        </w:tc>
        <w:tc>
          <w:tcPr>
            <w:tcW w:w="1748"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lastRenderedPageBreak/>
              <w:t>Functioning t</w:t>
            </w:r>
            <w:r w:rsidRPr="00E17912">
              <w:rPr>
                <w:rFonts w:ascii="Times New Roman" w:hAnsi="Times New Roman" w:cs="Times New Roman"/>
                <w:b w:val="0"/>
                <w:sz w:val="18"/>
                <w:szCs w:val="18"/>
              </w:rPr>
              <w:t>echnology platform</w:t>
            </w:r>
            <w:r>
              <w:rPr>
                <w:rFonts w:ascii="Times New Roman" w:hAnsi="Times New Roman" w:cs="Times New Roman"/>
                <w:b w:val="0"/>
                <w:sz w:val="18"/>
                <w:szCs w:val="18"/>
              </w:rPr>
              <w:t xml:space="preserve"> with public sector support and private sector leadership</w:t>
            </w: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Operational advanced universities for science and technology</w:t>
            </w: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Centers of excellence (</w:t>
            </w:r>
            <w:proofErr w:type="spellStart"/>
            <w:r>
              <w:rPr>
                <w:rFonts w:ascii="Times New Roman" w:hAnsi="Times New Roman" w:cs="Times New Roman"/>
                <w:b w:val="0"/>
                <w:sz w:val="18"/>
                <w:szCs w:val="18"/>
              </w:rPr>
              <w:t>CoE</w:t>
            </w:r>
            <w:proofErr w:type="spellEnd"/>
            <w:r>
              <w:rPr>
                <w:rFonts w:ascii="Times New Roman" w:hAnsi="Times New Roman" w:cs="Times New Roman"/>
                <w:b w:val="0"/>
                <w:sz w:val="18"/>
                <w:szCs w:val="18"/>
              </w:rPr>
              <w:t>)</w:t>
            </w: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IT Parks</w:t>
            </w: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IT education at universities</w:t>
            </w: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National Institute for Information and Communication Technology</w:t>
            </w: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Default="00C51EDF" w:rsidP="00A9053C">
            <w:pPr>
              <w:spacing w:line="276" w:lineRule="auto"/>
              <w:contextualSpacing/>
              <w:rPr>
                <w:rFonts w:ascii="Times New Roman" w:hAnsi="Times New Roman" w:cs="Times New Roman"/>
                <w:b w:val="0"/>
                <w:sz w:val="18"/>
                <w:szCs w:val="18"/>
              </w:rPr>
            </w:pPr>
          </w:p>
          <w:p w:rsidR="00C51EDF" w:rsidRPr="00E17912" w:rsidRDefault="00C51EDF" w:rsidP="00A9053C">
            <w:pPr>
              <w:spacing w:line="276" w:lineRule="auto"/>
              <w:contextualSpacing/>
              <w:rPr>
                <w:rFonts w:ascii="Times New Roman" w:hAnsi="Times New Roman" w:cs="Times New Roman"/>
                <w:b w:val="0"/>
                <w:sz w:val="18"/>
                <w:szCs w:val="18"/>
              </w:rPr>
            </w:pPr>
            <w:r>
              <w:rPr>
                <w:rFonts w:ascii="Times New Roman" w:hAnsi="Times New Roman" w:cs="Times New Roman"/>
                <w:b w:val="0"/>
                <w:sz w:val="18"/>
                <w:szCs w:val="18"/>
              </w:rPr>
              <w:t>ICT service exports</w:t>
            </w:r>
          </w:p>
        </w:tc>
        <w:tc>
          <w:tcPr>
            <w:tcW w:w="1865"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sidRPr="00E17912">
              <w:rPr>
                <w:rFonts w:ascii="Times New Roman" w:hAnsi="Times New Roman" w:cs="Times New Roman"/>
                <w:b w:val="0"/>
                <w:sz w:val="18"/>
                <w:szCs w:val="18"/>
              </w:rPr>
              <w:lastRenderedPageBreak/>
              <w:t>None</w:t>
            </w:r>
            <w:r>
              <w:rPr>
                <w:rFonts w:ascii="Times New Roman" w:hAnsi="Times New Roman" w:cs="Times New Roman"/>
                <w:b w:val="0"/>
                <w:sz w:val="18"/>
                <w:szCs w:val="18"/>
              </w:rPr>
              <w:t xml:space="preserve"> </w:t>
            </w: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(technology development, adoption and adaptation ad hoc with very limited public sector support and private sector leadership and participation)</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None</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None</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Kaliakoir and Jessore under construction</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Poor quality IT education in most of the 92 universities under UGC</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457E3" w:rsidRDefault="00C457E3"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 xml:space="preserve">No plan </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Pr="00E17912"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&lt; $1 billion ($881 million in 2015</w:t>
            </w:r>
          </w:p>
        </w:tc>
        <w:tc>
          <w:tcPr>
            <w:tcW w:w="1589"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sidRPr="00E17912">
              <w:rPr>
                <w:rFonts w:ascii="Times New Roman" w:hAnsi="Times New Roman" w:cs="Times New Roman"/>
                <w:b w:val="0"/>
                <w:sz w:val="18"/>
                <w:szCs w:val="18"/>
              </w:rPr>
              <w:lastRenderedPageBreak/>
              <w:t>Technology</w:t>
            </w:r>
            <w:r>
              <w:rPr>
                <w:rFonts w:ascii="Times New Roman" w:hAnsi="Times New Roman" w:cs="Times New Roman"/>
                <w:b w:val="0"/>
                <w:sz w:val="18"/>
                <w:szCs w:val="18"/>
              </w:rPr>
              <w:t xml:space="preserve"> platform established initiating systematic flow of technologies with strong public sector support and emerging private sector leadership and participation</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Pr="004E35EC" w:rsidRDefault="00C51EDF" w:rsidP="00A9053C">
            <w:pPr>
              <w:spacing w:after="200" w:line="276" w:lineRule="auto"/>
              <w:rPr>
                <w:rFonts w:ascii="Times New Roman" w:hAnsi="Times New Roman" w:cs="Times New Roman"/>
                <w:b w:val="0"/>
                <w:sz w:val="18"/>
                <w:szCs w:val="18"/>
              </w:rPr>
            </w:pPr>
            <w:r w:rsidRPr="004E35EC">
              <w:rPr>
                <w:rFonts w:ascii="Times New Roman" w:hAnsi="Times New Roman" w:cs="Times New Roman"/>
                <w:b w:val="0"/>
                <w:sz w:val="18"/>
                <w:szCs w:val="18"/>
              </w:rPr>
              <w:t>Supporting Technology and Innovation in Universities</w:t>
            </w:r>
          </w:p>
          <w:p w:rsidR="00C51EDF" w:rsidRDefault="00C51EDF" w:rsidP="00A9053C">
            <w:pPr>
              <w:spacing w:after="200" w:line="276" w:lineRule="auto"/>
              <w:rPr>
                <w:rFonts w:ascii="Times New Roman" w:hAnsi="Times New Roman" w:cs="Times New Roman"/>
                <w:b w:val="0"/>
                <w:sz w:val="18"/>
                <w:szCs w:val="18"/>
              </w:rPr>
            </w:pPr>
            <w:r w:rsidRPr="004E35EC">
              <w:rPr>
                <w:rFonts w:ascii="Times New Roman" w:hAnsi="Times New Roman" w:cs="Times New Roman"/>
                <w:b w:val="0"/>
                <w:sz w:val="18"/>
                <w:szCs w:val="18"/>
              </w:rPr>
              <w:t>ICT University</w:t>
            </w:r>
          </w:p>
          <w:p w:rsidR="00C51EDF" w:rsidRDefault="00C51EDF" w:rsidP="00A9053C">
            <w:pPr>
              <w:spacing w:line="276" w:lineRule="auto"/>
              <w:rPr>
                <w:rFonts w:ascii="Times New Roman" w:hAnsi="Times New Roman" w:cs="Times New Roman"/>
                <w:b w:val="0"/>
                <w:sz w:val="18"/>
                <w:szCs w:val="18"/>
              </w:rPr>
            </w:pPr>
            <w:r>
              <w:rPr>
                <w:rFonts w:ascii="Times New Roman" w:hAnsi="Times New Roman" w:cs="Times New Roman"/>
                <w:b w:val="0"/>
                <w:sz w:val="18"/>
                <w:szCs w:val="18"/>
              </w:rPr>
              <w:t>Six CoEs in priority sectors operational</w:t>
            </w:r>
          </w:p>
          <w:p w:rsidR="00C51EDF" w:rsidRDefault="00C51EDF" w:rsidP="00A9053C">
            <w:pPr>
              <w:spacing w:line="276" w:lineRule="auto"/>
              <w:rPr>
                <w:rFonts w:ascii="Times New Roman" w:hAnsi="Times New Roman" w:cs="Times New Roman"/>
                <w:b w:val="0"/>
                <w:sz w:val="18"/>
                <w:szCs w:val="18"/>
              </w:rPr>
            </w:pPr>
          </w:p>
          <w:p w:rsidR="00C51EDF" w:rsidRDefault="00C51EDF" w:rsidP="00A9053C">
            <w:pPr>
              <w:spacing w:line="276" w:lineRule="auto"/>
              <w:rPr>
                <w:rFonts w:ascii="Times New Roman" w:hAnsi="Times New Roman" w:cs="Times New Roman"/>
                <w:b w:val="0"/>
                <w:sz w:val="18"/>
                <w:szCs w:val="18"/>
              </w:rPr>
            </w:pPr>
          </w:p>
          <w:p w:rsidR="00C51EDF" w:rsidRDefault="00C51EDF" w:rsidP="00A9053C">
            <w:pPr>
              <w:spacing w:line="276" w:lineRule="auto"/>
              <w:rPr>
                <w:rFonts w:ascii="Times New Roman" w:hAnsi="Times New Roman" w:cs="Times New Roman"/>
                <w:b w:val="0"/>
                <w:sz w:val="18"/>
                <w:szCs w:val="18"/>
              </w:rPr>
            </w:pPr>
            <w:r>
              <w:rPr>
                <w:rFonts w:ascii="Times New Roman" w:hAnsi="Times New Roman" w:cs="Times New Roman"/>
                <w:b w:val="0"/>
                <w:sz w:val="18"/>
                <w:szCs w:val="18"/>
              </w:rPr>
              <w:t xml:space="preserve">Kaliakoir and Jessore operational and work under way at five other locations all </w:t>
            </w:r>
            <w:r>
              <w:rPr>
                <w:rFonts w:ascii="Times New Roman" w:hAnsi="Times New Roman" w:cs="Times New Roman"/>
                <w:b w:val="0"/>
                <w:sz w:val="18"/>
                <w:szCs w:val="18"/>
              </w:rPr>
              <w:lastRenderedPageBreak/>
              <w:t>public-private partnership</w:t>
            </w:r>
          </w:p>
          <w:p w:rsidR="00C51EDF" w:rsidRDefault="00C51EDF" w:rsidP="00A9053C">
            <w:pPr>
              <w:spacing w:line="276" w:lineRule="auto"/>
              <w:rPr>
                <w:rFonts w:ascii="Times New Roman" w:hAnsi="Times New Roman" w:cs="Times New Roman"/>
                <w:b w:val="0"/>
                <w:sz w:val="18"/>
                <w:szCs w:val="18"/>
              </w:rPr>
            </w:pPr>
          </w:p>
          <w:p w:rsidR="00C51EDF" w:rsidRDefault="00C51EDF" w:rsidP="00A9053C">
            <w:pPr>
              <w:spacing w:line="276" w:lineRule="auto"/>
              <w:rPr>
                <w:rFonts w:ascii="Times New Roman" w:hAnsi="Times New Roman" w:cs="Times New Roman"/>
                <w:b w:val="0"/>
                <w:sz w:val="18"/>
                <w:szCs w:val="18"/>
              </w:rPr>
            </w:pPr>
          </w:p>
          <w:p w:rsidR="00C51EDF" w:rsidRDefault="00C51EDF" w:rsidP="00A9053C">
            <w:pPr>
              <w:spacing w:line="276" w:lineRule="auto"/>
              <w:rPr>
                <w:rFonts w:ascii="Times New Roman" w:hAnsi="Times New Roman" w:cs="Times New Roman"/>
                <w:b w:val="0"/>
                <w:sz w:val="18"/>
                <w:szCs w:val="18"/>
              </w:rPr>
            </w:pPr>
            <w:r>
              <w:rPr>
                <w:rFonts w:ascii="Times New Roman" w:hAnsi="Times New Roman" w:cs="Times New Roman"/>
                <w:b w:val="0"/>
                <w:sz w:val="18"/>
                <w:szCs w:val="18"/>
              </w:rPr>
              <w:t>Upgrading of IT education under way at nine selected universities in consultation and cooperation with UGC</w:t>
            </w:r>
          </w:p>
          <w:p w:rsidR="00C51EDF" w:rsidRDefault="00C51EDF" w:rsidP="00A9053C">
            <w:pPr>
              <w:spacing w:line="276" w:lineRule="auto"/>
              <w:rPr>
                <w:rFonts w:ascii="Times New Roman" w:hAnsi="Times New Roman" w:cs="Times New Roman"/>
                <w:b w:val="0"/>
                <w:sz w:val="18"/>
                <w:szCs w:val="18"/>
              </w:rPr>
            </w:pPr>
          </w:p>
          <w:p w:rsidR="00C51EDF" w:rsidRDefault="00C51EDF" w:rsidP="00A9053C">
            <w:pPr>
              <w:spacing w:line="276" w:lineRule="auto"/>
              <w:rPr>
                <w:rFonts w:ascii="Times New Roman" w:hAnsi="Times New Roman" w:cs="Times New Roman"/>
                <w:b w:val="0"/>
                <w:sz w:val="18"/>
                <w:szCs w:val="18"/>
              </w:rPr>
            </w:pPr>
            <w:r>
              <w:rPr>
                <w:rFonts w:ascii="Times New Roman" w:hAnsi="Times New Roman" w:cs="Times New Roman"/>
                <w:b w:val="0"/>
                <w:sz w:val="18"/>
                <w:szCs w:val="18"/>
              </w:rPr>
              <w:t xml:space="preserve">National Institute for Information and communication established and functional </w:t>
            </w:r>
          </w:p>
          <w:p w:rsidR="00C51EDF" w:rsidRDefault="00C51EDF" w:rsidP="00A9053C">
            <w:pPr>
              <w:spacing w:line="276" w:lineRule="auto"/>
              <w:rPr>
                <w:rFonts w:ascii="Times New Roman" w:hAnsi="Times New Roman" w:cs="Times New Roman"/>
                <w:b w:val="0"/>
                <w:sz w:val="18"/>
                <w:szCs w:val="18"/>
              </w:rPr>
            </w:pPr>
          </w:p>
          <w:p w:rsidR="00C51EDF" w:rsidRPr="00E17912" w:rsidRDefault="00C51EDF" w:rsidP="00A9053C">
            <w:pPr>
              <w:spacing w:line="276" w:lineRule="auto"/>
              <w:rPr>
                <w:rFonts w:ascii="Times New Roman" w:hAnsi="Times New Roman" w:cs="Times New Roman"/>
                <w:b w:val="0"/>
                <w:sz w:val="18"/>
                <w:szCs w:val="18"/>
              </w:rPr>
            </w:pPr>
            <w:r>
              <w:rPr>
                <w:rFonts w:ascii="Times New Roman" w:hAnsi="Times New Roman" w:cs="Times New Roman"/>
                <w:b w:val="0"/>
                <w:sz w:val="18"/>
                <w:szCs w:val="18"/>
              </w:rPr>
              <w:t>$5 billion</w:t>
            </w:r>
          </w:p>
        </w:tc>
        <w:tc>
          <w:tcPr>
            <w:tcW w:w="2136"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lastRenderedPageBreak/>
              <w:t>Technology platform fully operational with free flow of technologies at par with international experiences and partnership with reduced public sector support and strong private sector leadership and participation</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sidRPr="00773460">
              <w:rPr>
                <w:rFonts w:ascii="Times New Roman" w:hAnsi="Times New Roman" w:cs="Times New Roman"/>
                <w:b w:val="0"/>
                <w:sz w:val="18"/>
                <w:szCs w:val="18"/>
              </w:rPr>
              <w:t xml:space="preserve">Establishing/strengthening 5 advanced universities specialized in </w:t>
            </w:r>
            <w:proofErr w:type="spellStart"/>
            <w:r w:rsidRPr="00773460">
              <w:rPr>
                <w:rFonts w:ascii="Times New Roman" w:hAnsi="Times New Roman" w:cs="Times New Roman"/>
                <w:b w:val="0"/>
                <w:sz w:val="18"/>
                <w:szCs w:val="18"/>
              </w:rPr>
              <w:t>i</w:t>
            </w:r>
            <w:proofErr w:type="spellEnd"/>
            <w:r w:rsidRPr="00773460">
              <w:rPr>
                <w:rFonts w:ascii="Times New Roman" w:hAnsi="Times New Roman" w:cs="Times New Roman"/>
                <w:b w:val="0"/>
                <w:sz w:val="18"/>
                <w:szCs w:val="18"/>
              </w:rPr>
              <w:t>)</w:t>
            </w:r>
            <w:r>
              <w:rPr>
                <w:rFonts w:ascii="Times New Roman" w:hAnsi="Times New Roman" w:cs="Times New Roman"/>
                <w:b w:val="0"/>
                <w:sz w:val="18"/>
                <w:szCs w:val="18"/>
              </w:rPr>
              <w:t xml:space="preserve"> IT</w:t>
            </w:r>
            <w:r w:rsidRPr="00773460">
              <w:rPr>
                <w:rFonts w:ascii="Times New Roman" w:hAnsi="Times New Roman" w:cs="Times New Roman"/>
                <w:b w:val="0"/>
                <w:sz w:val="18"/>
                <w:szCs w:val="18"/>
              </w:rPr>
              <w:t>, ii) high tech agriculture, iii) marine, iv) textile and v) leather</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20 CoEs in priority sectors operational</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All IT Parks are fully operational and new ones are planned in accordance with demand</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rPr>
                <w:rFonts w:ascii="Times New Roman" w:hAnsi="Times New Roman" w:cs="Times New Roman"/>
                <w:b w:val="0"/>
                <w:sz w:val="18"/>
                <w:szCs w:val="18"/>
              </w:rPr>
            </w:pPr>
            <w:r>
              <w:rPr>
                <w:rFonts w:ascii="Times New Roman" w:hAnsi="Times New Roman" w:cs="Times New Roman"/>
                <w:b w:val="0"/>
                <w:sz w:val="18"/>
                <w:szCs w:val="18"/>
              </w:rPr>
              <w:t>Upgrading of IT education expanded to more selected universities in consultation and cooperation with UGC</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National Institute for Information and communication operating with few satellites in selected locations</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Pr="00773460"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$30 billion (50% more than Korea today)</w:t>
            </w:r>
          </w:p>
        </w:tc>
        <w:tc>
          <w:tcPr>
            <w:tcW w:w="1752" w:type="dxa"/>
            <w:tcBorders>
              <w:top w:val="single" w:sz="4" w:space="0" w:color="auto"/>
              <w:left w:val="single" w:sz="4" w:space="0" w:color="auto"/>
              <w:bottom w:val="single" w:sz="4" w:space="0" w:color="auto"/>
              <w:right w:val="single" w:sz="4" w:space="0" w:color="auto"/>
            </w:tcBorders>
          </w:tcPr>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lastRenderedPageBreak/>
              <w:t>Technology platform operating at very advanced level comparable with other developed countries entirely under private sector leadership and full participation</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sidRPr="008C7A12">
              <w:rPr>
                <w:rFonts w:ascii="Times New Roman" w:hAnsi="Times New Roman" w:cs="Times New Roman"/>
                <w:b w:val="0"/>
                <w:sz w:val="18"/>
                <w:szCs w:val="18"/>
              </w:rPr>
              <w:t>Establishment of institutions of higher learning and research in the mold of IIT in India in all divisions</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30 CoEs in priority sectors</w:t>
            </w:r>
            <w:r w:rsidRPr="008C7A12">
              <w:rPr>
                <w:rFonts w:ascii="Times New Roman" w:hAnsi="Times New Roman" w:cs="Times New Roman"/>
                <w:b w:val="0"/>
                <w:sz w:val="18"/>
                <w:szCs w:val="18"/>
              </w:rPr>
              <w:t xml:space="preserve"> </w:t>
            </w:r>
            <w:r>
              <w:rPr>
                <w:rFonts w:ascii="Times New Roman" w:hAnsi="Times New Roman" w:cs="Times New Roman"/>
                <w:b w:val="0"/>
                <w:sz w:val="18"/>
                <w:szCs w:val="18"/>
              </w:rPr>
              <w:t>operational</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 xml:space="preserve">IT Parks are functioning and expanding as appropriate and three IT cities are in place in Dhaka, </w:t>
            </w:r>
            <w:r>
              <w:rPr>
                <w:rFonts w:ascii="Times New Roman" w:hAnsi="Times New Roman" w:cs="Times New Roman"/>
                <w:b w:val="0"/>
                <w:sz w:val="18"/>
                <w:szCs w:val="18"/>
              </w:rPr>
              <w:lastRenderedPageBreak/>
              <w:t>Chittagong and Khulna</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High quality IT education under way</w:t>
            </w: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in all universities in consultation and cooperation with UGC</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p>
          <w:p w:rsidR="00C51EDF"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National Institute for Information and communication operating with satellites across the country</w:t>
            </w:r>
          </w:p>
          <w:p w:rsidR="00C51EDF" w:rsidRDefault="00C51EDF" w:rsidP="00A9053C">
            <w:pPr>
              <w:spacing w:line="276" w:lineRule="auto"/>
              <w:contextualSpacing/>
              <w:jc w:val="center"/>
              <w:rPr>
                <w:rFonts w:ascii="Times New Roman" w:hAnsi="Times New Roman" w:cs="Times New Roman"/>
                <w:b w:val="0"/>
                <w:sz w:val="18"/>
                <w:szCs w:val="18"/>
              </w:rPr>
            </w:pPr>
          </w:p>
          <w:p w:rsidR="00C51EDF" w:rsidRPr="008C7A12" w:rsidRDefault="00C51EDF" w:rsidP="00A9053C">
            <w:pPr>
              <w:spacing w:line="276" w:lineRule="auto"/>
              <w:contextualSpacing/>
              <w:jc w:val="center"/>
              <w:rPr>
                <w:rFonts w:ascii="Times New Roman" w:hAnsi="Times New Roman" w:cs="Times New Roman"/>
                <w:b w:val="0"/>
                <w:sz w:val="18"/>
                <w:szCs w:val="18"/>
              </w:rPr>
            </w:pPr>
            <w:r>
              <w:rPr>
                <w:rFonts w:ascii="Times New Roman" w:hAnsi="Times New Roman" w:cs="Times New Roman"/>
                <w:b w:val="0"/>
                <w:sz w:val="18"/>
                <w:szCs w:val="18"/>
              </w:rPr>
              <w:t>$125 billion (slightly over India today)</w:t>
            </w:r>
          </w:p>
        </w:tc>
        <w:tc>
          <w:tcPr>
            <w:tcW w:w="2295" w:type="dxa"/>
            <w:tcBorders>
              <w:top w:val="single" w:sz="4" w:space="0" w:color="auto"/>
              <w:left w:val="single" w:sz="4" w:space="0" w:color="auto"/>
              <w:bottom w:val="single" w:sz="4" w:space="0" w:color="auto"/>
              <w:right w:val="single" w:sz="4" w:space="0" w:color="auto"/>
            </w:tcBorders>
          </w:tcPr>
          <w:p w:rsidR="00C51EDF" w:rsidRDefault="00C51EDF" w:rsidP="00A9053C">
            <w:pPr>
              <w:pStyle w:val="ListParagraph"/>
              <w:numPr>
                <w:ilvl w:val="0"/>
                <w:numId w:val="33"/>
              </w:numPr>
              <w:spacing w:line="276" w:lineRule="auto"/>
              <w:ind w:left="156" w:hanging="180"/>
              <w:rPr>
                <w:rFonts w:ascii="Times New Roman" w:hAnsi="Times New Roman" w:cs="Times New Roman"/>
                <w:b w:val="0"/>
                <w:sz w:val="18"/>
                <w:szCs w:val="18"/>
              </w:rPr>
            </w:pPr>
            <w:r>
              <w:rPr>
                <w:rFonts w:ascii="Times New Roman" w:hAnsi="Times New Roman" w:cs="Times New Roman"/>
                <w:b w:val="0"/>
                <w:sz w:val="18"/>
                <w:szCs w:val="18"/>
              </w:rPr>
              <w:lastRenderedPageBreak/>
              <w:t>Infrastructure support – develop enabling infrastructure</w:t>
            </w:r>
          </w:p>
          <w:p w:rsidR="00C51EDF" w:rsidRDefault="00C51EDF" w:rsidP="00A9053C">
            <w:pPr>
              <w:pStyle w:val="ListParagraph"/>
              <w:numPr>
                <w:ilvl w:val="0"/>
                <w:numId w:val="33"/>
              </w:numPr>
              <w:tabs>
                <w:tab w:val="left" w:pos="156"/>
              </w:tabs>
              <w:spacing w:line="276" w:lineRule="auto"/>
              <w:ind w:left="-29" w:firstLine="0"/>
              <w:rPr>
                <w:rFonts w:ascii="Times New Roman" w:hAnsi="Times New Roman" w:cs="Times New Roman"/>
                <w:b w:val="0"/>
                <w:sz w:val="18"/>
                <w:szCs w:val="18"/>
              </w:rPr>
            </w:pPr>
            <w:r>
              <w:rPr>
                <w:rFonts w:ascii="Times New Roman" w:hAnsi="Times New Roman" w:cs="Times New Roman"/>
                <w:b w:val="0"/>
                <w:sz w:val="18"/>
                <w:szCs w:val="18"/>
              </w:rPr>
              <w:t>Manpower support – training and skill development to develop talent supply pipeline</w:t>
            </w:r>
          </w:p>
          <w:p w:rsidR="00C51EDF" w:rsidRDefault="00C51EDF" w:rsidP="00A9053C">
            <w:pPr>
              <w:pStyle w:val="ListParagraph"/>
              <w:numPr>
                <w:ilvl w:val="0"/>
                <w:numId w:val="33"/>
              </w:numPr>
              <w:spacing w:line="276" w:lineRule="auto"/>
              <w:ind w:left="156" w:hanging="180"/>
              <w:rPr>
                <w:rFonts w:ascii="Times New Roman" w:hAnsi="Times New Roman" w:cs="Times New Roman"/>
                <w:b w:val="0"/>
                <w:sz w:val="18"/>
                <w:szCs w:val="18"/>
              </w:rPr>
            </w:pPr>
            <w:r>
              <w:rPr>
                <w:rFonts w:ascii="Times New Roman" w:hAnsi="Times New Roman" w:cs="Times New Roman"/>
                <w:b w:val="0"/>
                <w:sz w:val="18"/>
                <w:szCs w:val="18"/>
              </w:rPr>
              <w:t>Policy support</w:t>
            </w:r>
          </w:p>
          <w:p w:rsidR="00C51EDF" w:rsidRDefault="00C51EDF" w:rsidP="00A9053C">
            <w:pPr>
              <w:pStyle w:val="ListParagraph"/>
              <w:numPr>
                <w:ilvl w:val="0"/>
                <w:numId w:val="33"/>
              </w:numPr>
              <w:tabs>
                <w:tab w:val="left" w:pos="156"/>
              </w:tabs>
              <w:spacing w:line="276" w:lineRule="auto"/>
              <w:ind w:left="0" w:hanging="24"/>
              <w:rPr>
                <w:rFonts w:ascii="Times New Roman" w:hAnsi="Times New Roman" w:cs="Times New Roman"/>
                <w:b w:val="0"/>
                <w:sz w:val="18"/>
                <w:szCs w:val="18"/>
              </w:rPr>
            </w:pPr>
            <w:r>
              <w:rPr>
                <w:rFonts w:ascii="Times New Roman" w:hAnsi="Times New Roman" w:cs="Times New Roman"/>
                <w:b w:val="0"/>
                <w:sz w:val="18"/>
                <w:szCs w:val="18"/>
              </w:rPr>
              <w:t>Establishment of public-private forum involving the Ministry of Science and Technology, other relevant agencies and the private sector</w:t>
            </w:r>
          </w:p>
          <w:p w:rsidR="00C51EDF" w:rsidRDefault="00C51EDF" w:rsidP="00A9053C">
            <w:pPr>
              <w:pStyle w:val="ListParagraph"/>
              <w:numPr>
                <w:ilvl w:val="0"/>
                <w:numId w:val="33"/>
              </w:numPr>
              <w:tabs>
                <w:tab w:val="left" w:pos="156"/>
              </w:tabs>
              <w:spacing w:line="276" w:lineRule="auto"/>
              <w:ind w:left="0" w:hanging="24"/>
              <w:rPr>
                <w:rFonts w:ascii="Times New Roman" w:hAnsi="Times New Roman" w:cs="Times New Roman"/>
                <w:b w:val="0"/>
                <w:sz w:val="18"/>
                <w:szCs w:val="18"/>
              </w:rPr>
            </w:pPr>
            <w:r>
              <w:rPr>
                <w:rFonts w:ascii="Times New Roman" w:hAnsi="Times New Roman" w:cs="Times New Roman"/>
                <w:b w:val="0"/>
                <w:sz w:val="18"/>
                <w:szCs w:val="18"/>
              </w:rPr>
              <w:t>Industry-university collaboration</w:t>
            </w:r>
          </w:p>
          <w:p w:rsidR="00C51EDF" w:rsidRDefault="00C51EDF" w:rsidP="00A9053C">
            <w:pPr>
              <w:pStyle w:val="ListParagraph"/>
              <w:numPr>
                <w:ilvl w:val="0"/>
                <w:numId w:val="33"/>
              </w:numPr>
              <w:tabs>
                <w:tab w:val="left" w:pos="156"/>
              </w:tabs>
              <w:spacing w:line="276" w:lineRule="auto"/>
              <w:ind w:left="0" w:hanging="24"/>
              <w:rPr>
                <w:rFonts w:ascii="Times New Roman" w:hAnsi="Times New Roman" w:cs="Times New Roman"/>
                <w:b w:val="0"/>
                <w:sz w:val="18"/>
                <w:szCs w:val="18"/>
              </w:rPr>
            </w:pPr>
            <w:r>
              <w:rPr>
                <w:rFonts w:ascii="Times New Roman" w:hAnsi="Times New Roman" w:cs="Times New Roman"/>
                <w:b w:val="0"/>
                <w:sz w:val="18"/>
                <w:szCs w:val="18"/>
              </w:rPr>
              <w:t>Long-term marketing and promotions planning</w:t>
            </w:r>
          </w:p>
          <w:p w:rsidR="00C51EDF" w:rsidRDefault="00C51EDF" w:rsidP="00A9053C">
            <w:pPr>
              <w:pStyle w:val="ListParagraph"/>
              <w:numPr>
                <w:ilvl w:val="0"/>
                <w:numId w:val="33"/>
              </w:numPr>
              <w:tabs>
                <w:tab w:val="left" w:pos="156"/>
              </w:tabs>
              <w:spacing w:line="276" w:lineRule="auto"/>
              <w:ind w:left="0" w:hanging="24"/>
              <w:rPr>
                <w:rFonts w:ascii="Times New Roman" w:hAnsi="Times New Roman" w:cs="Times New Roman"/>
                <w:b w:val="0"/>
                <w:sz w:val="18"/>
                <w:szCs w:val="18"/>
              </w:rPr>
            </w:pPr>
            <w:r>
              <w:rPr>
                <w:rFonts w:ascii="Times New Roman" w:hAnsi="Times New Roman" w:cs="Times New Roman"/>
                <w:b w:val="0"/>
                <w:sz w:val="18"/>
                <w:szCs w:val="18"/>
              </w:rPr>
              <w:t>Identity and brand management</w:t>
            </w:r>
          </w:p>
          <w:p w:rsidR="00C51EDF" w:rsidRDefault="00C51EDF" w:rsidP="00A9053C">
            <w:pPr>
              <w:pStyle w:val="ListParagraph"/>
              <w:numPr>
                <w:ilvl w:val="0"/>
                <w:numId w:val="33"/>
              </w:numPr>
              <w:tabs>
                <w:tab w:val="left" w:pos="156"/>
              </w:tabs>
              <w:spacing w:line="276" w:lineRule="auto"/>
              <w:ind w:left="0" w:hanging="24"/>
              <w:rPr>
                <w:rFonts w:ascii="Times New Roman" w:hAnsi="Times New Roman" w:cs="Times New Roman"/>
                <w:b w:val="0"/>
                <w:sz w:val="18"/>
                <w:szCs w:val="18"/>
              </w:rPr>
            </w:pPr>
            <w:r>
              <w:rPr>
                <w:rFonts w:ascii="Times New Roman" w:hAnsi="Times New Roman" w:cs="Times New Roman"/>
                <w:b w:val="0"/>
                <w:sz w:val="18"/>
                <w:szCs w:val="18"/>
              </w:rPr>
              <w:t>Periodic review and revision of the incentive structure for the IT/</w:t>
            </w:r>
            <w:proofErr w:type="spellStart"/>
            <w:r>
              <w:rPr>
                <w:rFonts w:ascii="Times New Roman" w:hAnsi="Times New Roman" w:cs="Times New Roman"/>
                <w:b w:val="0"/>
                <w:sz w:val="18"/>
                <w:szCs w:val="18"/>
              </w:rPr>
              <w:t>ITeS</w:t>
            </w:r>
            <w:proofErr w:type="spellEnd"/>
            <w:r>
              <w:rPr>
                <w:rFonts w:ascii="Times New Roman" w:hAnsi="Times New Roman" w:cs="Times New Roman"/>
                <w:b w:val="0"/>
                <w:sz w:val="18"/>
                <w:szCs w:val="18"/>
              </w:rPr>
              <w:t xml:space="preserve"> sector</w:t>
            </w:r>
          </w:p>
          <w:p w:rsidR="00C51EDF" w:rsidRDefault="00C51EDF" w:rsidP="00A9053C">
            <w:pPr>
              <w:pStyle w:val="ListParagraph"/>
              <w:numPr>
                <w:ilvl w:val="0"/>
                <w:numId w:val="33"/>
              </w:numPr>
              <w:tabs>
                <w:tab w:val="left" w:pos="156"/>
              </w:tabs>
              <w:spacing w:line="276" w:lineRule="auto"/>
              <w:ind w:left="0" w:hanging="24"/>
              <w:rPr>
                <w:rFonts w:ascii="Times New Roman" w:hAnsi="Times New Roman" w:cs="Times New Roman"/>
                <w:b w:val="0"/>
                <w:sz w:val="18"/>
                <w:szCs w:val="18"/>
              </w:rPr>
            </w:pPr>
            <w:r>
              <w:rPr>
                <w:rFonts w:ascii="Times New Roman" w:hAnsi="Times New Roman" w:cs="Times New Roman"/>
                <w:b w:val="0"/>
                <w:sz w:val="18"/>
                <w:szCs w:val="18"/>
              </w:rPr>
              <w:t>UGC strengthened</w:t>
            </w:r>
          </w:p>
          <w:p w:rsidR="00C51EDF" w:rsidRDefault="00C51EDF" w:rsidP="00A9053C">
            <w:pPr>
              <w:pStyle w:val="ListParagraph"/>
              <w:numPr>
                <w:ilvl w:val="0"/>
                <w:numId w:val="33"/>
              </w:numPr>
              <w:tabs>
                <w:tab w:val="left" w:pos="156"/>
                <w:tab w:val="left" w:pos="276"/>
              </w:tabs>
              <w:spacing w:line="276" w:lineRule="auto"/>
              <w:ind w:left="0" w:hanging="24"/>
              <w:rPr>
                <w:rFonts w:ascii="Times New Roman" w:hAnsi="Times New Roman" w:cs="Times New Roman"/>
                <w:b w:val="0"/>
                <w:sz w:val="18"/>
                <w:szCs w:val="18"/>
              </w:rPr>
            </w:pPr>
            <w:r>
              <w:rPr>
                <w:rFonts w:ascii="Times New Roman" w:hAnsi="Times New Roman" w:cs="Times New Roman"/>
                <w:b w:val="0"/>
                <w:sz w:val="18"/>
                <w:szCs w:val="18"/>
              </w:rPr>
              <w:t>Serious capacity building at the relevant ministry and agencies undertaken</w:t>
            </w:r>
          </w:p>
          <w:p w:rsidR="00C51EDF" w:rsidRPr="00E17912" w:rsidRDefault="00C51EDF" w:rsidP="00A9053C">
            <w:pPr>
              <w:pStyle w:val="ListParagraph"/>
              <w:numPr>
                <w:ilvl w:val="0"/>
                <w:numId w:val="33"/>
              </w:numPr>
              <w:tabs>
                <w:tab w:val="left" w:pos="156"/>
                <w:tab w:val="left" w:pos="276"/>
              </w:tabs>
              <w:spacing w:line="276" w:lineRule="auto"/>
              <w:ind w:left="0" w:hanging="24"/>
              <w:rPr>
                <w:rFonts w:ascii="Times New Roman" w:hAnsi="Times New Roman" w:cs="Times New Roman"/>
                <w:b w:val="0"/>
                <w:sz w:val="18"/>
                <w:szCs w:val="18"/>
              </w:rPr>
            </w:pPr>
            <w:r>
              <w:rPr>
                <w:rFonts w:ascii="Times New Roman" w:hAnsi="Times New Roman" w:cs="Times New Roman"/>
                <w:b w:val="0"/>
                <w:sz w:val="18"/>
                <w:szCs w:val="18"/>
              </w:rPr>
              <w:lastRenderedPageBreak/>
              <w:t>Partnership and cooperation arrangements with recognized and reputed foreign businesses, industries, universities, think tanks and research institutions</w:t>
            </w:r>
          </w:p>
        </w:tc>
      </w:tr>
      <w:tr w:rsidR="00C51EDF" w:rsidTr="00A9053C">
        <w:tc>
          <w:tcPr>
            <w:tcW w:w="1903" w:type="dxa"/>
            <w:tcBorders>
              <w:top w:val="single" w:sz="4" w:space="0" w:color="auto"/>
              <w:left w:val="single" w:sz="4" w:space="0" w:color="auto"/>
              <w:bottom w:val="single" w:sz="4" w:space="0" w:color="auto"/>
              <w:right w:val="single" w:sz="4" w:space="0" w:color="auto"/>
            </w:tcBorders>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sz w:val="18"/>
                <w:szCs w:val="18"/>
              </w:rPr>
              <w:lastRenderedPageBreak/>
              <w:t>Markets</w:t>
            </w:r>
            <w:r w:rsidRPr="00CB2D86">
              <w:rPr>
                <w:rFonts w:ascii="Times New Roman" w:hAnsi="Times New Roman" w:cs="Times New Roman"/>
                <w:b w:val="0"/>
                <w:sz w:val="18"/>
                <w:szCs w:val="18"/>
              </w:rPr>
              <w:t xml:space="preserve"> – </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color w:val="000000" w:themeColor="text1"/>
                <w:kern w:val="24"/>
                <w:sz w:val="18"/>
                <w:szCs w:val="18"/>
              </w:rPr>
              <w:t xml:space="preserve">Small size of the domestic market; fragmented market; lack of infrastructure for smooth market operation; monopolistic and monopsonistic market control by few; barriers to competition; barriers to entry; the lack of finance; lack of application of modern technology especially </w:t>
            </w:r>
            <w:r w:rsidRPr="00CB2D86">
              <w:rPr>
                <w:rFonts w:ascii="Times New Roman" w:hAnsi="Times New Roman" w:cs="Times New Roman"/>
                <w:b w:val="0"/>
                <w:color w:val="000000" w:themeColor="text1"/>
                <w:kern w:val="24"/>
                <w:sz w:val="18"/>
                <w:szCs w:val="18"/>
              </w:rPr>
              <w:lastRenderedPageBreak/>
              <w:t>ICT, and the lack of policy continuity</w:t>
            </w:r>
          </w:p>
          <w:p w:rsidR="00C51EDF" w:rsidRPr="00CB2D86" w:rsidRDefault="00C51EDF" w:rsidP="00A9053C">
            <w:pPr>
              <w:spacing w:line="276" w:lineRule="auto"/>
              <w:contextualSpacing/>
              <w:rPr>
                <w:rFonts w:ascii="Times New Roman" w:hAnsi="Times New Roman" w:cs="Times New Roman"/>
                <w:b w:val="0"/>
                <w:sz w:val="18"/>
                <w:szCs w:val="18"/>
              </w:rPr>
            </w:pPr>
          </w:p>
        </w:tc>
        <w:tc>
          <w:tcPr>
            <w:tcW w:w="1748"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lastRenderedPageBreak/>
              <w:t>Market integration through investments in nine proposed economic corridors incorporating also the Southern Economic Corridor (Alamgir 2017)</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See note below</w:t>
            </w:r>
          </w:p>
          <w:p w:rsidR="00C51EDF" w:rsidRPr="00CB2D86" w:rsidRDefault="00C51EDF" w:rsidP="00A9053C">
            <w:pPr>
              <w:spacing w:line="276" w:lineRule="auto"/>
              <w:contextualSpacing/>
              <w:rPr>
                <w:rFonts w:ascii="Times New Roman" w:hAnsi="Times New Roman" w:cs="Times New Roman"/>
                <w:b w:val="0"/>
                <w:sz w:val="18"/>
                <w:szCs w:val="18"/>
              </w:rPr>
            </w:pPr>
            <w:r w:rsidRPr="00CB2D86">
              <w:rPr>
                <w:rFonts w:ascii="Times New Roman" w:hAnsi="Times New Roman" w:cs="Times New Roman"/>
                <w:b w:val="0"/>
                <w:sz w:val="18"/>
                <w:szCs w:val="18"/>
              </w:rPr>
              <w:t xml:space="preserve"> </w:t>
            </w:r>
          </w:p>
        </w:tc>
        <w:tc>
          <w:tcPr>
            <w:tcW w:w="186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All nine corridors under developed</w:t>
            </w:r>
          </w:p>
        </w:tc>
        <w:tc>
          <w:tcPr>
            <w:tcW w:w="1589"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Dhaka-Chittagong section of Corridor 1 and Dhaka-Beanpole section of Corridor 2 fully developed</w:t>
            </w:r>
          </w:p>
        </w:tc>
        <w:tc>
          <w:tcPr>
            <w:tcW w:w="2136"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Corridors 1 and 2 and Southern Economic Corridor fully developed and work on other corridors under way</w:t>
            </w:r>
          </w:p>
        </w:tc>
        <w:tc>
          <w:tcPr>
            <w:tcW w:w="1752"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spacing w:line="276" w:lineRule="auto"/>
              <w:contextualSpacing/>
              <w:jc w:val="center"/>
              <w:rPr>
                <w:rFonts w:ascii="Times New Roman" w:hAnsi="Times New Roman" w:cs="Times New Roman"/>
                <w:b w:val="0"/>
                <w:sz w:val="18"/>
                <w:szCs w:val="18"/>
              </w:rPr>
            </w:pPr>
            <w:r w:rsidRPr="00CB2D86">
              <w:rPr>
                <w:rFonts w:ascii="Times New Roman" w:hAnsi="Times New Roman" w:cs="Times New Roman"/>
                <w:b w:val="0"/>
                <w:sz w:val="18"/>
                <w:szCs w:val="18"/>
              </w:rPr>
              <w:t>Work on all nine corridors completed</w:t>
            </w:r>
          </w:p>
        </w:tc>
        <w:tc>
          <w:tcPr>
            <w:tcW w:w="2295" w:type="dxa"/>
            <w:tcBorders>
              <w:top w:val="single" w:sz="4" w:space="0" w:color="auto"/>
              <w:left w:val="single" w:sz="4" w:space="0" w:color="auto"/>
              <w:bottom w:val="single" w:sz="4" w:space="0" w:color="auto"/>
              <w:right w:val="single" w:sz="4" w:space="0" w:color="auto"/>
            </w:tcBorders>
            <w:hideMark/>
          </w:tcPr>
          <w:p w:rsidR="00C51EDF" w:rsidRPr="00CB2D86" w:rsidRDefault="00C51EDF" w:rsidP="00A9053C">
            <w:pPr>
              <w:pStyle w:val="ListParagraph"/>
              <w:numPr>
                <w:ilvl w:val="0"/>
                <w:numId w:val="28"/>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Adopt the strategic approach to establish Comprehensive Integrated Multimodal Economic Corridor Network (CIMECON) for Bangladesh which is a precondition for sustained robust economic growth over the longer run </w:t>
            </w:r>
          </w:p>
          <w:p w:rsidR="00C51EDF" w:rsidRPr="00CB2D86" w:rsidRDefault="00C51EDF" w:rsidP="00A9053C">
            <w:pPr>
              <w:pStyle w:val="ListParagraph"/>
              <w:numPr>
                <w:ilvl w:val="0"/>
                <w:numId w:val="28"/>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Invest in the nine corridors of CIMECON satisfying market integration and link criteria</w:t>
            </w:r>
          </w:p>
          <w:p w:rsidR="00C51EDF" w:rsidRPr="00CB2D86" w:rsidRDefault="00C51EDF" w:rsidP="00A9053C">
            <w:pPr>
              <w:pStyle w:val="ListParagraph"/>
              <w:numPr>
                <w:ilvl w:val="0"/>
                <w:numId w:val="28"/>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Invest in manpower development to support CIMECON</w:t>
            </w:r>
          </w:p>
          <w:p w:rsidR="00C51EDF" w:rsidRPr="00CB2D86" w:rsidRDefault="00C51EDF" w:rsidP="00A9053C">
            <w:pPr>
              <w:pStyle w:val="ListParagraph"/>
              <w:numPr>
                <w:ilvl w:val="0"/>
                <w:numId w:val="28"/>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lastRenderedPageBreak/>
              <w:t>Establish a CIMECON Management Authority</w:t>
            </w:r>
          </w:p>
          <w:p w:rsidR="00C51EDF" w:rsidRPr="00CB2D86" w:rsidRDefault="00C51EDF" w:rsidP="00A9053C">
            <w:pPr>
              <w:pStyle w:val="ListParagraph"/>
              <w:numPr>
                <w:ilvl w:val="0"/>
                <w:numId w:val="28"/>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Harness private-public resources to construct and maintain economic corridors and related facilities</w:t>
            </w:r>
          </w:p>
          <w:p w:rsidR="00C51EDF" w:rsidRPr="00CB2D86" w:rsidRDefault="00C51EDF" w:rsidP="00A9053C">
            <w:pPr>
              <w:pStyle w:val="ListParagraph"/>
              <w:numPr>
                <w:ilvl w:val="0"/>
                <w:numId w:val="28"/>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Develop a policy framework to facilitate Bangladesh’s integration into regional value chain</w:t>
            </w:r>
          </w:p>
          <w:p w:rsidR="00C51EDF" w:rsidRPr="00CB2D86" w:rsidRDefault="00C51EDF" w:rsidP="00A9053C">
            <w:pPr>
              <w:pStyle w:val="ListParagraph"/>
              <w:numPr>
                <w:ilvl w:val="0"/>
                <w:numId w:val="28"/>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Promote public-private participation in investments for infrastructure supporting environmentally sustainable and climate resilient integrated agricultural value chain supplying safe and quality products to the rapidly rising urban population and also rural residents whose income will also be rising as growth accelerates during SPPB</w:t>
            </w:r>
          </w:p>
          <w:p w:rsidR="00C51EDF" w:rsidRPr="00CB2D86" w:rsidRDefault="00C51EDF" w:rsidP="00A9053C">
            <w:pPr>
              <w:pStyle w:val="ListParagraph"/>
              <w:numPr>
                <w:ilvl w:val="0"/>
                <w:numId w:val="28"/>
              </w:numPr>
              <w:tabs>
                <w:tab w:val="left" w:pos="126"/>
              </w:tabs>
              <w:spacing w:line="276" w:lineRule="auto"/>
              <w:ind w:left="-58" w:firstLine="0"/>
              <w:rPr>
                <w:rFonts w:ascii="Times New Roman" w:hAnsi="Times New Roman" w:cs="Times New Roman"/>
                <w:b w:val="0"/>
                <w:sz w:val="18"/>
                <w:szCs w:val="18"/>
              </w:rPr>
            </w:pPr>
            <w:r w:rsidRPr="00CB2D86">
              <w:rPr>
                <w:rFonts w:ascii="Times New Roman" w:hAnsi="Times New Roman" w:cs="Times New Roman"/>
                <w:b w:val="0"/>
                <w:sz w:val="18"/>
                <w:szCs w:val="18"/>
              </w:rPr>
              <w:t xml:space="preserve">Promote the development of economic zones along economic corridors on a priority basis </w:t>
            </w:r>
          </w:p>
        </w:tc>
      </w:tr>
    </w:tbl>
    <w:p w:rsidR="00C51EDF" w:rsidRDefault="00C51EDF" w:rsidP="00C51EDF">
      <w:pPr>
        <w:spacing w:after="0" w:line="276" w:lineRule="auto"/>
        <w:contextualSpacing/>
        <w:jc w:val="both"/>
        <w:rPr>
          <w:sz w:val="18"/>
          <w:szCs w:val="18"/>
        </w:rPr>
      </w:pPr>
      <w:r>
        <w:rPr>
          <w:sz w:val="18"/>
          <w:szCs w:val="18"/>
        </w:rPr>
        <w:lastRenderedPageBreak/>
        <w:t xml:space="preserve">Note: Corridor 1, Northwest-Southeast (NW-SE) is a 982-kilometer-long road link extending from Teknaf in Myanmar border to Banglabandha on the Indian border. </w:t>
      </w:r>
    </w:p>
    <w:p w:rsidR="00C51EDF" w:rsidRDefault="00C51EDF" w:rsidP="00C51EDF">
      <w:pPr>
        <w:spacing w:after="0" w:line="276" w:lineRule="auto"/>
        <w:contextualSpacing/>
        <w:jc w:val="both"/>
        <w:rPr>
          <w:sz w:val="18"/>
          <w:szCs w:val="18"/>
        </w:rPr>
      </w:pPr>
      <w:r>
        <w:rPr>
          <w:sz w:val="18"/>
          <w:szCs w:val="18"/>
        </w:rPr>
        <w:t xml:space="preserve">Corridor 2, Southwest-Northeast (SW-NE) is a 504-kilometer-long road link extending from the Benapole border with India to the Tamabil/Karimganj border also with India. </w:t>
      </w:r>
    </w:p>
    <w:p w:rsidR="00C51EDF" w:rsidRDefault="00C51EDF" w:rsidP="00C51EDF">
      <w:pPr>
        <w:spacing w:after="0" w:line="276" w:lineRule="auto"/>
        <w:contextualSpacing/>
        <w:jc w:val="both"/>
        <w:rPr>
          <w:sz w:val="18"/>
          <w:szCs w:val="18"/>
        </w:rPr>
      </w:pPr>
      <w:r>
        <w:rPr>
          <w:sz w:val="18"/>
          <w:szCs w:val="18"/>
        </w:rPr>
        <w:t xml:space="preserve">Corridor 3, North-South (West) (NS-W) is a 661-kilometer-long road link connecting Banglabandha on the Indian border with the Mongla Sea Port on the South. </w:t>
      </w:r>
    </w:p>
    <w:p w:rsidR="00C51EDF" w:rsidRDefault="00C51EDF" w:rsidP="00C51EDF">
      <w:pPr>
        <w:spacing w:after="0" w:line="276" w:lineRule="auto"/>
        <w:contextualSpacing/>
        <w:jc w:val="both"/>
        <w:rPr>
          <w:sz w:val="18"/>
          <w:szCs w:val="18"/>
        </w:rPr>
      </w:pPr>
      <w:r>
        <w:rPr>
          <w:sz w:val="18"/>
          <w:szCs w:val="18"/>
        </w:rPr>
        <w:t>Corridor 4, North-South (Central) (NS-C) is a 338-kilometer-long road link connecting Mymensingh an important administrative and business center in the north central part of Bangladesh with Barisal and Patuakhali two important river ports in the South central part of the country. Corridor 4 is the central artery of Bangladesh dividing the country into East and West.</w:t>
      </w:r>
    </w:p>
    <w:p w:rsidR="00C51EDF" w:rsidRDefault="00C51EDF" w:rsidP="00C51EDF">
      <w:pPr>
        <w:spacing w:after="0" w:line="276" w:lineRule="auto"/>
        <w:contextualSpacing/>
        <w:jc w:val="both"/>
        <w:rPr>
          <w:sz w:val="18"/>
          <w:szCs w:val="18"/>
        </w:rPr>
      </w:pPr>
      <w:r>
        <w:rPr>
          <w:sz w:val="18"/>
          <w:szCs w:val="18"/>
        </w:rPr>
        <w:t>Corridor 5, North-South (East) (NS-E) is a 668-kilometer-long road link connecting Tamabil/Karimganj on the Indian border with Teknaf on the Myanmar border passing through mineral (gas) and industrial belts and also linking with the Chittagong port</w:t>
      </w:r>
    </w:p>
    <w:p w:rsidR="00C51EDF" w:rsidRDefault="00C51EDF" w:rsidP="00C51EDF">
      <w:pPr>
        <w:spacing w:after="0" w:line="276" w:lineRule="auto"/>
        <w:contextualSpacing/>
        <w:jc w:val="both"/>
        <w:rPr>
          <w:sz w:val="18"/>
          <w:szCs w:val="18"/>
        </w:rPr>
      </w:pPr>
      <w:r>
        <w:rPr>
          <w:sz w:val="18"/>
          <w:szCs w:val="18"/>
        </w:rPr>
        <w:lastRenderedPageBreak/>
        <w:t xml:space="preserve">Corridor 6, Northwest-Northeast (NW-NE) is an 805-kilometer-long road link connecting Banglabandha on the Indian border with the Tamabil/Karimganj border also with India. </w:t>
      </w:r>
    </w:p>
    <w:p w:rsidR="00C51EDF" w:rsidRDefault="00C51EDF" w:rsidP="00C51EDF">
      <w:pPr>
        <w:spacing w:after="0" w:line="276" w:lineRule="auto"/>
        <w:contextualSpacing/>
        <w:jc w:val="both"/>
        <w:rPr>
          <w:sz w:val="18"/>
          <w:szCs w:val="18"/>
        </w:rPr>
      </w:pPr>
      <w:r>
        <w:rPr>
          <w:sz w:val="18"/>
          <w:szCs w:val="18"/>
        </w:rPr>
        <w:t>Corridor 7, Southwest-Southeast (SW-SE) is 776-kilometer-long road/rail link connecting Darsana on the Indian border with Teknaf on the Myanmar border via Chittagong where the rail link ends and road interchange begins.</w:t>
      </w:r>
    </w:p>
    <w:p w:rsidR="00C51EDF" w:rsidRDefault="00C51EDF" w:rsidP="00C51EDF">
      <w:pPr>
        <w:spacing w:after="0" w:line="276" w:lineRule="auto"/>
        <w:contextualSpacing/>
        <w:jc w:val="both"/>
        <w:rPr>
          <w:sz w:val="18"/>
          <w:szCs w:val="18"/>
        </w:rPr>
      </w:pPr>
      <w:r>
        <w:rPr>
          <w:sz w:val="18"/>
          <w:szCs w:val="18"/>
        </w:rPr>
        <w:t>Corridor 8, East-West (EW) is a 746-kilometer-long road link connecting Benapole on the Indian border with Teknaf on the Myanmar border via Chittagong. It is part of SASEC Corridor 3 and Asian Highway 41 (AH - 41).</w:t>
      </w:r>
    </w:p>
    <w:p w:rsidR="00C51EDF" w:rsidRDefault="00C51EDF" w:rsidP="00C51EDF">
      <w:pPr>
        <w:tabs>
          <w:tab w:val="num" w:pos="2880"/>
        </w:tabs>
        <w:spacing w:after="0" w:line="276" w:lineRule="auto"/>
        <w:contextualSpacing/>
        <w:rPr>
          <w:b/>
          <w:sz w:val="18"/>
          <w:szCs w:val="18"/>
        </w:rPr>
      </w:pPr>
      <w:r>
        <w:rPr>
          <w:sz w:val="18"/>
          <w:szCs w:val="18"/>
        </w:rPr>
        <w:t>Corridor 9, Inland Water Route (IWR) is a 670-kilometer-long inland water link connecting Kolkata in India with Assam in India via Angtihara- Khulna-Barisal-Up Meghna. It is part of SASEC Corridor 4.</w:t>
      </w:r>
    </w:p>
    <w:p w:rsidR="00C51EDF" w:rsidRDefault="00C51EDF" w:rsidP="00C51EDF">
      <w:pPr>
        <w:rPr>
          <w:b/>
          <w:caps/>
          <w:color w:val="0070C0"/>
        </w:rPr>
        <w:sectPr w:rsidR="00C51EDF" w:rsidSect="00C51EDF">
          <w:pgSz w:w="15840" w:h="12240" w:orient="landscape"/>
          <w:pgMar w:top="1440" w:right="1440" w:bottom="1440" w:left="1440" w:header="720" w:footer="720" w:gutter="0"/>
          <w:cols w:space="720"/>
          <w:titlePg/>
          <w:docGrid w:linePitch="360"/>
        </w:sectPr>
      </w:pPr>
      <w:r>
        <w:rPr>
          <w:sz w:val="18"/>
          <w:szCs w:val="18"/>
        </w:rPr>
        <w:t xml:space="preserve">The nine-corridor CIMECON for Bangladesh can be reduced to a module of the London Tube. The nine corridors of CIMECON satisfy market integration and link criteria. This </w:t>
      </w:r>
      <w:r>
        <w:rPr>
          <w:rFonts w:eastAsia="Times New Roman"/>
          <w:color w:val="000000"/>
          <w:sz w:val="18"/>
          <w:szCs w:val="18"/>
        </w:rPr>
        <w:t>within-country integrated economic corridor development is open to improved regional connectivity, transit and integration as facilitation measures are built up and put in place.</w:t>
      </w:r>
    </w:p>
    <w:p w:rsidR="00BF35C5" w:rsidRDefault="00505963" w:rsidP="002B17C3">
      <w:pPr>
        <w:pStyle w:val="NormalWeb"/>
        <w:shd w:val="clear" w:color="auto" w:fill="FFFFFF"/>
        <w:spacing w:before="120" w:beforeAutospacing="0" w:after="120" w:afterAutospacing="0"/>
        <w:jc w:val="both"/>
        <w:rPr>
          <w:color w:val="000000" w:themeColor="text1"/>
        </w:rPr>
      </w:pPr>
      <w:r>
        <w:rPr>
          <w:color w:val="000000" w:themeColor="text1"/>
        </w:rPr>
        <w:lastRenderedPageBreak/>
        <w:t>Definition of indicators</w:t>
      </w:r>
    </w:p>
    <w:tbl>
      <w:tblPr>
        <w:tblStyle w:val="TableGrid"/>
        <w:tblW w:w="0" w:type="auto"/>
        <w:tblLook w:val="04A0" w:firstRow="1" w:lastRow="0" w:firstColumn="1" w:lastColumn="0" w:noHBand="0" w:noVBand="1"/>
      </w:tblPr>
      <w:tblGrid>
        <w:gridCol w:w="2605"/>
        <w:gridCol w:w="6709"/>
      </w:tblGrid>
      <w:tr w:rsidR="00505963" w:rsidTr="00505963">
        <w:tc>
          <w:tcPr>
            <w:tcW w:w="2605" w:type="dxa"/>
          </w:tcPr>
          <w:p w:rsidR="00505963" w:rsidRPr="00505963" w:rsidRDefault="00505963" w:rsidP="002B17C3">
            <w:pPr>
              <w:pStyle w:val="NormalWeb"/>
              <w:spacing w:before="120" w:beforeAutospacing="0" w:after="120" w:afterAutospacing="0"/>
              <w:jc w:val="both"/>
              <w:rPr>
                <w:color w:val="000000" w:themeColor="text1"/>
                <w:sz w:val="20"/>
                <w:szCs w:val="20"/>
              </w:rPr>
            </w:pPr>
            <w:r>
              <w:rPr>
                <w:color w:val="000000" w:themeColor="text1"/>
                <w:sz w:val="20"/>
                <w:szCs w:val="20"/>
              </w:rPr>
              <w:t>Indicator</w:t>
            </w:r>
          </w:p>
        </w:tc>
        <w:tc>
          <w:tcPr>
            <w:tcW w:w="6570" w:type="dxa"/>
          </w:tcPr>
          <w:p w:rsidR="00505963" w:rsidRPr="00505963" w:rsidRDefault="00505963" w:rsidP="002B17C3">
            <w:pPr>
              <w:pStyle w:val="NormalWeb"/>
              <w:spacing w:before="120" w:beforeAutospacing="0" w:after="120" w:afterAutospacing="0"/>
              <w:jc w:val="both"/>
              <w:rPr>
                <w:color w:val="000000" w:themeColor="text1"/>
                <w:sz w:val="20"/>
                <w:szCs w:val="20"/>
              </w:rPr>
            </w:pPr>
            <w:r>
              <w:rPr>
                <w:color w:val="000000" w:themeColor="text1"/>
                <w:sz w:val="20"/>
                <w:szCs w:val="20"/>
              </w:rPr>
              <w:t>Definition</w:t>
            </w:r>
          </w:p>
        </w:tc>
      </w:tr>
      <w:tr w:rsidR="006442A1" w:rsidRPr="006442A1" w:rsidTr="00505963">
        <w:tc>
          <w:tcPr>
            <w:tcW w:w="2605" w:type="dxa"/>
          </w:tcPr>
          <w:p w:rsidR="006442A1" w:rsidRPr="006442A1" w:rsidRDefault="006442A1" w:rsidP="006442A1">
            <w:pPr>
              <w:spacing w:before="60" w:after="60"/>
              <w:rPr>
                <w:rFonts w:ascii="Times New Roman" w:hAnsi="Times New Roman" w:cs="Times New Roman"/>
                <w:color w:val="000000" w:themeColor="text1"/>
                <w:sz w:val="20"/>
                <w:szCs w:val="20"/>
              </w:rPr>
            </w:pPr>
            <w:r w:rsidRPr="006442A1">
              <w:rPr>
                <w:rFonts w:ascii="Times New Roman" w:hAnsi="Times New Roman" w:cs="Times New Roman"/>
                <w:color w:val="000000" w:themeColor="text1"/>
                <w:sz w:val="20"/>
                <w:szCs w:val="20"/>
              </w:rPr>
              <w:t xml:space="preserve">Government </w:t>
            </w:r>
            <w:r>
              <w:rPr>
                <w:rFonts w:ascii="Times New Roman" w:hAnsi="Times New Roman" w:cs="Times New Roman"/>
                <w:color w:val="000000" w:themeColor="text1"/>
                <w:sz w:val="20"/>
                <w:szCs w:val="20"/>
              </w:rPr>
              <w:t>e</w:t>
            </w:r>
            <w:r w:rsidRPr="006442A1">
              <w:rPr>
                <w:rFonts w:ascii="Times New Roman" w:hAnsi="Times New Roman" w:cs="Times New Roman"/>
                <w:color w:val="000000" w:themeColor="text1"/>
                <w:sz w:val="20"/>
                <w:szCs w:val="20"/>
              </w:rPr>
              <w:t>ffectiveness</w:t>
            </w:r>
          </w:p>
        </w:tc>
        <w:tc>
          <w:tcPr>
            <w:tcW w:w="6570" w:type="dxa"/>
          </w:tcPr>
          <w:p w:rsidR="006442A1" w:rsidRPr="00D04074" w:rsidRDefault="006442A1" w:rsidP="006442A1">
            <w:pPr>
              <w:spacing w:before="60" w:after="60"/>
              <w:rPr>
                <w:rFonts w:ascii="Times New Roman" w:hAnsi="Times New Roman" w:cs="Times New Roman"/>
                <w:b w:val="0"/>
                <w:color w:val="000000" w:themeColor="text1"/>
                <w:sz w:val="20"/>
                <w:szCs w:val="20"/>
              </w:rPr>
            </w:pPr>
            <w:r w:rsidRPr="00D04074">
              <w:rPr>
                <w:rFonts w:ascii="Times New Roman" w:hAnsi="Times New Roman" w:cs="Times New Roman"/>
                <w:b w:val="0"/>
                <w:color w:val="000000" w:themeColor="text1"/>
                <w:sz w:val="20"/>
                <w:szCs w:val="20"/>
              </w:rPr>
              <w:t>Reflects perceptions of the quality of public services, the quality of the civil service and the degree of its independence from political pressures, the quality of policy formulation and implementation, and the credibility of the government's commitment to such policies.</w:t>
            </w:r>
          </w:p>
          <w:p w:rsidR="00D04074" w:rsidRPr="00D04074" w:rsidRDefault="00342B66" w:rsidP="006442A1">
            <w:pPr>
              <w:spacing w:before="60" w:after="60"/>
              <w:rPr>
                <w:rFonts w:ascii="Times New Roman" w:hAnsi="Times New Roman" w:cs="Times New Roman"/>
                <w:b w:val="0"/>
                <w:color w:val="000000" w:themeColor="text1"/>
                <w:sz w:val="20"/>
                <w:szCs w:val="20"/>
              </w:rPr>
            </w:pPr>
            <w:hyperlink r:id="rId237" w:anchor="home" w:history="1">
              <w:r w:rsidR="00D04074" w:rsidRPr="00D04074">
                <w:rPr>
                  <w:rStyle w:val="Hyperlink"/>
                  <w:rFonts w:ascii="Times New Roman" w:hAnsi="Times New Roman" w:cs="Times New Roman"/>
                  <w:b w:val="0"/>
                  <w:sz w:val="20"/>
                  <w:szCs w:val="20"/>
                </w:rPr>
                <w:t>http://info.worldbank.org/governance/wgi/#home</w:t>
              </w:r>
            </w:hyperlink>
          </w:p>
        </w:tc>
      </w:tr>
      <w:tr w:rsidR="006442A1" w:rsidTr="00505963">
        <w:tc>
          <w:tcPr>
            <w:tcW w:w="2605" w:type="dxa"/>
          </w:tcPr>
          <w:p w:rsidR="006442A1" w:rsidRPr="00D04074" w:rsidRDefault="006442A1" w:rsidP="006442A1">
            <w:pPr>
              <w:spacing w:before="60" w:after="60"/>
              <w:rPr>
                <w:rFonts w:ascii="Times New Roman" w:hAnsi="Times New Roman" w:cs="Times New Roman"/>
                <w:b w:val="0"/>
                <w:color w:val="000000" w:themeColor="text1"/>
                <w:sz w:val="20"/>
                <w:szCs w:val="20"/>
              </w:rPr>
            </w:pPr>
            <w:r w:rsidRPr="00D04074">
              <w:rPr>
                <w:rFonts w:ascii="Times New Roman" w:hAnsi="Times New Roman" w:cs="Times New Roman"/>
                <w:color w:val="000000" w:themeColor="text1"/>
                <w:sz w:val="20"/>
                <w:szCs w:val="20"/>
              </w:rPr>
              <w:t>CPIA economic management cluster average</w:t>
            </w:r>
            <w:r w:rsidRPr="00D04074">
              <w:rPr>
                <w:rFonts w:ascii="Times New Roman" w:hAnsi="Times New Roman" w:cs="Times New Roman"/>
                <w:b w:val="0"/>
                <w:color w:val="000000" w:themeColor="text1"/>
                <w:sz w:val="20"/>
                <w:szCs w:val="20"/>
              </w:rPr>
              <w:t xml:space="preserve"> (1=low to 6=high)</w:t>
            </w:r>
          </w:p>
        </w:tc>
        <w:tc>
          <w:tcPr>
            <w:tcW w:w="6570" w:type="dxa"/>
          </w:tcPr>
          <w:p w:rsidR="006442A1" w:rsidRPr="00D04074" w:rsidRDefault="006442A1" w:rsidP="006442A1">
            <w:pPr>
              <w:spacing w:before="60" w:after="60"/>
              <w:rPr>
                <w:rFonts w:ascii="Times New Roman" w:hAnsi="Times New Roman" w:cs="Times New Roman"/>
                <w:b w:val="0"/>
                <w:color w:val="000000" w:themeColor="text1"/>
                <w:sz w:val="20"/>
                <w:szCs w:val="20"/>
              </w:rPr>
            </w:pPr>
            <w:r w:rsidRPr="00D04074">
              <w:rPr>
                <w:rFonts w:ascii="Times New Roman" w:hAnsi="Times New Roman" w:cs="Times New Roman"/>
                <w:b w:val="0"/>
                <w:color w:val="000000" w:themeColor="text1"/>
                <w:sz w:val="20"/>
                <w:szCs w:val="20"/>
              </w:rPr>
              <w:t>The economic management cluster includes macroeconomic management, fiscal policy, and debt policy.</w:t>
            </w:r>
          </w:p>
          <w:p w:rsidR="00D04074" w:rsidRPr="00D04074" w:rsidRDefault="00D04074" w:rsidP="006442A1">
            <w:pPr>
              <w:spacing w:before="60" w:after="60"/>
              <w:rPr>
                <w:rFonts w:ascii="Times New Roman" w:hAnsi="Times New Roman" w:cs="Times New Roman"/>
                <w:b w:val="0"/>
                <w:color w:val="000000" w:themeColor="text1"/>
                <w:sz w:val="20"/>
                <w:szCs w:val="20"/>
              </w:rPr>
            </w:pPr>
            <w:r w:rsidRPr="00D04074">
              <w:rPr>
                <w:rFonts w:ascii="Times New Roman" w:hAnsi="Times New Roman" w:cs="Times New Roman"/>
                <w:b w:val="0"/>
                <w:color w:val="000000" w:themeColor="text1"/>
                <w:sz w:val="20"/>
                <w:szCs w:val="20"/>
              </w:rPr>
              <w:t xml:space="preserve">. </w:t>
            </w:r>
            <w:hyperlink r:id="rId238" w:history="1">
              <w:r w:rsidRPr="00D04074">
                <w:rPr>
                  <w:rStyle w:val="Hyperlink"/>
                  <w:rFonts w:ascii="Times New Roman" w:hAnsi="Times New Roman" w:cs="Times New Roman"/>
                  <w:b w:val="0"/>
                  <w:sz w:val="20"/>
                  <w:szCs w:val="20"/>
                </w:rPr>
                <w:t>http://data.worldbank.org/data-catalog/CPIA</w:t>
              </w:r>
            </w:hyperlink>
          </w:p>
        </w:tc>
      </w:tr>
      <w:tr w:rsidR="006442A1" w:rsidTr="00505963">
        <w:tc>
          <w:tcPr>
            <w:tcW w:w="2605" w:type="dxa"/>
          </w:tcPr>
          <w:p w:rsidR="006442A1" w:rsidRPr="00505963" w:rsidRDefault="006442A1" w:rsidP="006442A1">
            <w:pPr>
              <w:pStyle w:val="NormalWeb"/>
              <w:spacing w:before="120" w:beforeAutospacing="0" w:after="120" w:afterAutospacing="0"/>
              <w:jc w:val="both"/>
              <w:rPr>
                <w:b/>
                <w:color w:val="000000" w:themeColor="text1"/>
                <w:sz w:val="20"/>
                <w:szCs w:val="20"/>
              </w:rPr>
            </w:pPr>
            <w:r w:rsidRPr="00505963">
              <w:rPr>
                <w:b/>
                <w:color w:val="000000" w:themeColor="text1"/>
                <w:sz w:val="20"/>
                <w:szCs w:val="20"/>
              </w:rPr>
              <w:t>Index of economic freedom</w:t>
            </w:r>
          </w:p>
        </w:tc>
        <w:tc>
          <w:tcPr>
            <w:tcW w:w="6570" w:type="dxa"/>
          </w:tcPr>
          <w:p w:rsidR="006442A1" w:rsidRPr="007E0159" w:rsidRDefault="006442A1" w:rsidP="006442A1">
            <w:pPr>
              <w:pStyle w:val="NormalWeb"/>
              <w:spacing w:before="0" w:beforeAutospacing="0" w:after="0" w:afterAutospacing="0"/>
              <w:jc w:val="both"/>
              <w:rPr>
                <w:color w:val="000000" w:themeColor="text1"/>
                <w:sz w:val="20"/>
                <w:szCs w:val="20"/>
              </w:rPr>
            </w:pPr>
            <w:r w:rsidRPr="007E0159">
              <w:rPr>
                <w:color w:val="000000" w:themeColor="text1"/>
                <w:sz w:val="20"/>
                <w:szCs w:val="20"/>
              </w:rPr>
              <w:t xml:space="preserve">Index of economic freedom is measured on the basis of 12 quantitative and qualitative factors, grouped into four broad categories, or pillars, of economic freedom:    </w:t>
            </w:r>
          </w:p>
          <w:p w:rsidR="006442A1" w:rsidRPr="007E0159" w:rsidRDefault="006442A1" w:rsidP="006442A1">
            <w:pPr>
              <w:pStyle w:val="NormalWeb"/>
              <w:spacing w:before="0" w:beforeAutospacing="0" w:after="0" w:afterAutospacing="0"/>
              <w:jc w:val="both"/>
              <w:rPr>
                <w:color w:val="000000" w:themeColor="text1"/>
                <w:sz w:val="20"/>
                <w:szCs w:val="20"/>
              </w:rPr>
            </w:pPr>
            <w:r w:rsidRPr="007E0159">
              <w:rPr>
                <w:color w:val="000000" w:themeColor="text1"/>
                <w:sz w:val="20"/>
                <w:szCs w:val="20"/>
              </w:rPr>
              <w:t xml:space="preserve">1. Rule of Law (property rights, government integrity, judicial effectiveness)         </w:t>
            </w:r>
          </w:p>
          <w:p w:rsidR="006442A1" w:rsidRPr="007E0159" w:rsidRDefault="006442A1" w:rsidP="006442A1">
            <w:pPr>
              <w:pStyle w:val="NormalWeb"/>
              <w:spacing w:before="0" w:beforeAutospacing="0" w:after="0" w:afterAutospacing="0"/>
              <w:jc w:val="both"/>
              <w:rPr>
                <w:color w:val="000000" w:themeColor="text1"/>
                <w:sz w:val="20"/>
                <w:szCs w:val="20"/>
              </w:rPr>
            </w:pPr>
            <w:r w:rsidRPr="007E0159">
              <w:rPr>
                <w:color w:val="000000" w:themeColor="text1"/>
                <w:sz w:val="20"/>
                <w:szCs w:val="20"/>
              </w:rPr>
              <w:t xml:space="preserve">2. Government Size (government spending, tax burden, fiscal health)         </w:t>
            </w:r>
          </w:p>
          <w:p w:rsidR="006442A1" w:rsidRPr="007E0159" w:rsidRDefault="006442A1" w:rsidP="006442A1">
            <w:pPr>
              <w:pStyle w:val="NormalWeb"/>
              <w:spacing w:before="0" w:beforeAutospacing="0" w:after="0" w:afterAutospacing="0"/>
              <w:jc w:val="both"/>
              <w:rPr>
                <w:color w:val="000000" w:themeColor="text1"/>
                <w:sz w:val="20"/>
                <w:szCs w:val="20"/>
              </w:rPr>
            </w:pPr>
            <w:r w:rsidRPr="007E0159">
              <w:rPr>
                <w:color w:val="000000" w:themeColor="text1"/>
                <w:sz w:val="20"/>
                <w:szCs w:val="20"/>
              </w:rPr>
              <w:t xml:space="preserve">3. Regulatory Efficiency (business freedom, labor freedom, monetary freedom)        </w:t>
            </w:r>
          </w:p>
          <w:p w:rsidR="006442A1" w:rsidRPr="007E0159" w:rsidRDefault="006442A1" w:rsidP="006442A1">
            <w:pPr>
              <w:pStyle w:val="NormalWeb"/>
              <w:spacing w:before="0" w:beforeAutospacing="0" w:after="0" w:afterAutospacing="0"/>
              <w:jc w:val="both"/>
              <w:rPr>
                <w:color w:val="000000" w:themeColor="text1"/>
                <w:sz w:val="20"/>
                <w:szCs w:val="20"/>
              </w:rPr>
            </w:pPr>
            <w:r w:rsidRPr="007E0159">
              <w:rPr>
                <w:color w:val="000000" w:themeColor="text1"/>
                <w:sz w:val="20"/>
                <w:szCs w:val="20"/>
              </w:rPr>
              <w:t xml:space="preserve">4. Open Markets (trade freedom, investment freedom, financial freedom)         </w:t>
            </w:r>
          </w:p>
          <w:p w:rsidR="006442A1" w:rsidRPr="007E0159" w:rsidRDefault="006442A1" w:rsidP="006442A1">
            <w:pPr>
              <w:pStyle w:val="NormalWeb"/>
              <w:spacing w:before="0" w:beforeAutospacing="0" w:after="0" w:afterAutospacing="0"/>
              <w:jc w:val="both"/>
              <w:rPr>
                <w:color w:val="000000" w:themeColor="text1"/>
                <w:sz w:val="20"/>
                <w:szCs w:val="20"/>
              </w:rPr>
            </w:pPr>
            <w:r w:rsidRPr="007E0159">
              <w:rPr>
                <w:color w:val="000000" w:themeColor="text1"/>
                <w:sz w:val="20"/>
                <w:szCs w:val="20"/>
              </w:rPr>
              <w:t xml:space="preserve">           </w:t>
            </w:r>
          </w:p>
          <w:p w:rsidR="006442A1" w:rsidRPr="007E0159" w:rsidRDefault="006442A1" w:rsidP="006442A1">
            <w:pPr>
              <w:pStyle w:val="NormalWeb"/>
              <w:spacing w:before="0" w:beforeAutospacing="0" w:after="0" w:afterAutospacing="0"/>
              <w:jc w:val="both"/>
              <w:rPr>
                <w:color w:val="000000" w:themeColor="text1"/>
                <w:sz w:val="20"/>
                <w:szCs w:val="20"/>
              </w:rPr>
            </w:pPr>
            <w:r w:rsidRPr="007E0159">
              <w:rPr>
                <w:color w:val="000000" w:themeColor="text1"/>
                <w:sz w:val="20"/>
                <w:szCs w:val="20"/>
              </w:rPr>
              <w:t xml:space="preserve">Each of the twelve economic freedoms within these categories is graded on a scale of 0 to 100. </w:t>
            </w:r>
          </w:p>
          <w:p w:rsidR="006442A1" w:rsidRPr="007E0159" w:rsidRDefault="006442A1" w:rsidP="006442A1">
            <w:pPr>
              <w:pStyle w:val="NormalWeb"/>
              <w:spacing w:before="0" w:beforeAutospacing="0" w:after="0" w:afterAutospacing="0"/>
              <w:jc w:val="both"/>
              <w:rPr>
                <w:color w:val="000000" w:themeColor="text1"/>
                <w:sz w:val="20"/>
                <w:szCs w:val="20"/>
              </w:rPr>
            </w:pPr>
            <w:r w:rsidRPr="007E0159">
              <w:rPr>
                <w:color w:val="000000" w:themeColor="text1"/>
                <w:sz w:val="20"/>
                <w:szCs w:val="20"/>
              </w:rPr>
              <w:t>A country</w:t>
            </w:r>
            <w:r w:rsidRPr="007E0159">
              <w:rPr>
                <w:rFonts w:hint="eastAsia"/>
                <w:color w:val="000000" w:themeColor="text1"/>
                <w:sz w:val="20"/>
                <w:szCs w:val="20"/>
              </w:rPr>
              <w:t>’</w:t>
            </w:r>
            <w:r w:rsidRPr="007E0159">
              <w:rPr>
                <w:color w:val="000000" w:themeColor="text1"/>
                <w:sz w:val="20"/>
                <w:szCs w:val="20"/>
              </w:rPr>
              <w:t>s overall score is derived by averaging these twelve economic freedoms, with equal weight being given to each.</w:t>
            </w:r>
          </w:p>
          <w:p w:rsidR="006442A1" w:rsidRPr="007E0159" w:rsidRDefault="006442A1" w:rsidP="006442A1">
            <w:pPr>
              <w:pStyle w:val="NormalWeb"/>
              <w:spacing w:before="0" w:beforeAutospacing="0" w:after="0" w:afterAutospacing="0"/>
              <w:jc w:val="both"/>
              <w:rPr>
                <w:color w:val="000000" w:themeColor="text1"/>
                <w:sz w:val="20"/>
                <w:szCs w:val="20"/>
              </w:rPr>
            </w:pPr>
            <w:r w:rsidRPr="007E0159">
              <w:rPr>
                <w:color w:val="000000" w:themeColor="text1"/>
                <w:sz w:val="20"/>
                <w:szCs w:val="20"/>
              </w:rPr>
              <w:t>Cut off points are free 100-80, mostly free 79.9-70, moderately free 69.9-60, mostly unfree 59.9-50 and repressed 49.9-0.</w:t>
            </w:r>
          </w:p>
          <w:p w:rsidR="007E0159" w:rsidRPr="007E0159" w:rsidRDefault="00342B66" w:rsidP="006442A1">
            <w:pPr>
              <w:pStyle w:val="NormalWeb"/>
              <w:spacing w:before="0" w:beforeAutospacing="0" w:after="0" w:afterAutospacing="0"/>
              <w:jc w:val="both"/>
              <w:rPr>
                <w:color w:val="000000" w:themeColor="text1"/>
                <w:sz w:val="20"/>
                <w:szCs w:val="20"/>
              </w:rPr>
            </w:pPr>
            <w:hyperlink r:id="rId239" w:history="1">
              <w:r w:rsidR="007E0159" w:rsidRPr="007E0159">
                <w:rPr>
                  <w:rStyle w:val="Hyperlink"/>
                  <w:sz w:val="20"/>
                  <w:szCs w:val="20"/>
                </w:rPr>
                <w:t>http://www.heritage.org/index/download</w:t>
              </w:r>
            </w:hyperlink>
          </w:p>
        </w:tc>
      </w:tr>
      <w:tr w:rsidR="006442A1" w:rsidTr="00505963">
        <w:tc>
          <w:tcPr>
            <w:tcW w:w="2605" w:type="dxa"/>
          </w:tcPr>
          <w:p w:rsidR="006442A1" w:rsidRPr="00E5324F" w:rsidRDefault="006442A1" w:rsidP="006442A1">
            <w:pPr>
              <w:pStyle w:val="NormalWeb"/>
              <w:spacing w:before="120" w:beforeAutospacing="0" w:after="120" w:afterAutospacing="0"/>
              <w:jc w:val="both"/>
              <w:rPr>
                <w:color w:val="000000" w:themeColor="text1"/>
                <w:sz w:val="20"/>
                <w:szCs w:val="20"/>
              </w:rPr>
            </w:pPr>
            <w:r>
              <w:rPr>
                <w:b/>
                <w:color w:val="000000" w:themeColor="text1"/>
                <w:sz w:val="20"/>
                <w:szCs w:val="20"/>
              </w:rPr>
              <w:t>Country risk assessment</w:t>
            </w:r>
          </w:p>
        </w:tc>
        <w:tc>
          <w:tcPr>
            <w:tcW w:w="6570" w:type="dxa"/>
          </w:tcPr>
          <w:p w:rsidR="006442A1" w:rsidRPr="00311E35" w:rsidRDefault="006442A1" w:rsidP="006442A1">
            <w:pPr>
              <w:pStyle w:val="NormalWeb"/>
              <w:spacing w:before="120" w:beforeAutospacing="0" w:after="120" w:afterAutospacing="0"/>
              <w:jc w:val="both"/>
              <w:rPr>
                <w:color w:val="000000" w:themeColor="text1"/>
                <w:sz w:val="20"/>
                <w:szCs w:val="20"/>
              </w:rPr>
            </w:pPr>
            <w:r w:rsidRPr="00311E35">
              <w:rPr>
                <w:color w:val="000000" w:themeColor="text1"/>
                <w:sz w:val="20"/>
                <w:szCs w:val="20"/>
              </w:rPr>
              <w:t>Country risk assessment is based on credit risk looking at political, economic and security risks and potential.</w:t>
            </w:r>
          </w:p>
          <w:p w:rsidR="006442A1" w:rsidRPr="00311E35" w:rsidRDefault="006442A1" w:rsidP="006442A1">
            <w:pPr>
              <w:pStyle w:val="NormalWeb"/>
              <w:spacing w:before="120" w:beforeAutospacing="0" w:after="120" w:afterAutospacing="0"/>
              <w:jc w:val="both"/>
              <w:rPr>
                <w:color w:val="000000" w:themeColor="text1"/>
                <w:sz w:val="20"/>
                <w:szCs w:val="20"/>
              </w:rPr>
            </w:pPr>
            <w:r w:rsidRPr="00311E35">
              <w:rPr>
                <w:color w:val="000000" w:themeColor="text1"/>
                <w:sz w:val="20"/>
                <w:szCs w:val="20"/>
              </w:rPr>
              <w:t xml:space="preserve">With </w:t>
            </w:r>
            <w:proofErr w:type="spellStart"/>
            <w:r w:rsidRPr="00311E35">
              <w:rPr>
                <w:color w:val="000000" w:themeColor="text1"/>
                <w:sz w:val="20"/>
                <w:szCs w:val="20"/>
              </w:rPr>
              <w:t>Coface</w:t>
            </w:r>
            <w:r w:rsidRPr="00311E35">
              <w:rPr>
                <w:rFonts w:hint="eastAsia"/>
                <w:color w:val="000000" w:themeColor="text1"/>
                <w:sz w:val="20"/>
                <w:szCs w:val="20"/>
              </w:rPr>
              <w:t>’</w:t>
            </w:r>
            <w:r w:rsidRPr="00311E35">
              <w:rPr>
                <w:color w:val="000000" w:themeColor="text1"/>
                <w:sz w:val="20"/>
                <w:szCs w:val="20"/>
              </w:rPr>
              <w:t>s</w:t>
            </w:r>
            <w:proofErr w:type="spellEnd"/>
            <w:r w:rsidRPr="00311E35">
              <w:rPr>
                <w:color w:val="000000" w:themeColor="text1"/>
                <w:sz w:val="20"/>
                <w:szCs w:val="20"/>
              </w:rPr>
              <w:t xml:space="preserve"> expertise in country evaluations, 160 country assessments are available using a spectrum of indicators incorporating geopolitical or governance risks, economic vulnerability, the risk of foreign currency liquidity crisis, the severity of external indebtedness and the financial vulnerability of the banking system. Regularly updated, they provide an estimate of the average credit risk on a country</w:t>
            </w:r>
            <w:r w:rsidRPr="00311E35">
              <w:rPr>
                <w:rFonts w:hint="eastAsia"/>
                <w:color w:val="000000" w:themeColor="text1"/>
                <w:sz w:val="20"/>
                <w:szCs w:val="20"/>
              </w:rPr>
              <w:t>’</w:t>
            </w:r>
            <w:r w:rsidRPr="00311E35">
              <w:rPr>
                <w:color w:val="000000" w:themeColor="text1"/>
                <w:sz w:val="20"/>
                <w:szCs w:val="20"/>
              </w:rPr>
              <w:t>s businesses. This is an invaluable tool, giving an indication of a country</w:t>
            </w:r>
            <w:r w:rsidRPr="00311E35">
              <w:rPr>
                <w:rFonts w:hint="eastAsia"/>
                <w:color w:val="000000" w:themeColor="text1"/>
                <w:sz w:val="20"/>
                <w:szCs w:val="20"/>
              </w:rPr>
              <w:t>’</w:t>
            </w:r>
            <w:r w:rsidRPr="00311E35">
              <w:rPr>
                <w:color w:val="000000" w:themeColor="text1"/>
                <w:sz w:val="20"/>
                <w:szCs w:val="20"/>
              </w:rPr>
              <w:t>s potential influence on businesses</w:t>
            </w:r>
            <w:r w:rsidRPr="00311E35">
              <w:rPr>
                <w:rFonts w:hint="eastAsia"/>
                <w:color w:val="000000" w:themeColor="text1"/>
                <w:sz w:val="20"/>
                <w:szCs w:val="20"/>
              </w:rPr>
              <w:t>’</w:t>
            </w:r>
            <w:r w:rsidRPr="00311E35">
              <w:rPr>
                <w:color w:val="000000" w:themeColor="text1"/>
                <w:sz w:val="20"/>
                <w:szCs w:val="20"/>
              </w:rPr>
              <w:t xml:space="preserve"> financial commitments. </w:t>
            </w:r>
            <w:proofErr w:type="spellStart"/>
            <w:r w:rsidRPr="00311E35">
              <w:rPr>
                <w:color w:val="000000" w:themeColor="text1"/>
                <w:sz w:val="20"/>
                <w:szCs w:val="20"/>
              </w:rPr>
              <w:t>Coface</w:t>
            </w:r>
            <w:proofErr w:type="spellEnd"/>
            <w:r w:rsidRPr="00311E35">
              <w:rPr>
                <w:color w:val="000000" w:themeColor="text1"/>
                <w:sz w:val="20"/>
                <w:szCs w:val="20"/>
              </w:rPr>
              <w:t xml:space="preserve"> analyses use </w:t>
            </w:r>
            <w:proofErr w:type="spellStart"/>
            <w:r w:rsidRPr="00311E35">
              <w:rPr>
                <w:color w:val="000000" w:themeColor="text1"/>
                <w:sz w:val="20"/>
                <w:szCs w:val="20"/>
              </w:rPr>
              <w:t>a</w:t>
            </w:r>
            <w:proofErr w:type="spellEnd"/>
            <w:r w:rsidRPr="00311E35">
              <w:rPr>
                <w:color w:val="000000" w:themeColor="text1"/>
                <w:sz w:val="20"/>
                <w:szCs w:val="20"/>
              </w:rPr>
              <w:t xml:space="preserve"> eight-level ranking. In ascending order of risk, these are: A1, A2, A3, A4, B, C, D and E with A1, A2 and A3 as high risk, A4, B and C as acceptable risk and D and E as high risk.</w:t>
            </w:r>
          </w:p>
          <w:p w:rsidR="00311E35" w:rsidRPr="00311E35" w:rsidRDefault="00342B66" w:rsidP="006442A1">
            <w:pPr>
              <w:pStyle w:val="NormalWeb"/>
              <w:spacing w:before="120" w:beforeAutospacing="0" w:after="120" w:afterAutospacing="0"/>
              <w:jc w:val="both"/>
              <w:rPr>
                <w:color w:val="000000" w:themeColor="text1"/>
                <w:sz w:val="20"/>
                <w:szCs w:val="20"/>
              </w:rPr>
            </w:pPr>
            <w:hyperlink r:id="rId240" w:history="1">
              <w:r w:rsidR="00311E35" w:rsidRPr="00311E35">
                <w:rPr>
                  <w:rStyle w:val="Hyperlink"/>
                  <w:sz w:val="20"/>
                  <w:szCs w:val="20"/>
                </w:rPr>
                <w:t>http://www.coface.com/Economic-Studies-and-Country-Risks</w:t>
              </w:r>
            </w:hyperlink>
          </w:p>
        </w:tc>
      </w:tr>
      <w:tr w:rsidR="006442A1" w:rsidTr="00505963">
        <w:tc>
          <w:tcPr>
            <w:tcW w:w="2605" w:type="dxa"/>
          </w:tcPr>
          <w:p w:rsidR="006442A1" w:rsidRPr="00AB74B1" w:rsidRDefault="006442A1" w:rsidP="006442A1">
            <w:pPr>
              <w:pStyle w:val="NormalWeb"/>
              <w:spacing w:before="120" w:beforeAutospacing="0" w:after="120" w:afterAutospacing="0"/>
              <w:jc w:val="both"/>
              <w:rPr>
                <w:b/>
                <w:color w:val="000000" w:themeColor="text1"/>
                <w:sz w:val="20"/>
                <w:szCs w:val="20"/>
              </w:rPr>
            </w:pPr>
            <w:r w:rsidRPr="00AB74B1">
              <w:rPr>
                <w:b/>
                <w:color w:val="000000" w:themeColor="text1"/>
                <w:sz w:val="20"/>
                <w:szCs w:val="20"/>
              </w:rPr>
              <w:t>Social Institutions and Gender Index</w:t>
            </w:r>
          </w:p>
        </w:tc>
        <w:tc>
          <w:tcPr>
            <w:tcW w:w="6570" w:type="dxa"/>
          </w:tcPr>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 xml:space="preserve">OECD SIGI (Social Institutions and Gender Index) classification: The SIGI scores 108 countries according to their level of discrimination in social institutions. It classifies them into five groups, from very low levels of </w:t>
            </w:r>
            <w:r w:rsidRPr="00646E61">
              <w:rPr>
                <w:color w:val="000000" w:themeColor="text1"/>
                <w:sz w:val="20"/>
                <w:szCs w:val="20"/>
              </w:rPr>
              <w:lastRenderedPageBreak/>
              <w:t>discrimination in social institutions (15% of the countries, with a SIGI average of 0.02) to very high levels (16% of the countries).</w:t>
            </w:r>
          </w:p>
          <w:p w:rsidR="00646E61" w:rsidRPr="00646E61" w:rsidRDefault="00342B66" w:rsidP="006442A1">
            <w:pPr>
              <w:pStyle w:val="NormalWeb"/>
              <w:spacing w:before="120" w:beforeAutospacing="0" w:after="120" w:afterAutospacing="0"/>
              <w:jc w:val="both"/>
              <w:rPr>
                <w:color w:val="000000" w:themeColor="text1"/>
                <w:sz w:val="20"/>
                <w:szCs w:val="20"/>
              </w:rPr>
            </w:pPr>
            <w:hyperlink r:id="rId241" w:history="1">
              <w:r w:rsidR="00646E61" w:rsidRPr="00646E61">
                <w:rPr>
                  <w:rStyle w:val="Hyperlink"/>
                  <w:sz w:val="20"/>
                  <w:szCs w:val="20"/>
                </w:rPr>
                <w:t>http://www.genderindex.org/sites/default/files/docs/BrochureSIGI2015.pdf</w:t>
              </w:r>
            </w:hyperlink>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Composition of the SIGI</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Discriminatory family code: Legal age of marriage, Early marriage, Parental authority and Inheritance</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Restricted physical integrity: Violence against women, Female genital mutilation, Reproductive autonomy</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Son bias: Missing women, Fertility preferences</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Restricted resources and assets: Secure access to land, Secure access to non-land assets, Access to financial services</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Restricted civil liberties: Access to public space, political voice</w:t>
            </w:r>
          </w:p>
        </w:tc>
      </w:tr>
      <w:tr w:rsidR="006442A1" w:rsidTr="00505963">
        <w:tc>
          <w:tcPr>
            <w:tcW w:w="2605" w:type="dxa"/>
          </w:tcPr>
          <w:p w:rsidR="006442A1" w:rsidRPr="00505963" w:rsidRDefault="006442A1" w:rsidP="006442A1">
            <w:pPr>
              <w:pStyle w:val="NormalWeb"/>
              <w:spacing w:before="120" w:beforeAutospacing="0" w:after="120" w:afterAutospacing="0"/>
              <w:jc w:val="both"/>
              <w:rPr>
                <w:color w:val="000000" w:themeColor="text1"/>
                <w:sz w:val="20"/>
                <w:szCs w:val="20"/>
              </w:rPr>
            </w:pPr>
          </w:p>
        </w:tc>
        <w:tc>
          <w:tcPr>
            <w:tcW w:w="6570" w:type="dxa"/>
          </w:tcPr>
          <w:p w:rsidR="006442A1" w:rsidRPr="00505963" w:rsidRDefault="006442A1" w:rsidP="006442A1">
            <w:pPr>
              <w:pStyle w:val="NormalWeb"/>
              <w:spacing w:before="120" w:beforeAutospacing="0" w:after="120" w:afterAutospacing="0"/>
              <w:jc w:val="both"/>
              <w:rPr>
                <w:color w:val="000000" w:themeColor="text1"/>
                <w:sz w:val="20"/>
                <w:szCs w:val="20"/>
              </w:rPr>
            </w:pPr>
            <w:r w:rsidRPr="003D5CB0">
              <w:rPr>
                <w:color w:val="000000" w:themeColor="text1"/>
                <w:sz w:val="20"/>
                <w:szCs w:val="20"/>
              </w:rPr>
              <w:t>Levels of gender discrimination in social institutions - Very low (</w:t>
            </w:r>
            <w:proofErr w:type="spellStart"/>
            <w:r w:rsidRPr="003D5CB0">
              <w:rPr>
                <w:color w:val="000000" w:themeColor="text1"/>
                <w:sz w:val="20"/>
                <w:szCs w:val="20"/>
              </w:rPr>
              <w:t>SiGi</w:t>
            </w:r>
            <w:proofErr w:type="spellEnd"/>
            <w:r w:rsidRPr="003D5CB0">
              <w:rPr>
                <w:color w:val="000000" w:themeColor="text1"/>
                <w:sz w:val="20"/>
                <w:szCs w:val="20"/>
              </w:rPr>
              <w:t xml:space="preserve"> &lt; 0.04), low (0.04 &lt; </w:t>
            </w:r>
            <w:proofErr w:type="spellStart"/>
            <w:r w:rsidRPr="003D5CB0">
              <w:rPr>
                <w:color w:val="000000" w:themeColor="text1"/>
                <w:sz w:val="20"/>
                <w:szCs w:val="20"/>
              </w:rPr>
              <w:t>SiGi</w:t>
            </w:r>
            <w:proofErr w:type="spellEnd"/>
            <w:r w:rsidRPr="003D5CB0">
              <w:rPr>
                <w:color w:val="000000" w:themeColor="text1"/>
                <w:sz w:val="20"/>
                <w:szCs w:val="20"/>
              </w:rPr>
              <w:t xml:space="preserve"> &lt; 0.12), medium (0.12 &lt; </w:t>
            </w:r>
            <w:proofErr w:type="spellStart"/>
            <w:r w:rsidRPr="003D5CB0">
              <w:rPr>
                <w:color w:val="000000" w:themeColor="text1"/>
                <w:sz w:val="20"/>
                <w:szCs w:val="20"/>
              </w:rPr>
              <w:t>SiGi</w:t>
            </w:r>
            <w:proofErr w:type="spellEnd"/>
            <w:r w:rsidRPr="003D5CB0">
              <w:rPr>
                <w:color w:val="000000" w:themeColor="text1"/>
                <w:sz w:val="20"/>
                <w:szCs w:val="20"/>
              </w:rPr>
              <w:t xml:space="preserve"> &lt; 0.22), high (0.22 &lt; </w:t>
            </w:r>
            <w:proofErr w:type="spellStart"/>
            <w:r w:rsidRPr="003D5CB0">
              <w:rPr>
                <w:color w:val="000000" w:themeColor="text1"/>
                <w:sz w:val="20"/>
                <w:szCs w:val="20"/>
              </w:rPr>
              <w:t>SiGi</w:t>
            </w:r>
            <w:proofErr w:type="spellEnd"/>
            <w:r w:rsidRPr="003D5CB0">
              <w:rPr>
                <w:color w:val="000000" w:themeColor="text1"/>
                <w:sz w:val="20"/>
                <w:szCs w:val="20"/>
              </w:rPr>
              <w:t xml:space="preserve"> &lt; 0.35) and very high (</w:t>
            </w:r>
            <w:proofErr w:type="spellStart"/>
            <w:r w:rsidRPr="003D5CB0">
              <w:rPr>
                <w:color w:val="000000" w:themeColor="text1"/>
                <w:sz w:val="20"/>
                <w:szCs w:val="20"/>
              </w:rPr>
              <w:t>SiGi</w:t>
            </w:r>
            <w:proofErr w:type="spellEnd"/>
            <w:r w:rsidRPr="003D5CB0">
              <w:rPr>
                <w:color w:val="000000" w:themeColor="text1"/>
                <w:sz w:val="20"/>
                <w:szCs w:val="20"/>
              </w:rPr>
              <w:t xml:space="preserve"> &gt; 0.35  )</w:t>
            </w:r>
          </w:p>
        </w:tc>
      </w:tr>
      <w:tr w:rsidR="006442A1" w:rsidTr="00505963">
        <w:tc>
          <w:tcPr>
            <w:tcW w:w="2605" w:type="dxa"/>
          </w:tcPr>
          <w:p w:rsidR="006442A1" w:rsidRPr="003D5CB0" w:rsidRDefault="006442A1" w:rsidP="006442A1">
            <w:pPr>
              <w:pStyle w:val="NormalWeb"/>
              <w:spacing w:before="120" w:beforeAutospacing="0" w:after="120" w:afterAutospacing="0"/>
              <w:jc w:val="both"/>
              <w:rPr>
                <w:b/>
                <w:color w:val="000000" w:themeColor="text1"/>
                <w:sz w:val="20"/>
                <w:szCs w:val="20"/>
              </w:rPr>
            </w:pPr>
            <w:r w:rsidRPr="003D5CB0">
              <w:rPr>
                <w:b/>
                <w:color w:val="000000" w:themeColor="text1"/>
                <w:sz w:val="20"/>
                <w:szCs w:val="20"/>
              </w:rPr>
              <w:t>Corruption Perceptions Index (CPI)</w:t>
            </w:r>
          </w:p>
        </w:tc>
        <w:tc>
          <w:tcPr>
            <w:tcW w:w="6570" w:type="dxa"/>
          </w:tcPr>
          <w:p w:rsidR="006442A1" w:rsidRDefault="006442A1" w:rsidP="006442A1">
            <w:pPr>
              <w:pStyle w:val="NormalWeb"/>
              <w:spacing w:before="120" w:beforeAutospacing="0" w:after="120" w:afterAutospacing="0"/>
              <w:jc w:val="both"/>
              <w:rPr>
                <w:color w:val="000000" w:themeColor="text1"/>
                <w:sz w:val="20"/>
                <w:szCs w:val="20"/>
              </w:rPr>
            </w:pPr>
            <w:r w:rsidRPr="00A769CC">
              <w:rPr>
                <w:color w:val="000000" w:themeColor="text1"/>
                <w:sz w:val="20"/>
                <w:szCs w:val="20"/>
              </w:rPr>
              <w:t>Transparency International (TI) has published the Corruption Perceptions Index (CPI) since 1996, annually ranking countries "by their perceived levels of corruption, as determined by expert assessments and opinion surveys."[1] The CPI generally defines corruption as "the misuse of public power for private benefit." The CPI currently ranks 168 countries "on a scale from 100 (very clean) to 0 (highly corrupt)."</w:t>
            </w:r>
          </w:p>
          <w:p w:rsidR="006442A1" w:rsidRPr="00505963" w:rsidRDefault="006442A1" w:rsidP="006442A1">
            <w:pPr>
              <w:pStyle w:val="NormalWeb"/>
              <w:spacing w:before="120" w:beforeAutospacing="0" w:after="120" w:afterAutospacing="0"/>
              <w:jc w:val="both"/>
              <w:rPr>
                <w:color w:val="000000" w:themeColor="text1"/>
                <w:sz w:val="20"/>
                <w:szCs w:val="20"/>
              </w:rPr>
            </w:pPr>
            <w:r w:rsidRPr="00A769CC">
              <w:rPr>
                <w:color w:val="000000" w:themeColor="text1"/>
                <w:sz w:val="20"/>
                <w:szCs w:val="20"/>
              </w:rPr>
              <w:t xml:space="preserve"> </w:t>
            </w:r>
            <w:hyperlink r:id="rId242" w:history="1">
              <w:r w:rsidRPr="004323E8">
                <w:rPr>
                  <w:rStyle w:val="Hyperlink"/>
                  <w:sz w:val="20"/>
                  <w:szCs w:val="20"/>
                </w:rPr>
                <w:t>https://en.wikipedia.org/wiki/Corruption_Perceptions_Index</w:t>
              </w:r>
            </w:hyperlink>
            <w:r>
              <w:rPr>
                <w:color w:val="000000" w:themeColor="text1"/>
                <w:sz w:val="20"/>
                <w:szCs w:val="20"/>
              </w:rPr>
              <w:t xml:space="preserve"> </w:t>
            </w:r>
          </w:p>
        </w:tc>
      </w:tr>
      <w:tr w:rsidR="006442A1" w:rsidTr="00505963">
        <w:tc>
          <w:tcPr>
            <w:tcW w:w="2605" w:type="dxa"/>
          </w:tcPr>
          <w:p w:rsidR="006442A1" w:rsidRPr="00A769CC" w:rsidRDefault="006442A1" w:rsidP="006442A1">
            <w:pPr>
              <w:pStyle w:val="NormalWeb"/>
              <w:spacing w:before="120" w:beforeAutospacing="0" w:after="120" w:afterAutospacing="0"/>
              <w:jc w:val="both"/>
              <w:rPr>
                <w:b/>
                <w:color w:val="000000" w:themeColor="text1"/>
                <w:sz w:val="20"/>
                <w:szCs w:val="20"/>
              </w:rPr>
            </w:pPr>
            <w:r w:rsidRPr="00A769CC">
              <w:rPr>
                <w:b/>
                <w:color w:val="000000" w:themeColor="text1"/>
                <w:sz w:val="20"/>
                <w:szCs w:val="20"/>
              </w:rPr>
              <w:t>ITUC Global Rights Index</w:t>
            </w:r>
          </w:p>
        </w:tc>
        <w:tc>
          <w:tcPr>
            <w:tcW w:w="6570" w:type="dxa"/>
          </w:tcPr>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The ITUC Global Rights Index depicts the world</w:t>
            </w:r>
            <w:r w:rsidRPr="00646E61">
              <w:rPr>
                <w:rFonts w:hint="eastAsia"/>
                <w:color w:val="000000" w:themeColor="text1"/>
                <w:sz w:val="20"/>
                <w:szCs w:val="20"/>
              </w:rPr>
              <w:t>’</w:t>
            </w:r>
            <w:r w:rsidRPr="00646E61">
              <w:rPr>
                <w:color w:val="000000" w:themeColor="text1"/>
                <w:sz w:val="20"/>
                <w:szCs w:val="20"/>
              </w:rPr>
              <w:t>s worst countries for workers by rating 139 countries on a scale from 1-5 based on the degree of respect for workers</w:t>
            </w:r>
            <w:r w:rsidRPr="00646E61">
              <w:rPr>
                <w:rFonts w:hint="eastAsia"/>
                <w:color w:val="000000" w:themeColor="text1"/>
                <w:sz w:val="20"/>
                <w:szCs w:val="20"/>
              </w:rPr>
              <w:t>’</w:t>
            </w:r>
            <w:r w:rsidRPr="00646E61">
              <w:rPr>
                <w:color w:val="000000" w:themeColor="text1"/>
                <w:sz w:val="20"/>
                <w:szCs w:val="20"/>
              </w:rPr>
              <w:t xml:space="preserve"> rights. Ratings are described below</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Rating 5+ = No guarantee of rights due to the breakdown of the rule of law</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Rating 5 = No guarantee of rights</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Rating 4 = Systematic violation of rights</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Rating 3 = Regular violation of rights</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Rating 2 = Repeated violations of rights</w:t>
            </w:r>
          </w:p>
          <w:p w:rsidR="006442A1" w:rsidRPr="00646E61" w:rsidRDefault="006442A1" w:rsidP="006442A1">
            <w:pPr>
              <w:pStyle w:val="NormalWeb"/>
              <w:spacing w:before="120" w:beforeAutospacing="0" w:after="120" w:afterAutospacing="0"/>
              <w:jc w:val="both"/>
              <w:rPr>
                <w:color w:val="000000" w:themeColor="text1"/>
                <w:sz w:val="20"/>
                <w:szCs w:val="20"/>
              </w:rPr>
            </w:pPr>
            <w:r w:rsidRPr="00646E61">
              <w:rPr>
                <w:color w:val="000000" w:themeColor="text1"/>
                <w:sz w:val="20"/>
                <w:szCs w:val="20"/>
              </w:rPr>
              <w:t>Rating 1= Not regular violations of rights</w:t>
            </w:r>
          </w:p>
          <w:p w:rsidR="00646E61" w:rsidRPr="00646E61" w:rsidRDefault="00342B66" w:rsidP="006442A1">
            <w:pPr>
              <w:pStyle w:val="NormalWeb"/>
              <w:spacing w:before="120" w:beforeAutospacing="0" w:after="120" w:afterAutospacing="0"/>
              <w:jc w:val="both"/>
              <w:rPr>
                <w:color w:val="000000" w:themeColor="text1"/>
                <w:sz w:val="20"/>
                <w:szCs w:val="20"/>
              </w:rPr>
            </w:pPr>
            <w:hyperlink r:id="rId243" w:history="1">
              <w:r w:rsidR="00646E61" w:rsidRPr="00646E61">
                <w:rPr>
                  <w:rStyle w:val="Hyperlink"/>
                  <w:sz w:val="20"/>
                  <w:szCs w:val="20"/>
                </w:rPr>
                <w:t>http://www.ituc-csi.org/ituc-global-rights-index-2017</w:t>
              </w:r>
            </w:hyperlink>
          </w:p>
        </w:tc>
      </w:tr>
      <w:tr w:rsidR="006442A1" w:rsidTr="00505963">
        <w:tc>
          <w:tcPr>
            <w:tcW w:w="2605" w:type="dxa"/>
          </w:tcPr>
          <w:p w:rsidR="006442A1" w:rsidRPr="000C6CC5" w:rsidRDefault="006442A1" w:rsidP="006442A1">
            <w:pPr>
              <w:pStyle w:val="NormalWeb"/>
              <w:spacing w:before="120" w:beforeAutospacing="0" w:after="120" w:afterAutospacing="0"/>
              <w:jc w:val="both"/>
              <w:rPr>
                <w:b/>
                <w:color w:val="000000" w:themeColor="text1"/>
                <w:sz w:val="20"/>
                <w:szCs w:val="20"/>
              </w:rPr>
            </w:pPr>
            <w:r w:rsidRPr="000C6CC5">
              <w:rPr>
                <w:b/>
                <w:color w:val="000000" w:themeColor="text1"/>
                <w:sz w:val="20"/>
                <w:szCs w:val="20"/>
              </w:rPr>
              <w:t>The Global Competitiveness Index (GCI)</w:t>
            </w:r>
          </w:p>
        </w:tc>
        <w:tc>
          <w:tcPr>
            <w:tcW w:w="6570" w:type="dxa"/>
          </w:tcPr>
          <w:p w:rsidR="006442A1" w:rsidRDefault="006442A1" w:rsidP="006442A1">
            <w:pPr>
              <w:pStyle w:val="NormalWeb"/>
              <w:spacing w:before="120" w:beforeAutospacing="0" w:after="120" w:afterAutospacing="0"/>
              <w:jc w:val="both"/>
              <w:rPr>
                <w:color w:val="000000" w:themeColor="text1"/>
                <w:sz w:val="20"/>
                <w:szCs w:val="20"/>
              </w:rPr>
            </w:pPr>
            <w:r w:rsidRPr="000C6CC5">
              <w:rPr>
                <w:color w:val="000000" w:themeColor="text1"/>
                <w:sz w:val="20"/>
                <w:szCs w:val="20"/>
              </w:rPr>
              <w:t xml:space="preserve">The GCI combines 114 indicators that capture concepts that matter for productivity and long-term prosperity. These indicators are grouped into twelve pillars producing three sub-indexes which are combined with various weights to generate the overall index. The 12 pillars are: institutions, infrastructure, macroeconomic environment, health and primary education, higher education and training, goods market efficiency, </w:t>
            </w:r>
            <w:r w:rsidRPr="000C6CC5">
              <w:rPr>
                <w:color w:val="000000" w:themeColor="text1"/>
                <w:sz w:val="20"/>
                <w:szCs w:val="20"/>
              </w:rPr>
              <w:lastRenderedPageBreak/>
              <w:t>labor market efficiency, financial market development, technological readiness, market size, business sophistication, and innovation. The three sub-indexes are: basic requirements, efficiency enhancers, and innovation and sophistication factors.</w:t>
            </w:r>
          </w:p>
          <w:p w:rsidR="00D04074" w:rsidRPr="00505963" w:rsidRDefault="00D04074" w:rsidP="006442A1">
            <w:pPr>
              <w:pStyle w:val="NormalWeb"/>
              <w:spacing w:before="120" w:beforeAutospacing="0" w:after="120" w:afterAutospacing="0"/>
              <w:jc w:val="both"/>
              <w:rPr>
                <w:color w:val="000000" w:themeColor="text1"/>
                <w:sz w:val="20"/>
                <w:szCs w:val="20"/>
              </w:rPr>
            </w:pPr>
            <w:r w:rsidRPr="00D04074">
              <w:rPr>
                <w:color w:val="000000" w:themeColor="text1"/>
                <w:sz w:val="20"/>
                <w:szCs w:val="20"/>
              </w:rPr>
              <w:t>2017/05FullReport/TheGlobalCompetitivenessReport2016-2017_FINAL.pdf</w:t>
            </w:r>
            <w:r w:rsidR="00646E61">
              <w:rPr>
                <w:color w:val="000000" w:themeColor="text1"/>
                <w:sz w:val="20"/>
                <w:szCs w:val="20"/>
              </w:rPr>
              <w:t xml:space="preserve">   </w:t>
            </w:r>
          </w:p>
        </w:tc>
      </w:tr>
      <w:tr w:rsidR="006442A1" w:rsidTr="00505963">
        <w:tc>
          <w:tcPr>
            <w:tcW w:w="2605" w:type="dxa"/>
          </w:tcPr>
          <w:p w:rsidR="006442A1" w:rsidRPr="008530C3" w:rsidRDefault="006442A1" w:rsidP="006442A1">
            <w:pPr>
              <w:pStyle w:val="NormalWeb"/>
              <w:spacing w:before="120" w:beforeAutospacing="0" w:after="120" w:afterAutospacing="0"/>
              <w:jc w:val="both"/>
              <w:rPr>
                <w:b/>
                <w:color w:val="000000" w:themeColor="text1"/>
                <w:sz w:val="20"/>
                <w:szCs w:val="20"/>
              </w:rPr>
            </w:pPr>
            <w:r w:rsidRPr="008530C3">
              <w:rPr>
                <w:b/>
                <w:color w:val="000000" w:themeColor="text1"/>
                <w:sz w:val="20"/>
                <w:szCs w:val="20"/>
              </w:rPr>
              <w:lastRenderedPageBreak/>
              <w:t>Democracy index</w:t>
            </w:r>
          </w:p>
        </w:tc>
        <w:tc>
          <w:tcPr>
            <w:tcW w:w="6570" w:type="dxa"/>
          </w:tcPr>
          <w:p w:rsidR="006442A1" w:rsidRDefault="006442A1" w:rsidP="006442A1">
            <w:pPr>
              <w:pStyle w:val="NormalWeb"/>
              <w:spacing w:before="120" w:beforeAutospacing="0" w:after="120" w:afterAutospacing="0"/>
              <w:jc w:val="both"/>
              <w:rPr>
                <w:color w:val="000000" w:themeColor="text1"/>
                <w:sz w:val="20"/>
                <w:szCs w:val="20"/>
              </w:rPr>
            </w:pPr>
            <w:r w:rsidRPr="008530C3">
              <w:rPr>
                <w:color w:val="000000" w:themeColor="text1"/>
                <w:sz w:val="20"/>
                <w:szCs w:val="20"/>
              </w:rPr>
              <w:t>The Democracy Index is an index compiled by the UK-based Economist Intelligence Unit that measures the state of democracy in 167 countries. The index is based on 60 indicators grouped in five different categories measuring pluralism, civil liberties, and political culture. In addition to a numeric score and a ranking, the index categorizes countries as one of four regime types: full democracies, flawed democracies, hybrid regimes and authoritarian regimes.</w:t>
            </w:r>
          </w:p>
          <w:p w:rsidR="000F774B" w:rsidRPr="00505963" w:rsidRDefault="000F774B" w:rsidP="006442A1">
            <w:pPr>
              <w:pStyle w:val="NormalWeb"/>
              <w:spacing w:before="120" w:beforeAutospacing="0" w:after="120" w:afterAutospacing="0"/>
              <w:jc w:val="both"/>
              <w:rPr>
                <w:color w:val="000000" w:themeColor="text1"/>
                <w:sz w:val="20"/>
                <w:szCs w:val="20"/>
              </w:rPr>
            </w:pPr>
            <w:r w:rsidRPr="000F774B">
              <w:rPr>
                <w:color w:val="000000" w:themeColor="text1"/>
                <w:sz w:val="20"/>
                <w:szCs w:val="20"/>
              </w:rPr>
              <w:t>https://en.wikipedia.org/wiki/Democracy_Index</w:t>
            </w:r>
          </w:p>
        </w:tc>
      </w:tr>
      <w:tr w:rsidR="006442A1" w:rsidTr="00505963">
        <w:tc>
          <w:tcPr>
            <w:tcW w:w="2605" w:type="dxa"/>
          </w:tcPr>
          <w:p w:rsidR="006442A1" w:rsidRPr="00505963" w:rsidRDefault="006442A1" w:rsidP="006442A1">
            <w:pPr>
              <w:pStyle w:val="NormalWeb"/>
              <w:spacing w:before="120" w:beforeAutospacing="0" w:after="120" w:afterAutospacing="0"/>
              <w:jc w:val="both"/>
              <w:rPr>
                <w:color w:val="000000" w:themeColor="text1"/>
                <w:sz w:val="20"/>
                <w:szCs w:val="20"/>
              </w:rPr>
            </w:pPr>
          </w:p>
        </w:tc>
        <w:tc>
          <w:tcPr>
            <w:tcW w:w="6570" w:type="dxa"/>
          </w:tcPr>
          <w:p w:rsidR="006442A1" w:rsidRPr="00505963" w:rsidRDefault="006442A1" w:rsidP="006442A1">
            <w:pPr>
              <w:pStyle w:val="NormalWeb"/>
              <w:spacing w:before="120" w:beforeAutospacing="0" w:after="120" w:afterAutospacing="0"/>
              <w:jc w:val="both"/>
              <w:rPr>
                <w:color w:val="000000" w:themeColor="text1"/>
                <w:sz w:val="20"/>
                <w:szCs w:val="20"/>
              </w:rPr>
            </w:pPr>
            <w:r w:rsidRPr="008530C3">
              <w:rPr>
                <w:color w:val="000000" w:themeColor="text1"/>
                <w:sz w:val="20"/>
                <w:szCs w:val="20"/>
              </w:rPr>
              <w:t>Scores 0 to 10; 8 ≤ s ≤ 10 is full democracy; 6 ≤ s &lt; 8 is flawed democracy; 4 ≤ s &lt; 6 is hybrid regimes; and 0 ≤</w:t>
            </w:r>
            <w:r>
              <w:rPr>
                <w:color w:val="000000" w:themeColor="text1"/>
                <w:sz w:val="20"/>
                <w:szCs w:val="20"/>
              </w:rPr>
              <w:t xml:space="preserve"> s &lt; 4 is authoritarian regimes</w:t>
            </w:r>
          </w:p>
        </w:tc>
      </w:tr>
      <w:tr w:rsidR="006442A1" w:rsidTr="00505963">
        <w:tc>
          <w:tcPr>
            <w:tcW w:w="2605" w:type="dxa"/>
          </w:tcPr>
          <w:p w:rsidR="006442A1" w:rsidRPr="00505963" w:rsidRDefault="006442A1" w:rsidP="006442A1">
            <w:pPr>
              <w:pStyle w:val="NormalWeb"/>
              <w:spacing w:before="120" w:beforeAutospacing="0" w:after="120" w:afterAutospacing="0"/>
              <w:jc w:val="both"/>
              <w:rPr>
                <w:color w:val="000000" w:themeColor="text1"/>
                <w:sz w:val="20"/>
                <w:szCs w:val="20"/>
              </w:rPr>
            </w:pPr>
          </w:p>
        </w:tc>
        <w:tc>
          <w:tcPr>
            <w:tcW w:w="6570" w:type="dxa"/>
          </w:tcPr>
          <w:p w:rsidR="006442A1" w:rsidRPr="00505963" w:rsidRDefault="006442A1" w:rsidP="006442A1">
            <w:pPr>
              <w:pStyle w:val="NormalWeb"/>
              <w:spacing w:before="120" w:beforeAutospacing="0" w:after="120" w:afterAutospacing="0"/>
              <w:jc w:val="both"/>
              <w:rPr>
                <w:color w:val="000000" w:themeColor="text1"/>
                <w:sz w:val="20"/>
                <w:szCs w:val="20"/>
              </w:rPr>
            </w:pPr>
            <w:r w:rsidRPr="008530C3">
              <w:rPr>
                <w:color w:val="000000" w:themeColor="text1"/>
                <w:sz w:val="20"/>
                <w:szCs w:val="20"/>
              </w:rPr>
              <w:t>Full democracies are nations where civil liberties and basic political freedoms are not only respected, but also reinforced by a political culture conducive to the thriving of democratic principles. These nations have a valid system of governmental checks and balances, independent judiciary whose decisions are enforced, governments which function adequately, and media which is diverse and independent. These nations have only limited problems in democratic functioning.</w:t>
            </w:r>
          </w:p>
        </w:tc>
      </w:tr>
      <w:tr w:rsidR="006442A1" w:rsidTr="00505963">
        <w:tc>
          <w:tcPr>
            <w:tcW w:w="2605" w:type="dxa"/>
          </w:tcPr>
          <w:p w:rsidR="006442A1" w:rsidRPr="00505963" w:rsidRDefault="006442A1" w:rsidP="006442A1">
            <w:pPr>
              <w:pStyle w:val="NormalWeb"/>
              <w:spacing w:before="120" w:beforeAutospacing="0" w:after="120" w:afterAutospacing="0"/>
              <w:jc w:val="both"/>
              <w:rPr>
                <w:color w:val="000000" w:themeColor="text1"/>
                <w:sz w:val="20"/>
                <w:szCs w:val="20"/>
              </w:rPr>
            </w:pPr>
          </w:p>
        </w:tc>
        <w:tc>
          <w:tcPr>
            <w:tcW w:w="6570" w:type="dxa"/>
          </w:tcPr>
          <w:p w:rsidR="006442A1" w:rsidRPr="00505963" w:rsidRDefault="006442A1" w:rsidP="006442A1">
            <w:pPr>
              <w:pStyle w:val="NormalWeb"/>
              <w:spacing w:before="120" w:beforeAutospacing="0" w:after="120" w:afterAutospacing="0"/>
              <w:jc w:val="both"/>
              <w:rPr>
                <w:color w:val="000000" w:themeColor="text1"/>
                <w:sz w:val="20"/>
                <w:szCs w:val="20"/>
              </w:rPr>
            </w:pPr>
            <w:r w:rsidRPr="008530C3">
              <w:rPr>
                <w:color w:val="000000" w:themeColor="text1"/>
                <w:sz w:val="20"/>
                <w:szCs w:val="20"/>
              </w:rPr>
              <w:t>Flawed democracies are nations where elections are fair and free and basic civil liberties are honored but may have issues (e.g. media freedom infringement). Nonetheless, these nations have significant faults in other democratic aspects, including underdeveloped political culture, low levels of participation in politics, and issues in the functioning of governance.</w:t>
            </w:r>
          </w:p>
        </w:tc>
      </w:tr>
      <w:tr w:rsidR="006442A1" w:rsidTr="00505963">
        <w:tc>
          <w:tcPr>
            <w:tcW w:w="2605" w:type="dxa"/>
          </w:tcPr>
          <w:p w:rsidR="006442A1" w:rsidRPr="00505963" w:rsidRDefault="006442A1" w:rsidP="006442A1">
            <w:pPr>
              <w:pStyle w:val="NormalWeb"/>
              <w:spacing w:before="120" w:beforeAutospacing="0" w:after="120" w:afterAutospacing="0"/>
              <w:jc w:val="both"/>
              <w:rPr>
                <w:color w:val="000000" w:themeColor="text1"/>
                <w:sz w:val="20"/>
                <w:szCs w:val="20"/>
              </w:rPr>
            </w:pPr>
          </w:p>
        </w:tc>
        <w:tc>
          <w:tcPr>
            <w:tcW w:w="6570" w:type="dxa"/>
          </w:tcPr>
          <w:p w:rsidR="006442A1" w:rsidRPr="00505963" w:rsidRDefault="006442A1" w:rsidP="006442A1">
            <w:pPr>
              <w:pStyle w:val="NormalWeb"/>
              <w:spacing w:before="120" w:beforeAutospacing="0" w:after="120" w:afterAutospacing="0"/>
              <w:jc w:val="both"/>
              <w:rPr>
                <w:color w:val="000000" w:themeColor="text1"/>
                <w:sz w:val="20"/>
                <w:szCs w:val="20"/>
              </w:rPr>
            </w:pPr>
            <w:r w:rsidRPr="008530C3">
              <w:rPr>
                <w:color w:val="000000" w:themeColor="text1"/>
                <w:sz w:val="20"/>
                <w:szCs w:val="20"/>
              </w:rPr>
              <w:t xml:space="preserve">Hybrid regimes are nations where consequential irregularities exist in elections regularly preventing them from being fair and free. These nations commonly have governments which apply pressure on political opponents, </w:t>
            </w:r>
            <w:proofErr w:type="spellStart"/>
            <w:r w:rsidRPr="008530C3">
              <w:rPr>
                <w:color w:val="000000" w:themeColor="text1"/>
                <w:sz w:val="20"/>
                <w:szCs w:val="20"/>
              </w:rPr>
              <w:t>non independent</w:t>
            </w:r>
            <w:proofErr w:type="spellEnd"/>
            <w:r w:rsidRPr="008530C3">
              <w:rPr>
                <w:color w:val="000000" w:themeColor="text1"/>
                <w:sz w:val="20"/>
                <w:szCs w:val="20"/>
              </w:rPr>
              <w:t xml:space="preserve"> judiciaries, widespread corruption, harassment and pressure placed on the media, anemic rule of law, and more pronounced faults than flawed democracies in the realms of underdeveloped political culture, low levels of participation in politics, and issues in the functioning of governance.</w:t>
            </w:r>
          </w:p>
        </w:tc>
      </w:tr>
      <w:tr w:rsidR="006442A1" w:rsidTr="00505963">
        <w:tc>
          <w:tcPr>
            <w:tcW w:w="2605" w:type="dxa"/>
          </w:tcPr>
          <w:p w:rsidR="006442A1" w:rsidRPr="00505963" w:rsidRDefault="006442A1" w:rsidP="006442A1">
            <w:pPr>
              <w:pStyle w:val="NormalWeb"/>
              <w:spacing w:before="120" w:beforeAutospacing="0" w:after="120" w:afterAutospacing="0"/>
              <w:jc w:val="both"/>
              <w:rPr>
                <w:color w:val="000000" w:themeColor="text1"/>
                <w:sz w:val="20"/>
                <w:szCs w:val="20"/>
              </w:rPr>
            </w:pPr>
          </w:p>
        </w:tc>
        <w:tc>
          <w:tcPr>
            <w:tcW w:w="6570" w:type="dxa"/>
          </w:tcPr>
          <w:p w:rsidR="006442A1" w:rsidRPr="00505963" w:rsidRDefault="006442A1" w:rsidP="006442A1">
            <w:pPr>
              <w:pStyle w:val="NormalWeb"/>
              <w:spacing w:before="120" w:beforeAutospacing="0" w:after="120" w:afterAutospacing="0"/>
              <w:jc w:val="both"/>
              <w:rPr>
                <w:color w:val="000000" w:themeColor="text1"/>
                <w:sz w:val="20"/>
                <w:szCs w:val="20"/>
              </w:rPr>
            </w:pPr>
            <w:r w:rsidRPr="008530C3">
              <w:rPr>
                <w:color w:val="000000" w:themeColor="text1"/>
                <w:sz w:val="20"/>
                <w:szCs w:val="20"/>
              </w:rPr>
              <w:t xml:space="preserve">Authoritarian regimes are nations where political pluralism has vanished or is extremely limited. These nations are often absolute dictatorships, may have some conventional institutions of democracy- but with meager significance, infringements and abuses of civil liberties are commonplace, elections- if they take place- are not fair and free, the media is often state-owned or controlled by groups associated with the ruling regime, the </w:t>
            </w:r>
            <w:r w:rsidRPr="008530C3">
              <w:rPr>
                <w:color w:val="000000" w:themeColor="text1"/>
                <w:sz w:val="20"/>
                <w:szCs w:val="20"/>
              </w:rPr>
              <w:lastRenderedPageBreak/>
              <w:t>judiciary is not independent, and the presence of omnipresent censorship and suppression of governmental criticism.</w:t>
            </w:r>
          </w:p>
        </w:tc>
      </w:tr>
      <w:tr w:rsidR="006442A1" w:rsidTr="00505963">
        <w:tc>
          <w:tcPr>
            <w:tcW w:w="2605" w:type="dxa"/>
          </w:tcPr>
          <w:p w:rsidR="006442A1" w:rsidRPr="008530C3" w:rsidRDefault="006442A1" w:rsidP="006442A1">
            <w:pPr>
              <w:pStyle w:val="NormalWeb"/>
              <w:spacing w:before="120" w:beforeAutospacing="0" w:after="120" w:afterAutospacing="0"/>
              <w:jc w:val="both"/>
              <w:rPr>
                <w:b/>
                <w:color w:val="000000" w:themeColor="text1"/>
                <w:sz w:val="20"/>
                <w:szCs w:val="20"/>
              </w:rPr>
            </w:pPr>
            <w:r w:rsidRPr="008530C3">
              <w:rPr>
                <w:b/>
                <w:color w:val="000000" w:themeColor="text1"/>
                <w:sz w:val="20"/>
                <w:szCs w:val="20"/>
              </w:rPr>
              <w:lastRenderedPageBreak/>
              <w:t>The Global Peace Index</w:t>
            </w:r>
          </w:p>
        </w:tc>
        <w:tc>
          <w:tcPr>
            <w:tcW w:w="6570" w:type="dxa"/>
          </w:tcPr>
          <w:p w:rsidR="006442A1" w:rsidRPr="00D04074" w:rsidRDefault="006442A1" w:rsidP="006442A1">
            <w:pPr>
              <w:pStyle w:val="NormalWeb"/>
              <w:spacing w:before="120" w:beforeAutospacing="0" w:after="120" w:afterAutospacing="0"/>
              <w:jc w:val="both"/>
              <w:rPr>
                <w:color w:val="000000" w:themeColor="text1"/>
                <w:sz w:val="20"/>
                <w:szCs w:val="20"/>
              </w:rPr>
            </w:pPr>
            <w:r w:rsidRPr="008530C3">
              <w:rPr>
                <w:color w:val="000000" w:themeColor="text1"/>
                <w:sz w:val="20"/>
                <w:szCs w:val="20"/>
              </w:rPr>
              <w:t xml:space="preserve">The Global Peace Index (GPI) of the Institute of Economics and Peace is an </w:t>
            </w:r>
            <w:r w:rsidRPr="00D04074">
              <w:rPr>
                <w:color w:val="000000" w:themeColor="text1"/>
                <w:sz w:val="20"/>
                <w:szCs w:val="20"/>
              </w:rPr>
              <w:t>attempt to measure the relative position of nations' and regions' peacefulness. The index gauges global peace using three broad themes: the level of safety and security in society, the extent of domestic and international conflict and the degree of militarization. Factors are both internal such as levels of violence and crime within the country and external such as military expenditure. The 2017 GPI indicates Iceland, New Zealand, Portugal, Austria, and Denmark to be the most peaceful countries and Syria, Afghanistan, Iraq, South Sudan, and Yemen to be the least peaceful.</w:t>
            </w:r>
          </w:p>
          <w:p w:rsidR="00D04074" w:rsidRDefault="00342B66" w:rsidP="006442A1">
            <w:pPr>
              <w:pStyle w:val="NormalWeb"/>
              <w:spacing w:before="120" w:beforeAutospacing="0" w:after="120" w:afterAutospacing="0"/>
              <w:jc w:val="both"/>
              <w:rPr>
                <w:b/>
                <w:color w:val="000000" w:themeColor="text1"/>
                <w:sz w:val="20"/>
                <w:szCs w:val="20"/>
              </w:rPr>
            </w:pPr>
            <w:hyperlink r:id="rId244" w:history="1">
              <w:r w:rsidR="00D04074" w:rsidRPr="00D04074">
                <w:rPr>
                  <w:rStyle w:val="Hyperlink"/>
                  <w:sz w:val="20"/>
                  <w:szCs w:val="20"/>
                </w:rPr>
                <w:t>https://en.wikipedia.org/wiki/Global_Peace_Index</w:t>
              </w:r>
            </w:hyperlink>
          </w:p>
          <w:p w:rsidR="005A64A6" w:rsidRPr="00505963" w:rsidRDefault="00342B66" w:rsidP="006442A1">
            <w:pPr>
              <w:pStyle w:val="NormalWeb"/>
              <w:spacing w:before="120" w:beforeAutospacing="0" w:after="120" w:afterAutospacing="0"/>
              <w:jc w:val="both"/>
              <w:rPr>
                <w:color w:val="000000" w:themeColor="text1"/>
                <w:sz w:val="20"/>
                <w:szCs w:val="20"/>
              </w:rPr>
            </w:pPr>
            <w:hyperlink r:id="rId245" w:history="1">
              <w:r w:rsidR="005A64A6" w:rsidRPr="007F1D49">
                <w:rPr>
                  <w:rStyle w:val="Hyperlink"/>
                  <w:color w:val="000000" w:themeColor="text1"/>
                  <w:sz w:val="18"/>
                  <w:szCs w:val="18"/>
                </w:rPr>
                <w:t>http://visionofhumanity.org/app/uploads/2017/06/GPI-2017-Report-1.pdf</w:t>
              </w:r>
            </w:hyperlink>
            <w:r w:rsidR="005A64A6">
              <w:rPr>
                <w:rStyle w:val="Hyperlink"/>
                <w:color w:val="000000" w:themeColor="text1"/>
                <w:sz w:val="18"/>
                <w:szCs w:val="18"/>
              </w:rPr>
              <w:t xml:space="preserve"> </w:t>
            </w:r>
          </w:p>
        </w:tc>
      </w:tr>
      <w:tr w:rsidR="006442A1" w:rsidTr="00505963">
        <w:tc>
          <w:tcPr>
            <w:tcW w:w="2605" w:type="dxa"/>
          </w:tcPr>
          <w:p w:rsidR="006442A1" w:rsidRPr="008530C3" w:rsidRDefault="006442A1" w:rsidP="006442A1">
            <w:pPr>
              <w:pStyle w:val="NormalWeb"/>
              <w:spacing w:before="120" w:beforeAutospacing="0" w:after="120" w:afterAutospacing="0"/>
              <w:jc w:val="both"/>
              <w:rPr>
                <w:b/>
                <w:color w:val="000000" w:themeColor="text1"/>
                <w:sz w:val="20"/>
                <w:szCs w:val="20"/>
              </w:rPr>
            </w:pPr>
            <w:r w:rsidRPr="008530C3">
              <w:rPr>
                <w:b/>
                <w:color w:val="000000" w:themeColor="text1"/>
                <w:sz w:val="20"/>
                <w:szCs w:val="20"/>
              </w:rPr>
              <w:t>Ease of doing business</w:t>
            </w:r>
          </w:p>
        </w:tc>
        <w:tc>
          <w:tcPr>
            <w:tcW w:w="6570" w:type="dxa"/>
          </w:tcPr>
          <w:p w:rsidR="006442A1" w:rsidRPr="00B41C4D" w:rsidRDefault="006442A1" w:rsidP="006442A1">
            <w:pPr>
              <w:pStyle w:val="NormalWeb"/>
              <w:spacing w:before="120" w:beforeAutospacing="0" w:after="120" w:afterAutospacing="0"/>
              <w:jc w:val="both"/>
              <w:rPr>
                <w:color w:val="000000" w:themeColor="text1"/>
                <w:sz w:val="20"/>
                <w:szCs w:val="20"/>
              </w:rPr>
            </w:pPr>
            <w:r w:rsidRPr="00B41C4D">
              <w:rPr>
                <w:color w:val="000000" w:themeColor="text1"/>
                <w:sz w:val="20"/>
                <w:szCs w:val="20"/>
              </w:rPr>
              <w:t>Economies are ranked on their ease of doing business, from 1</w:t>
            </w:r>
            <w:r w:rsidRPr="00B41C4D">
              <w:rPr>
                <w:rFonts w:hint="eastAsia"/>
                <w:color w:val="000000" w:themeColor="text1"/>
                <w:sz w:val="20"/>
                <w:szCs w:val="20"/>
              </w:rPr>
              <w:t>–</w:t>
            </w:r>
            <w:r w:rsidRPr="00B41C4D">
              <w:rPr>
                <w:color w:val="000000" w:themeColor="text1"/>
                <w:sz w:val="20"/>
                <w:szCs w:val="20"/>
              </w:rPr>
              <w:t>190. A high ease of doing business ranking means the regulatory environment is more conducive to the starting and operation of a local firm. The rankings are determined by sorting the aggregate distance to frontier scores on 10 topics, each consisting of several indicators, giving equal weight to each topic. The rankings for all economies are benchmarked to June 2016. Read the methodology, explaining how the ease of doing business rankings and the distance to frontier measure are calculated (PDF).</w:t>
            </w:r>
          </w:p>
          <w:p w:rsidR="001B5D1B" w:rsidRPr="00B41C4D" w:rsidRDefault="001B5D1B" w:rsidP="006442A1">
            <w:pPr>
              <w:pStyle w:val="NormalWeb"/>
              <w:spacing w:before="120" w:beforeAutospacing="0" w:after="120" w:afterAutospacing="0"/>
              <w:jc w:val="both"/>
              <w:rPr>
                <w:color w:val="000000" w:themeColor="text1"/>
                <w:sz w:val="20"/>
                <w:szCs w:val="20"/>
              </w:rPr>
            </w:pPr>
            <w:r w:rsidRPr="00B41C4D">
              <w:rPr>
                <w:color w:val="000000" w:themeColor="text1"/>
                <w:sz w:val="20"/>
                <w:szCs w:val="20"/>
              </w:rPr>
              <w:t xml:space="preserve"> </w:t>
            </w:r>
            <w:r w:rsidR="00B41C4D" w:rsidRPr="00B41C4D">
              <w:rPr>
                <w:rStyle w:val="Hyperlink"/>
                <w:color w:val="000000" w:themeColor="text1"/>
                <w:sz w:val="20"/>
                <w:szCs w:val="20"/>
              </w:rPr>
              <w:t>World Bank. 2017. Doing Business 2017: Equal Opportunity for All.  Washington, DC: World Bank. DOI: 10.1596/978-1-4648-0948-4. License: Creative Commons Attribution CC BY 3.0 IGO.</w:t>
            </w:r>
            <w:r w:rsidR="00B41C4D" w:rsidRPr="00B41C4D">
              <w:rPr>
                <w:rStyle w:val="Hyperlink"/>
                <w:color w:val="000000" w:themeColor="text1"/>
                <w:sz w:val="20"/>
                <w:szCs w:val="20"/>
                <w:u w:val="none"/>
              </w:rPr>
              <w:t xml:space="preserve"> </w:t>
            </w:r>
            <w:r w:rsidR="00B41C4D" w:rsidRPr="00B41C4D">
              <w:rPr>
                <w:color w:val="000000" w:themeColor="text1"/>
                <w:sz w:val="20"/>
                <w:szCs w:val="20"/>
              </w:rPr>
              <w:t>http://creativecommons.org/licenses/by/3.0/igo</w:t>
            </w:r>
          </w:p>
        </w:tc>
      </w:tr>
      <w:tr w:rsidR="00671F65" w:rsidTr="00505963">
        <w:tc>
          <w:tcPr>
            <w:tcW w:w="2605" w:type="dxa"/>
          </w:tcPr>
          <w:p w:rsidR="00671F65" w:rsidRPr="008530C3" w:rsidRDefault="00671F65" w:rsidP="006442A1">
            <w:pPr>
              <w:pStyle w:val="NormalWeb"/>
              <w:spacing w:before="120" w:beforeAutospacing="0" w:after="120" w:afterAutospacing="0"/>
              <w:jc w:val="both"/>
              <w:rPr>
                <w:color w:val="000000" w:themeColor="text1"/>
                <w:sz w:val="20"/>
                <w:szCs w:val="20"/>
              </w:rPr>
            </w:pPr>
            <w:r>
              <w:rPr>
                <w:b/>
              </w:rPr>
              <w:t>Freedom in the world</w:t>
            </w:r>
          </w:p>
        </w:tc>
        <w:tc>
          <w:tcPr>
            <w:tcW w:w="6570" w:type="dxa"/>
          </w:tcPr>
          <w:p w:rsidR="00671F65" w:rsidRPr="00B41C4D" w:rsidRDefault="00671F65" w:rsidP="006442A1">
            <w:pPr>
              <w:pStyle w:val="NormalWeb"/>
              <w:spacing w:before="120" w:beforeAutospacing="0" w:after="120" w:afterAutospacing="0"/>
              <w:jc w:val="both"/>
              <w:rPr>
                <w:color w:val="000000" w:themeColor="text1"/>
                <w:sz w:val="20"/>
                <w:szCs w:val="20"/>
              </w:rPr>
            </w:pPr>
            <w:r>
              <w:rPr>
                <w:i/>
              </w:rPr>
              <w:t>Freedom in the World 2017</w:t>
            </w:r>
            <w:r>
              <w:t xml:space="preserve"> evaluates the state of freedom in 195 countries and 14 territories during calendar year 2016. Each country and territory is assigned between 0 and 4 points on a series of 25 indicators, for an aggregate score of up to 100. These scores are used to determine two numerical ratings, political rights and civil liberties, with a rating of 1 representing the most free conditions and 7 least free. A country or territory’s political rights and civil liberties ratings then determine whether it has an overall status of Free, Partly Free or not Free.</w:t>
            </w:r>
            <w:r w:rsidR="002C79BD">
              <w:t xml:space="preserve"> </w:t>
            </w:r>
            <w:r w:rsidR="002C79BD" w:rsidRPr="002C79BD">
              <w:t>A larger aggregate score indicates a greater level of freedom</w:t>
            </w:r>
          </w:p>
        </w:tc>
      </w:tr>
    </w:tbl>
    <w:p w:rsidR="00505963" w:rsidRDefault="00505963" w:rsidP="002B17C3">
      <w:pPr>
        <w:pStyle w:val="NormalWeb"/>
        <w:shd w:val="clear" w:color="auto" w:fill="FFFFFF"/>
        <w:spacing w:before="120" w:beforeAutospacing="0" w:after="120" w:afterAutospacing="0"/>
        <w:jc w:val="both"/>
        <w:rPr>
          <w:color w:val="000000" w:themeColor="text1"/>
        </w:rPr>
      </w:pPr>
    </w:p>
    <w:p w:rsidR="00BF35C5" w:rsidRPr="00BF35C5" w:rsidRDefault="00BF35C5" w:rsidP="00BF35C5"/>
    <w:p w:rsidR="00475094" w:rsidRDefault="00BF35C5" w:rsidP="00BF35C5">
      <w:pPr>
        <w:tabs>
          <w:tab w:val="left" w:pos="6564"/>
        </w:tabs>
      </w:pPr>
      <w:r>
        <w:tab/>
      </w:r>
    </w:p>
    <w:sectPr w:rsidR="00475094" w:rsidSect="00DE7A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B66" w:rsidRDefault="00342B66" w:rsidP="004C2575">
      <w:pPr>
        <w:spacing w:after="0"/>
      </w:pPr>
      <w:r>
        <w:separator/>
      </w:r>
    </w:p>
  </w:endnote>
  <w:endnote w:type="continuationSeparator" w:id="0">
    <w:p w:rsidR="00342B66" w:rsidRDefault="00342B66" w:rsidP="004C25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593089"/>
      <w:docPartObj>
        <w:docPartGallery w:val="Page Numbers (Bottom of Page)"/>
        <w:docPartUnique/>
      </w:docPartObj>
    </w:sdtPr>
    <w:sdtEndPr>
      <w:rPr>
        <w:noProof/>
      </w:rPr>
    </w:sdtEndPr>
    <w:sdtContent>
      <w:p w:rsidR="00205900" w:rsidRDefault="00205900">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900" w:rsidRDefault="00205900">
    <w:pPr>
      <w:pStyle w:val="Footer"/>
      <w:jc w:val="center"/>
    </w:pPr>
  </w:p>
  <w:p w:rsidR="00205900" w:rsidRPr="002A46E0" w:rsidRDefault="00205900" w:rsidP="002A46E0">
    <w:pPr>
      <w:pStyle w:val="Footer"/>
      <w:jc w:val="center"/>
      <w:rPr>
        <w:rFonts w:ascii="Arial" w:hAnsi="Arial" w:cs="Arial"/>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228051"/>
      <w:docPartObj>
        <w:docPartGallery w:val="Page Numbers (Bottom of Page)"/>
        <w:docPartUnique/>
      </w:docPartObj>
    </w:sdtPr>
    <w:sdtEndPr>
      <w:rPr>
        <w:noProof/>
      </w:rPr>
    </w:sdtEndPr>
    <w:sdtContent>
      <w:p w:rsidR="00205900" w:rsidRDefault="00205900">
        <w:pPr>
          <w:pStyle w:val="Footer"/>
          <w:jc w:val="center"/>
        </w:pPr>
        <w:r>
          <w:fldChar w:fldCharType="begin"/>
        </w:r>
        <w:r>
          <w:instrText xml:space="preserve"> PAGE   \* MERGEFORMAT </w:instrText>
        </w:r>
        <w:r>
          <w:fldChar w:fldCharType="separate"/>
        </w:r>
        <w:r w:rsidR="00AF62CC">
          <w:rPr>
            <w:noProof/>
          </w:rPr>
          <w:t>iv</w:t>
        </w:r>
        <w:r>
          <w:rPr>
            <w:noProof/>
          </w:rPr>
          <w:fldChar w:fldCharType="end"/>
        </w:r>
      </w:p>
    </w:sdtContent>
  </w:sdt>
  <w:p w:rsidR="00205900" w:rsidRDefault="0020590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280291"/>
      <w:docPartObj>
        <w:docPartGallery w:val="Page Numbers (Bottom of Page)"/>
        <w:docPartUnique/>
      </w:docPartObj>
    </w:sdtPr>
    <w:sdtEndPr>
      <w:rPr>
        <w:noProof/>
      </w:rPr>
    </w:sdtEndPr>
    <w:sdtContent>
      <w:p w:rsidR="00205900" w:rsidRPr="00AA22B3" w:rsidRDefault="00205900">
        <w:pPr>
          <w:pStyle w:val="Footer"/>
          <w:jc w:val="center"/>
        </w:pPr>
        <w:r w:rsidRPr="00AA22B3">
          <w:rPr>
            <w:color w:val="000000" w:themeColor="text1"/>
          </w:rPr>
          <w:fldChar w:fldCharType="begin"/>
        </w:r>
        <w:r w:rsidRPr="00AA22B3">
          <w:rPr>
            <w:color w:val="000000" w:themeColor="text1"/>
          </w:rPr>
          <w:instrText xml:space="preserve"> PAGE   \* MERGEFORMAT </w:instrText>
        </w:r>
        <w:r w:rsidRPr="00AA22B3">
          <w:rPr>
            <w:color w:val="000000" w:themeColor="text1"/>
          </w:rPr>
          <w:fldChar w:fldCharType="separate"/>
        </w:r>
        <w:r w:rsidR="002D1849">
          <w:rPr>
            <w:noProof/>
            <w:color w:val="000000" w:themeColor="text1"/>
          </w:rPr>
          <w:t>204</w:t>
        </w:r>
        <w:r w:rsidRPr="00AA22B3">
          <w:rPr>
            <w:noProof/>
            <w:color w:val="000000" w:themeColor="text1"/>
          </w:rPr>
          <w:fldChar w:fldCharType="end"/>
        </w:r>
      </w:p>
    </w:sdtContent>
  </w:sdt>
  <w:p w:rsidR="00205900" w:rsidRDefault="00205900" w:rsidP="008B78D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5B8" w:rsidRDefault="00EC75B8">
    <w:pPr>
      <w:pStyle w:val="Footer"/>
      <w:jc w:val="center"/>
    </w:pPr>
  </w:p>
  <w:p w:rsidR="00205900" w:rsidRPr="002A46E0" w:rsidRDefault="00205900" w:rsidP="002A46E0">
    <w:pPr>
      <w:pStyle w:val="Footer"/>
      <w:jc w:val="center"/>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B66" w:rsidRDefault="00342B66" w:rsidP="004C2575">
      <w:pPr>
        <w:spacing w:after="0"/>
      </w:pPr>
      <w:r>
        <w:separator/>
      </w:r>
    </w:p>
  </w:footnote>
  <w:footnote w:type="continuationSeparator" w:id="0">
    <w:p w:rsidR="00342B66" w:rsidRDefault="00342B66" w:rsidP="004C2575">
      <w:pPr>
        <w:spacing w:after="0"/>
      </w:pPr>
      <w:r>
        <w:continuationSeparator/>
      </w:r>
    </w:p>
  </w:footnote>
  <w:footnote w:id="1">
    <w:p w:rsidR="00205900" w:rsidRPr="005D43DC" w:rsidRDefault="00205900" w:rsidP="00F179C3">
      <w:pPr>
        <w:pStyle w:val="FootnoteText"/>
        <w:spacing w:before="0"/>
        <w:rPr>
          <w:b/>
          <w:sz w:val="18"/>
          <w:szCs w:val="18"/>
        </w:rPr>
      </w:pPr>
      <w:r w:rsidRPr="005D43DC">
        <w:rPr>
          <w:rStyle w:val="FootnoteReference"/>
          <w:sz w:val="18"/>
          <w:szCs w:val="18"/>
        </w:rPr>
        <w:footnoteRef/>
      </w:r>
      <w:r w:rsidRPr="005D43DC">
        <w:rPr>
          <w:sz w:val="18"/>
          <w:szCs w:val="18"/>
        </w:rPr>
        <w:t xml:space="preserve"> </w:t>
      </w:r>
      <w:hyperlink r:id="rId1" w:history="1">
        <w:r w:rsidRPr="005D43DC">
          <w:rPr>
            <w:rStyle w:val="Hyperlink"/>
            <w:sz w:val="18"/>
            <w:szCs w:val="18"/>
          </w:rPr>
          <w:t>http://bdnews24.com/economy/2015/01/23/bangladesh-poverty-rate-has-dropped-to-24.7-says-government-minister</w:t>
        </w:r>
      </w:hyperlink>
      <w:r w:rsidRPr="005D43DC">
        <w:rPr>
          <w:sz w:val="18"/>
          <w:szCs w:val="18"/>
        </w:rPr>
        <w:t xml:space="preserve"> </w:t>
      </w:r>
    </w:p>
  </w:footnote>
  <w:footnote w:id="2">
    <w:p w:rsidR="00205900" w:rsidRPr="005D43DC" w:rsidRDefault="00205900" w:rsidP="009A32C3">
      <w:pPr>
        <w:pStyle w:val="FootnoteText"/>
        <w:spacing w:before="0"/>
        <w:rPr>
          <w:sz w:val="18"/>
          <w:szCs w:val="18"/>
        </w:rPr>
      </w:pPr>
      <w:r w:rsidRPr="005D43DC">
        <w:rPr>
          <w:rStyle w:val="FootnoteReference"/>
          <w:sz w:val="18"/>
          <w:szCs w:val="18"/>
        </w:rPr>
        <w:footnoteRef/>
      </w:r>
      <w:r w:rsidRPr="005D43DC">
        <w:rPr>
          <w:sz w:val="18"/>
          <w:szCs w:val="18"/>
        </w:rPr>
        <w:t xml:space="preserve"> </w:t>
      </w:r>
      <w:r w:rsidRPr="005D43DC">
        <w:rPr>
          <w:rFonts w:eastAsia="Times New Roman"/>
          <w:color w:val="000000"/>
          <w:sz w:val="18"/>
          <w:szCs w:val="18"/>
        </w:rPr>
        <w:t xml:space="preserve">Wikipedia. </w:t>
      </w:r>
      <w:hyperlink r:id="rId2" w:history="1">
        <w:r w:rsidRPr="005D43DC">
          <w:rPr>
            <w:rStyle w:val="Hyperlink"/>
            <w:rFonts w:eastAsia="Times New Roman"/>
            <w:sz w:val="18"/>
            <w:szCs w:val="18"/>
          </w:rPr>
          <w:t>https://en.wikipedia.org/wiki/Democracy_Index</w:t>
        </w:r>
      </w:hyperlink>
    </w:p>
  </w:footnote>
  <w:footnote w:id="3">
    <w:p w:rsidR="00205900" w:rsidRPr="003762E0" w:rsidRDefault="00205900" w:rsidP="00094C7B">
      <w:pPr>
        <w:pStyle w:val="FootnoteText"/>
        <w:spacing w:before="0" w:line="276" w:lineRule="auto"/>
        <w:rPr>
          <w:sz w:val="18"/>
          <w:szCs w:val="18"/>
        </w:rPr>
      </w:pPr>
      <w:r w:rsidRPr="003762E0">
        <w:rPr>
          <w:rStyle w:val="FootnoteReference"/>
          <w:sz w:val="18"/>
          <w:szCs w:val="18"/>
        </w:rPr>
        <w:footnoteRef/>
      </w:r>
      <w:r w:rsidRPr="003762E0">
        <w:rPr>
          <w:sz w:val="18"/>
          <w:szCs w:val="18"/>
        </w:rPr>
        <w:t xml:space="preserve"> </w:t>
      </w:r>
      <w:r w:rsidRPr="003762E0">
        <w:rPr>
          <w:rFonts w:eastAsia="Times New Roman"/>
          <w:color w:val="000000"/>
          <w:sz w:val="18"/>
          <w:szCs w:val="18"/>
        </w:rPr>
        <w:t xml:space="preserve">World Bank database, </w:t>
      </w:r>
      <w:hyperlink r:id="rId3" w:history="1">
        <w:r w:rsidRPr="003762E0">
          <w:rPr>
            <w:rStyle w:val="Hyperlink"/>
            <w:rFonts w:eastAsia="Times New Roman"/>
            <w:sz w:val="18"/>
            <w:szCs w:val="18"/>
          </w:rPr>
          <w:t>http://databank.worldbank.org/data/reports.aspx?source=Worldwide-Governance-Indicators</w:t>
        </w:r>
      </w:hyperlink>
    </w:p>
  </w:footnote>
  <w:footnote w:id="4">
    <w:p w:rsidR="00205900" w:rsidRPr="00CA3184" w:rsidRDefault="00205900" w:rsidP="00C8395C">
      <w:pPr>
        <w:pStyle w:val="FootnoteText"/>
        <w:rPr>
          <w:sz w:val="18"/>
          <w:szCs w:val="18"/>
        </w:rPr>
      </w:pPr>
      <w:r w:rsidRPr="00CA3184">
        <w:rPr>
          <w:rStyle w:val="FootnoteReference"/>
          <w:sz w:val="18"/>
          <w:szCs w:val="18"/>
        </w:rPr>
        <w:footnoteRef/>
      </w:r>
      <w:r w:rsidRPr="00CA3184">
        <w:rPr>
          <w:sz w:val="18"/>
          <w:szCs w:val="18"/>
        </w:rPr>
        <w:t xml:space="preserve"> </w:t>
      </w:r>
      <w:r w:rsidRPr="00CA3184">
        <w:rPr>
          <w:bCs/>
          <w:iCs/>
          <w:sz w:val="18"/>
          <w:szCs w:val="18"/>
          <w:lang w:val="en-GB"/>
        </w:rPr>
        <w:t>Rahman, Atiur. 2014. Financial Inclusion and Sustainable Development, the Bangladesh Case. Asian Development Bank, 2014.</w:t>
      </w:r>
    </w:p>
  </w:footnote>
  <w:footnote w:id="5">
    <w:p w:rsidR="00205900" w:rsidRPr="00097C8D" w:rsidRDefault="00205900">
      <w:pPr>
        <w:pStyle w:val="FootnoteText"/>
        <w:rPr>
          <w:sz w:val="18"/>
          <w:szCs w:val="18"/>
        </w:rPr>
      </w:pPr>
      <w:r w:rsidRPr="00097C8D">
        <w:rPr>
          <w:rStyle w:val="FootnoteReference"/>
          <w:sz w:val="18"/>
          <w:szCs w:val="18"/>
        </w:rPr>
        <w:footnoteRef/>
      </w:r>
      <w:r w:rsidRPr="00097C8D">
        <w:rPr>
          <w:sz w:val="18"/>
          <w:szCs w:val="18"/>
        </w:rPr>
        <w:t xml:space="preserve"> </w:t>
      </w:r>
      <w:r>
        <w:rPr>
          <w:sz w:val="18"/>
          <w:szCs w:val="18"/>
        </w:rPr>
        <w:t>Personal communication from Dr. Atiur Rahman, former Governor of the BB.</w:t>
      </w:r>
    </w:p>
  </w:footnote>
  <w:footnote w:id="6">
    <w:p w:rsidR="00205900" w:rsidRPr="0095444D" w:rsidRDefault="00205900" w:rsidP="0095444D">
      <w:pPr>
        <w:pStyle w:val="FootnoteText"/>
        <w:spacing w:before="0" w:line="276" w:lineRule="auto"/>
        <w:rPr>
          <w:color w:val="000000" w:themeColor="text1"/>
          <w:sz w:val="18"/>
          <w:szCs w:val="18"/>
        </w:rPr>
      </w:pPr>
      <w:r w:rsidRPr="0095444D">
        <w:rPr>
          <w:rStyle w:val="FootnoteReference"/>
          <w:sz w:val="18"/>
          <w:szCs w:val="18"/>
        </w:rPr>
        <w:footnoteRef/>
      </w:r>
      <w:r w:rsidRPr="0095444D">
        <w:rPr>
          <w:bCs/>
          <w:sz w:val="18"/>
          <w:szCs w:val="18"/>
        </w:rPr>
        <w:t xml:space="preserve">Bureau of Manpower, Employment and Training website: </w:t>
      </w:r>
      <w:hyperlink r:id="rId4" w:history="1">
        <w:r w:rsidRPr="0095444D">
          <w:rPr>
            <w:rStyle w:val="Hyperlink"/>
            <w:bCs/>
            <w:color w:val="000000" w:themeColor="text1"/>
            <w:sz w:val="18"/>
            <w:szCs w:val="18"/>
            <w:u w:val="none"/>
          </w:rPr>
          <w:t>http://www.bmet.gov.bd/BMET/stattisticalDataAction accessed 10 February 2013</w:t>
        </w:r>
      </w:hyperlink>
      <w:r w:rsidRPr="0095444D">
        <w:rPr>
          <w:bCs/>
          <w:color w:val="000000" w:themeColor="text1"/>
          <w:sz w:val="18"/>
          <w:szCs w:val="18"/>
        </w:rPr>
        <w:t>.</w:t>
      </w:r>
    </w:p>
  </w:footnote>
  <w:footnote w:id="7">
    <w:p w:rsidR="00205900" w:rsidRPr="004E30E9" w:rsidRDefault="00205900" w:rsidP="004E30E9">
      <w:pPr>
        <w:pStyle w:val="FootnoteText"/>
        <w:rPr>
          <w:sz w:val="18"/>
          <w:szCs w:val="18"/>
        </w:rPr>
      </w:pPr>
      <w:r w:rsidRPr="004E30E9">
        <w:rPr>
          <w:rStyle w:val="FootnoteReference"/>
          <w:sz w:val="18"/>
          <w:szCs w:val="18"/>
        </w:rPr>
        <w:footnoteRef/>
      </w:r>
      <w:r w:rsidRPr="004E30E9">
        <w:rPr>
          <w:sz w:val="18"/>
          <w:szCs w:val="18"/>
        </w:rPr>
        <w:t xml:space="preserve"> Ahmed, Sadiq (2015)</w:t>
      </w:r>
    </w:p>
  </w:footnote>
  <w:footnote w:id="8">
    <w:p w:rsidR="00205900" w:rsidRPr="00B1229D" w:rsidRDefault="00205900" w:rsidP="00D040C3">
      <w:pPr>
        <w:pStyle w:val="FootnoteText"/>
        <w:rPr>
          <w:rFonts w:cs="Arial"/>
          <w:sz w:val="18"/>
          <w:szCs w:val="18"/>
        </w:rPr>
      </w:pPr>
      <w:r w:rsidRPr="00B1229D">
        <w:rPr>
          <w:rStyle w:val="FootnoteReference"/>
          <w:rFonts w:cs="Arial"/>
          <w:sz w:val="18"/>
          <w:szCs w:val="18"/>
        </w:rPr>
        <w:footnoteRef/>
      </w:r>
      <w:r w:rsidRPr="00B1229D">
        <w:rPr>
          <w:rFonts w:cs="Arial"/>
          <w:sz w:val="18"/>
          <w:szCs w:val="18"/>
        </w:rPr>
        <w:t xml:space="preserve"> ADB. 2011. </w:t>
      </w:r>
      <w:r w:rsidRPr="00B1229D">
        <w:rPr>
          <w:rFonts w:cs="Arial"/>
          <w:i/>
          <w:sz w:val="18"/>
          <w:szCs w:val="18"/>
        </w:rPr>
        <w:t>Higher Education Across Asia: An Overview of Issues and Strategies.</w:t>
      </w:r>
      <w:r>
        <w:rPr>
          <w:rFonts w:cs="Arial"/>
          <w:sz w:val="18"/>
          <w:szCs w:val="18"/>
        </w:rPr>
        <w:t xml:space="preserve"> Manila.</w:t>
      </w:r>
    </w:p>
  </w:footnote>
  <w:footnote w:id="9">
    <w:p w:rsidR="00205900" w:rsidRPr="00A046F0" w:rsidRDefault="00205900" w:rsidP="00D040C3">
      <w:pPr>
        <w:pStyle w:val="FootnoteText"/>
        <w:rPr>
          <w:rFonts w:cs="Arial"/>
          <w:sz w:val="18"/>
          <w:szCs w:val="18"/>
        </w:rPr>
      </w:pPr>
      <w:r w:rsidRPr="00A046F0">
        <w:rPr>
          <w:rStyle w:val="FootnoteReference"/>
          <w:rFonts w:cs="Arial"/>
          <w:sz w:val="18"/>
          <w:szCs w:val="18"/>
        </w:rPr>
        <w:footnoteRef/>
      </w:r>
      <w:r w:rsidRPr="00A046F0">
        <w:rPr>
          <w:rFonts w:cs="Arial"/>
          <w:sz w:val="18"/>
          <w:szCs w:val="18"/>
        </w:rPr>
        <w:t xml:space="preserve"> There are 131 universities as of 2016 (37 </w:t>
      </w:r>
      <w:r w:rsidRPr="00A046F0">
        <w:rPr>
          <w:rFonts w:cs="Arial"/>
          <w:sz w:val="18"/>
          <w:szCs w:val="18"/>
        </w:rPr>
        <w:t xml:space="preserve">public, 2 international, and 92 private universities). There are 6 </w:t>
      </w:r>
      <w:r>
        <w:rPr>
          <w:rFonts w:cs="Arial"/>
          <w:sz w:val="18"/>
          <w:szCs w:val="18"/>
        </w:rPr>
        <w:t>“</w:t>
      </w:r>
      <w:r w:rsidRPr="00A046F0">
        <w:rPr>
          <w:rFonts w:cs="Arial"/>
          <w:sz w:val="18"/>
          <w:szCs w:val="18"/>
        </w:rPr>
        <w:t>engineering and technology</w:t>
      </w:r>
      <w:r>
        <w:rPr>
          <w:rFonts w:cs="Arial"/>
          <w:sz w:val="18"/>
          <w:szCs w:val="18"/>
        </w:rPr>
        <w:t>”</w:t>
      </w:r>
      <w:r w:rsidRPr="00A046F0">
        <w:rPr>
          <w:rFonts w:cs="Arial"/>
          <w:sz w:val="18"/>
          <w:szCs w:val="18"/>
        </w:rPr>
        <w:t xml:space="preserve"> universities </w:t>
      </w:r>
      <w:r>
        <w:rPr>
          <w:rFonts w:cs="Arial"/>
          <w:sz w:val="18"/>
          <w:szCs w:val="18"/>
        </w:rPr>
        <w:t xml:space="preserve">in their name </w:t>
      </w:r>
      <w:r w:rsidRPr="00A046F0">
        <w:rPr>
          <w:rFonts w:cs="Arial"/>
          <w:sz w:val="18"/>
          <w:szCs w:val="18"/>
        </w:rPr>
        <w:t>(5 public (BUET, CUET, RUET, KUE</w:t>
      </w:r>
      <w:r>
        <w:rPr>
          <w:rFonts w:cs="Arial"/>
          <w:sz w:val="18"/>
          <w:szCs w:val="18"/>
        </w:rPr>
        <w:t>T, DUET) and 1 private (BAUET)). Similarly, there are</w:t>
      </w:r>
      <w:r w:rsidRPr="00A046F0">
        <w:rPr>
          <w:rFonts w:cs="Arial"/>
          <w:sz w:val="18"/>
          <w:szCs w:val="18"/>
        </w:rPr>
        <w:t xml:space="preserve"> 25 </w:t>
      </w:r>
      <w:r>
        <w:rPr>
          <w:rFonts w:cs="Arial"/>
          <w:sz w:val="18"/>
          <w:szCs w:val="18"/>
        </w:rPr>
        <w:t>“</w:t>
      </w:r>
      <w:r w:rsidRPr="00A046F0">
        <w:rPr>
          <w:rFonts w:cs="Arial"/>
          <w:sz w:val="18"/>
          <w:szCs w:val="18"/>
        </w:rPr>
        <w:t>science and technology</w:t>
      </w:r>
      <w:r>
        <w:rPr>
          <w:rFonts w:cs="Arial"/>
          <w:sz w:val="18"/>
          <w:szCs w:val="18"/>
        </w:rPr>
        <w:t>”</w:t>
      </w:r>
      <w:r w:rsidRPr="00A046F0">
        <w:rPr>
          <w:rFonts w:cs="Arial"/>
          <w:sz w:val="18"/>
          <w:szCs w:val="18"/>
        </w:rPr>
        <w:t xml:space="preserve"> universities (including business technology universities) (9 public, 1 international, 15 private), 5 </w:t>
      </w:r>
      <w:r>
        <w:rPr>
          <w:rFonts w:cs="Arial"/>
          <w:sz w:val="18"/>
          <w:szCs w:val="18"/>
        </w:rPr>
        <w:t>“</w:t>
      </w:r>
      <w:r w:rsidRPr="00A046F0">
        <w:rPr>
          <w:rFonts w:cs="Arial"/>
          <w:sz w:val="18"/>
          <w:szCs w:val="18"/>
        </w:rPr>
        <w:t>agricultural</w:t>
      </w:r>
      <w:r>
        <w:rPr>
          <w:rFonts w:cs="Arial"/>
          <w:sz w:val="18"/>
          <w:szCs w:val="18"/>
        </w:rPr>
        <w:t>”</w:t>
      </w:r>
      <w:r w:rsidRPr="00A046F0">
        <w:rPr>
          <w:rFonts w:cs="Arial"/>
          <w:sz w:val="18"/>
          <w:szCs w:val="18"/>
        </w:rPr>
        <w:t xml:space="preserve"> universities (3 public, 2 private), 1 </w:t>
      </w:r>
      <w:r>
        <w:rPr>
          <w:rFonts w:cs="Arial"/>
          <w:sz w:val="18"/>
          <w:szCs w:val="18"/>
        </w:rPr>
        <w:t>“</w:t>
      </w:r>
      <w:r w:rsidRPr="00A046F0">
        <w:rPr>
          <w:rFonts w:cs="Arial"/>
          <w:sz w:val="18"/>
          <w:szCs w:val="18"/>
        </w:rPr>
        <w:t>textile</w:t>
      </w:r>
      <w:r>
        <w:rPr>
          <w:rFonts w:cs="Arial"/>
          <w:sz w:val="18"/>
          <w:szCs w:val="18"/>
        </w:rPr>
        <w:t>”</w:t>
      </w:r>
      <w:r w:rsidRPr="00A046F0">
        <w:rPr>
          <w:rFonts w:cs="Arial"/>
          <w:sz w:val="18"/>
          <w:szCs w:val="18"/>
        </w:rPr>
        <w:t xml:space="preserve"> public university and 1</w:t>
      </w:r>
      <w:r>
        <w:rPr>
          <w:rFonts w:cs="Arial"/>
          <w:sz w:val="18"/>
          <w:szCs w:val="18"/>
        </w:rPr>
        <w:t xml:space="preserve"> “</w:t>
      </w:r>
      <w:r w:rsidRPr="00A046F0">
        <w:rPr>
          <w:rFonts w:cs="Arial"/>
          <w:sz w:val="18"/>
          <w:szCs w:val="18"/>
        </w:rPr>
        <w:t>maritime</w:t>
      </w:r>
      <w:r>
        <w:rPr>
          <w:rFonts w:cs="Arial"/>
          <w:sz w:val="18"/>
          <w:szCs w:val="18"/>
        </w:rPr>
        <w:t>”</w:t>
      </w:r>
      <w:r w:rsidRPr="00A046F0">
        <w:rPr>
          <w:rFonts w:cs="Arial"/>
          <w:sz w:val="18"/>
          <w:szCs w:val="18"/>
        </w:rPr>
        <w:t xml:space="preserve"> public university.</w:t>
      </w:r>
    </w:p>
  </w:footnote>
  <w:footnote w:id="10">
    <w:p w:rsidR="00205900" w:rsidRPr="00C176C3" w:rsidRDefault="00205900" w:rsidP="00D040C3">
      <w:pPr>
        <w:pStyle w:val="FootnoteText"/>
        <w:rPr>
          <w:rFonts w:ascii="Arial" w:hAnsi="Arial" w:cs="Arial"/>
          <w:sz w:val="18"/>
          <w:szCs w:val="18"/>
        </w:rPr>
      </w:pPr>
      <w:r w:rsidRPr="00C176C3">
        <w:rPr>
          <w:rStyle w:val="FootnoteReference"/>
          <w:sz w:val="18"/>
          <w:szCs w:val="18"/>
        </w:rPr>
        <w:footnoteRef/>
      </w:r>
      <w:r w:rsidRPr="00C176C3">
        <w:rPr>
          <w:rFonts w:ascii="Arial" w:hAnsi="Arial" w:cs="Arial"/>
          <w:sz w:val="18"/>
          <w:szCs w:val="18"/>
        </w:rPr>
        <w:t xml:space="preserve"> https://agileelements.wordpress.com/2008/10/29/what-is-a-center-of-excellence/</w:t>
      </w:r>
    </w:p>
  </w:footnote>
  <w:footnote w:id="11">
    <w:p w:rsidR="00205900" w:rsidRPr="004F2CBD" w:rsidRDefault="00205900" w:rsidP="00194BB9">
      <w:pPr>
        <w:pStyle w:val="FootnoteText"/>
        <w:rPr>
          <w:sz w:val="18"/>
          <w:szCs w:val="18"/>
        </w:rPr>
      </w:pPr>
      <w:r w:rsidRPr="004F2CBD">
        <w:rPr>
          <w:rStyle w:val="FootnoteReference"/>
          <w:sz w:val="18"/>
          <w:szCs w:val="18"/>
        </w:rPr>
        <w:footnoteRef/>
      </w:r>
      <w:r w:rsidRPr="004F2CBD">
        <w:rPr>
          <w:sz w:val="18"/>
          <w:szCs w:val="18"/>
        </w:rPr>
        <w:t xml:space="preserve"> </w:t>
      </w:r>
      <w:hyperlink r:id="rId5" w:history="1">
        <w:r w:rsidRPr="004F2CBD">
          <w:rPr>
            <w:rStyle w:val="Hyperlink"/>
            <w:bCs/>
            <w:sz w:val="18"/>
            <w:szCs w:val="18"/>
          </w:rPr>
          <w:t>https://www.ti-bangladesh.org/beta3/index.php/en/activities/4908-land-governance-challenges-under-scanner-a-host-of-recommendation-tabled</w:t>
        </w:r>
      </w:hyperlink>
    </w:p>
  </w:footnote>
  <w:footnote w:id="12">
    <w:p w:rsidR="00205900" w:rsidRPr="0053088D" w:rsidRDefault="00205900" w:rsidP="00EA64BE">
      <w:pPr>
        <w:pStyle w:val="FootnoteText"/>
        <w:rPr>
          <w:sz w:val="18"/>
          <w:szCs w:val="18"/>
        </w:rPr>
      </w:pPr>
      <w:r w:rsidRPr="0053088D">
        <w:rPr>
          <w:rStyle w:val="FootnoteReference"/>
          <w:sz w:val="18"/>
          <w:szCs w:val="18"/>
        </w:rPr>
        <w:footnoteRef/>
      </w:r>
      <w:r w:rsidRPr="0053088D">
        <w:rPr>
          <w:sz w:val="18"/>
          <w:szCs w:val="18"/>
        </w:rPr>
        <w:t xml:space="preserve"> </w:t>
      </w:r>
      <w:r>
        <w:rPr>
          <w:sz w:val="18"/>
          <w:szCs w:val="18"/>
        </w:rPr>
        <w:t>Helms 1992.</w:t>
      </w:r>
    </w:p>
  </w:footnote>
  <w:footnote w:id="13">
    <w:p w:rsidR="00205900" w:rsidRPr="00F51926" w:rsidRDefault="00205900" w:rsidP="00887B7A">
      <w:pPr>
        <w:pStyle w:val="FootnoteText"/>
        <w:rPr>
          <w:sz w:val="18"/>
          <w:szCs w:val="18"/>
        </w:rPr>
      </w:pPr>
      <w:r w:rsidRPr="00F51926">
        <w:rPr>
          <w:rStyle w:val="FootnoteReference"/>
          <w:sz w:val="18"/>
          <w:szCs w:val="18"/>
        </w:rPr>
        <w:footnoteRef/>
      </w:r>
      <w:r w:rsidRPr="00F51926">
        <w:rPr>
          <w:sz w:val="18"/>
          <w:szCs w:val="18"/>
        </w:rPr>
        <w:t xml:space="preserve"> </w:t>
      </w:r>
      <w:hyperlink r:id="rId6" w:history="1">
        <w:r w:rsidRPr="002C4A48">
          <w:rPr>
            <w:rStyle w:val="Hyperlink"/>
            <w:sz w:val="18"/>
            <w:szCs w:val="18"/>
          </w:rPr>
          <w:t>http://siteresources.worldbank.org/EXTCDD/Resources/430160-1435154813801/Website_CDD_Institutionalization_Study_Table_Final.pdf</w:t>
        </w:r>
      </w:hyperlink>
      <w:r>
        <w:rPr>
          <w:sz w:val="18"/>
          <w:szCs w:val="18"/>
        </w:rPr>
        <w:t xml:space="preserve"> </w:t>
      </w:r>
    </w:p>
  </w:footnote>
  <w:footnote w:id="14">
    <w:p w:rsidR="00205900" w:rsidRPr="00954B35" w:rsidRDefault="00205900">
      <w:pPr>
        <w:pStyle w:val="FootnoteText"/>
        <w:rPr>
          <w:sz w:val="18"/>
          <w:szCs w:val="18"/>
        </w:rPr>
      </w:pPr>
      <w:r w:rsidRPr="00954B35">
        <w:rPr>
          <w:rStyle w:val="FootnoteReference"/>
          <w:sz w:val="18"/>
          <w:szCs w:val="18"/>
        </w:rPr>
        <w:footnoteRef/>
      </w:r>
      <w:r w:rsidRPr="00954B35">
        <w:rPr>
          <w:sz w:val="18"/>
          <w:szCs w:val="18"/>
        </w:rPr>
        <w:t xml:space="preserve"> </w:t>
      </w:r>
      <w:r>
        <w:rPr>
          <w:sz w:val="18"/>
          <w:szCs w:val="18"/>
        </w:rPr>
        <w:t xml:space="preserve">World Bank database, </w:t>
      </w:r>
      <w:hyperlink r:id="rId7" w:history="1">
        <w:r w:rsidRPr="004E7D04">
          <w:rPr>
            <w:rStyle w:val="Hyperlink"/>
            <w:sz w:val="18"/>
            <w:szCs w:val="18"/>
          </w:rPr>
          <w:t>https://data.worldbank.org/indicator/GC.TAX.TOTL.GD.ZS</w:t>
        </w:r>
      </w:hyperlink>
      <w:r>
        <w:rPr>
          <w:sz w:val="18"/>
          <w:szCs w:val="18"/>
        </w:rPr>
        <w:t xml:space="preserve"> </w:t>
      </w:r>
    </w:p>
  </w:footnote>
  <w:footnote w:id="15">
    <w:p w:rsidR="00205900" w:rsidRPr="002B4074" w:rsidRDefault="00205900">
      <w:pPr>
        <w:pStyle w:val="FootnoteText"/>
        <w:rPr>
          <w:sz w:val="18"/>
          <w:szCs w:val="18"/>
        </w:rPr>
      </w:pPr>
      <w:r w:rsidRPr="002B4074">
        <w:rPr>
          <w:rStyle w:val="FootnoteReference"/>
          <w:sz w:val="18"/>
          <w:szCs w:val="18"/>
        </w:rPr>
        <w:footnoteRef/>
      </w:r>
      <w:r w:rsidRPr="002B4074">
        <w:rPr>
          <w:sz w:val="18"/>
          <w:szCs w:val="18"/>
        </w:rPr>
        <w:t xml:space="preserve"> </w:t>
      </w:r>
      <w:r>
        <w:rPr>
          <w:sz w:val="18"/>
          <w:szCs w:val="18"/>
        </w:rPr>
        <w:t xml:space="preserve">World Bank database, </w:t>
      </w:r>
      <w:hyperlink r:id="rId8" w:history="1">
        <w:r w:rsidRPr="004E7D04">
          <w:rPr>
            <w:rStyle w:val="Hyperlink"/>
            <w:sz w:val="18"/>
            <w:szCs w:val="18"/>
          </w:rPr>
          <w:t>https://data.worldbank.org/indicator/BX.KLT.DINV.WD.GD.ZS</w:t>
        </w:r>
      </w:hyperlink>
      <w:r>
        <w:rPr>
          <w:sz w:val="18"/>
          <w:szCs w:val="18"/>
        </w:rPr>
        <w:t xml:space="preserve"> </w:t>
      </w:r>
    </w:p>
  </w:footnote>
  <w:footnote w:id="16">
    <w:p w:rsidR="00205900" w:rsidRPr="00B4352B" w:rsidRDefault="00205900">
      <w:pPr>
        <w:pStyle w:val="FootnoteText"/>
        <w:rPr>
          <w:sz w:val="18"/>
          <w:szCs w:val="18"/>
        </w:rPr>
      </w:pPr>
      <w:r w:rsidRPr="00B4352B">
        <w:rPr>
          <w:rStyle w:val="FootnoteReference"/>
          <w:sz w:val="18"/>
          <w:szCs w:val="18"/>
        </w:rPr>
        <w:footnoteRef/>
      </w:r>
      <w:r w:rsidRPr="00B4352B">
        <w:rPr>
          <w:sz w:val="18"/>
          <w:szCs w:val="18"/>
        </w:rPr>
        <w:t xml:space="preserve"> </w:t>
      </w:r>
      <w:r>
        <w:rPr>
          <w:sz w:val="18"/>
          <w:szCs w:val="18"/>
        </w:rPr>
        <w:t xml:space="preserve">World Bank database, </w:t>
      </w:r>
      <w:hyperlink r:id="rId9" w:history="1">
        <w:r w:rsidRPr="004E7D04">
          <w:rPr>
            <w:rStyle w:val="Hyperlink"/>
            <w:sz w:val="18"/>
            <w:szCs w:val="18"/>
          </w:rPr>
          <w:t>https://data.worldbank.org/indicator/FB.AST.NPER.ZS</w:t>
        </w:r>
      </w:hyperlink>
      <w:r>
        <w:rPr>
          <w:sz w:val="18"/>
          <w:szCs w:val="18"/>
        </w:rPr>
        <w:t xml:space="preserve"> </w:t>
      </w:r>
    </w:p>
  </w:footnote>
  <w:footnote w:id="17">
    <w:p w:rsidR="00205900" w:rsidRPr="00D80B7C" w:rsidRDefault="00205900" w:rsidP="000337F6">
      <w:pPr>
        <w:pStyle w:val="FootnoteText"/>
        <w:spacing w:before="0"/>
        <w:rPr>
          <w:sz w:val="18"/>
          <w:szCs w:val="18"/>
        </w:rPr>
      </w:pPr>
      <w:r w:rsidRPr="00D80B7C">
        <w:rPr>
          <w:rStyle w:val="FootnoteReference"/>
          <w:sz w:val="18"/>
          <w:szCs w:val="18"/>
        </w:rPr>
        <w:footnoteRef/>
      </w:r>
      <w:r w:rsidRPr="00D80B7C">
        <w:rPr>
          <w:sz w:val="18"/>
          <w:szCs w:val="18"/>
        </w:rPr>
        <w:t xml:space="preserve"> </w:t>
      </w:r>
      <w:hyperlink r:id="rId10" w:history="1">
        <w:r w:rsidRPr="00D80B7C">
          <w:rPr>
            <w:rStyle w:val="Hyperlink"/>
            <w:sz w:val="18"/>
            <w:szCs w:val="18"/>
          </w:rPr>
          <w:t>http://www.worldbank.org/en/country/bangladesh/brief/bangladesh-governance</w:t>
        </w:r>
      </w:hyperlink>
    </w:p>
  </w:footnote>
  <w:footnote w:id="18">
    <w:p w:rsidR="00205900" w:rsidRPr="00C95629" w:rsidRDefault="00205900">
      <w:pPr>
        <w:pStyle w:val="FootnoteText"/>
        <w:rPr>
          <w:sz w:val="18"/>
          <w:szCs w:val="18"/>
        </w:rPr>
      </w:pPr>
      <w:r w:rsidRPr="00C95629">
        <w:rPr>
          <w:rStyle w:val="FootnoteReference"/>
          <w:sz w:val="18"/>
          <w:szCs w:val="18"/>
        </w:rPr>
        <w:footnoteRef/>
      </w:r>
      <w:r w:rsidRPr="00C95629">
        <w:rPr>
          <w:sz w:val="18"/>
          <w:szCs w:val="18"/>
        </w:rPr>
        <w:t xml:space="preserve"> </w:t>
      </w:r>
      <w:r>
        <w:rPr>
          <w:sz w:val="18"/>
          <w:szCs w:val="18"/>
        </w:rPr>
        <w:t>As quoted in Ahmed, Alamgir and Mujeri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00BF"/>
    <w:multiLevelType w:val="hybridMultilevel"/>
    <w:tmpl w:val="BA3A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A7552"/>
    <w:multiLevelType w:val="hybridMultilevel"/>
    <w:tmpl w:val="25B4D0CA"/>
    <w:lvl w:ilvl="0" w:tplc="30AC968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EA26D2"/>
    <w:multiLevelType w:val="hybridMultilevel"/>
    <w:tmpl w:val="C30C2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42104"/>
    <w:multiLevelType w:val="hybridMultilevel"/>
    <w:tmpl w:val="073E4434"/>
    <w:lvl w:ilvl="0" w:tplc="FA261BA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D03E0"/>
    <w:multiLevelType w:val="hybridMultilevel"/>
    <w:tmpl w:val="86BC5AAE"/>
    <w:lvl w:ilvl="0" w:tplc="1A0A30B8">
      <w:start w:val="1"/>
      <w:numFmt w:val="bullet"/>
      <w:lvlText w:val=""/>
      <w:lvlJc w:val="left"/>
      <w:pPr>
        <w:ind w:left="1440" w:hanging="360"/>
      </w:pPr>
      <w:rPr>
        <w:rFonts w:ascii="Symbol" w:eastAsiaTheme="minorEastAsia"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0765C1"/>
    <w:multiLevelType w:val="hybridMultilevel"/>
    <w:tmpl w:val="F500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9336B"/>
    <w:multiLevelType w:val="hybridMultilevel"/>
    <w:tmpl w:val="8828F85C"/>
    <w:lvl w:ilvl="0" w:tplc="DD50DA68">
      <w:start w:val="1"/>
      <w:numFmt w:val="decimal"/>
      <w:lvlText w:val="%1."/>
      <w:lvlJc w:val="left"/>
      <w:pPr>
        <w:ind w:left="360" w:hanging="360"/>
      </w:pPr>
      <w:rPr>
        <w:rFonts w:eastAsiaTheme="minorHAns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81686C"/>
    <w:multiLevelType w:val="hybridMultilevel"/>
    <w:tmpl w:val="CB10D902"/>
    <w:lvl w:ilvl="0" w:tplc="955A0564">
      <w:start w:val="1"/>
      <w:numFmt w:val="bullet"/>
      <w:lvlText w:val="•"/>
      <w:lvlJc w:val="left"/>
      <w:pPr>
        <w:ind w:left="1080" w:hanging="360"/>
      </w:pPr>
      <w:rPr>
        <w:rFonts w:ascii="Arial" w:hAnsi="Aria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0F3124"/>
    <w:multiLevelType w:val="hybridMultilevel"/>
    <w:tmpl w:val="D4AEC88E"/>
    <w:lvl w:ilvl="0" w:tplc="704A2BAA">
      <w:start w:val="1"/>
      <w:numFmt w:val="bullet"/>
      <w:lvlText w:val="•"/>
      <w:lvlJc w:val="left"/>
      <w:pPr>
        <w:tabs>
          <w:tab w:val="num" w:pos="720"/>
        </w:tabs>
        <w:ind w:left="720" w:hanging="360"/>
      </w:pPr>
      <w:rPr>
        <w:rFonts w:ascii="Arial" w:hAnsi="Arial" w:hint="default"/>
      </w:rPr>
    </w:lvl>
    <w:lvl w:ilvl="1" w:tplc="948C52CA" w:tentative="1">
      <w:start w:val="1"/>
      <w:numFmt w:val="bullet"/>
      <w:lvlText w:val="•"/>
      <w:lvlJc w:val="left"/>
      <w:pPr>
        <w:tabs>
          <w:tab w:val="num" w:pos="1440"/>
        </w:tabs>
        <w:ind w:left="1440" w:hanging="360"/>
      </w:pPr>
      <w:rPr>
        <w:rFonts w:ascii="Arial" w:hAnsi="Arial" w:hint="default"/>
      </w:rPr>
    </w:lvl>
    <w:lvl w:ilvl="2" w:tplc="A54A8AFE" w:tentative="1">
      <w:start w:val="1"/>
      <w:numFmt w:val="bullet"/>
      <w:lvlText w:val="•"/>
      <w:lvlJc w:val="left"/>
      <w:pPr>
        <w:tabs>
          <w:tab w:val="num" w:pos="2160"/>
        </w:tabs>
        <w:ind w:left="2160" w:hanging="360"/>
      </w:pPr>
      <w:rPr>
        <w:rFonts w:ascii="Arial" w:hAnsi="Arial" w:hint="default"/>
      </w:rPr>
    </w:lvl>
    <w:lvl w:ilvl="3" w:tplc="D1D8FCA6" w:tentative="1">
      <w:start w:val="1"/>
      <w:numFmt w:val="bullet"/>
      <w:lvlText w:val="•"/>
      <w:lvlJc w:val="left"/>
      <w:pPr>
        <w:tabs>
          <w:tab w:val="num" w:pos="2880"/>
        </w:tabs>
        <w:ind w:left="2880" w:hanging="360"/>
      </w:pPr>
      <w:rPr>
        <w:rFonts w:ascii="Arial" w:hAnsi="Arial" w:hint="default"/>
      </w:rPr>
    </w:lvl>
    <w:lvl w:ilvl="4" w:tplc="F19810AA" w:tentative="1">
      <w:start w:val="1"/>
      <w:numFmt w:val="bullet"/>
      <w:lvlText w:val="•"/>
      <w:lvlJc w:val="left"/>
      <w:pPr>
        <w:tabs>
          <w:tab w:val="num" w:pos="3600"/>
        </w:tabs>
        <w:ind w:left="3600" w:hanging="360"/>
      </w:pPr>
      <w:rPr>
        <w:rFonts w:ascii="Arial" w:hAnsi="Arial" w:hint="default"/>
      </w:rPr>
    </w:lvl>
    <w:lvl w:ilvl="5" w:tplc="BB7ABE78" w:tentative="1">
      <w:start w:val="1"/>
      <w:numFmt w:val="bullet"/>
      <w:lvlText w:val="•"/>
      <w:lvlJc w:val="left"/>
      <w:pPr>
        <w:tabs>
          <w:tab w:val="num" w:pos="4320"/>
        </w:tabs>
        <w:ind w:left="4320" w:hanging="360"/>
      </w:pPr>
      <w:rPr>
        <w:rFonts w:ascii="Arial" w:hAnsi="Arial" w:hint="default"/>
      </w:rPr>
    </w:lvl>
    <w:lvl w:ilvl="6" w:tplc="953CADBE" w:tentative="1">
      <w:start w:val="1"/>
      <w:numFmt w:val="bullet"/>
      <w:lvlText w:val="•"/>
      <w:lvlJc w:val="left"/>
      <w:pPr>
        <w:tabs>
          <w:tab w:val="num" w:pos="5040"/>
        </w:tabs>
        <w:ind w:left="5040" w:hanging="360"/>
      </w:pPr>
      <w:rPr>
        <w:rFonts w:ascii="Arial" w:hAnsi="Arial" w:hint="default"/>
      </w:rPr>
    </w:lvl>
    <w:lvl w:ilvl="7" w:tplc="FCE6C6FA" w:tentative="1">
      <w:start w:val="1"/>
      <w:numFmt w:val="bullet"/>
      <w:lvlText w:val="•"/>
      <w:lvlJc w:val="left"/>
      <w:pPr>
        <w:tabs>
          <w:tab w:val="num" w:pos="5760"/>
        </w:tabs>
        <w:ind w:left="5760" w:hanging="360"/>
      </w:pPr>
      <w:rPr>
        <w:rFonts w:ascii="Arial" w:hAnsi="Arial" w:hint="default"/>
      </w:rPr>
    </w:lvl>
    <w:lvl w:ilvl="8" w:tplc="E63C0FC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6D40D7"/>
    <w:multiLevelType w:val="hybridMultilevel"/>
    <w:tmpl w:val="4DC88912"/>
    <w:lvl w:ilvl="0" w:tplc="0958DF06">
      <w:start w:val="1"/>
      <w:numFmt w:val="bullet"/>
      <w:lvlText w:val="•"/>
      <w:lvlJc w:val="left"/>
      <w:pPr>
        <w:tabs>
          <w:tab w:val="num" w:pos="720"/>
        </w:tabs>
        <w:ind w:left="720" w:hanging="360"/>
      </w:pPr>
      <w:rPr>
        <w:rFonts w:ascii="Arial" w:hAnsi="Arial" w:hint="default"/>
      </w:rPr>
    </w:lvl>
    <w:lvl w:ilvl="1" w:tplc="6902F180" w:tentative="1">
      <w:start w:val="1"/>
      <w:numFmt w:val="bullet"/>
      <w:lvlText w:val="•"/>
      <w:lvlJc w:val="left"/>
      <w:pPr>
        <w:tabs>
          <w:tab w:val="num" w:pos="1440"/>
        </w:tabs>
        <w:ind w:left="1440" w:hanging="360"/>
      </w:pPr>
      <w:rPr>
        <w:rFonts w:ascii="Arial" w:hAnsi="Arial" w:hint="default"/>
      </w:rPr>
    </w:lvl>
    <w:lvl w:ilvl="2" w:tplc="76EE0992" w:tentative="1">
      <w:start w:val="1"/>
      <w:numFmt w:val="bullet"/>
      <w:lvlText w:val="•"/>
      <w:lvlJc w:val="left"/>
      <w:pPr>
        <w:tabs>
          <w:tab w:val="num" w:pos="2160"/>
        </w:tabs>
        <w:ind w:left="2160" w:hanging="360"/>
      </w:pPr>
      <w:rPr>
        <w:rFonts w:ascii="Arial" w:hAnsi="Arial" w:hint="default"/>
      </w:rPr>
    </w:lvl>
    <w:lvl w:ilvl="3" w:tplc="6CA202A8" w:tentative="1">
      <w:start w:val="1"/>
      <w:numFmt w:val="bullet"/>
      <w:lvlText w:val="•"/>
      <w:lvlJc w:val="left"/>
      <w:pPr>
        <w:tabs>
          <w:tab w:val="num" w:pos="2880"/>
        </w:tabs>
        <w:ind w:left="2880" w:hanging="360"/>
      </w:pPr>
      <w:rPr>
        <w:rFonts w:ascii="Arial" w:hAnsi="Arial" w:hint="default"/>
      </w:rPr>
    </w:lvl>
    <w:lvl w:ilvl="4" w:tplc="6A22FDC6" w:tentative="1">
      <w:start w:val="1"/>
      <w:numFmt w:val="bullet"/>
      <w:lvlText w:val="•"/>
      <w:lvlJc w:val="left"/>
      <w:pPr>
        <w:tabs>
          <w:tab w:val="num" w:pos="3600"/>
        </w:tabs>
        <w:ind w:left="3600" w:hanging="360"/>
      </w:pPr>
      <w:rPr>
        <w:rFonts w:ascii="Arial" w:hAnsi="Arial" w:hint="default"/>
      </w:rPr>
    </w:lvl>
    <w:lvl w:ilvl="5" w:tplc="4296F4F6" w:tentative="1">
      <w:start w:val="1"/>
      <w:numFmt w:val="bullet"/>
      <w:lvlText w:val="•"/>
      <w:lvlJc w:val="left"/>
      <w:pPr>
        <w:tabs>
          <w:tab w:val="num" w:pos="4320"/>
        </w:tabs>
        <w:ind w:left="4320" w:hanging="360"/>
      </w:pPr>
      <w:rPr>
        <w:rFonts w:ascii="Arial" w:hAnsi="Arial" w:hint="default"/>
      </w:rPr>
    </w:lvl>
    <w:lvl w:ilvl="6" w:tplc="2854A70C" w:tentative="1">
      <w:start w:val="1"/>
      <w:numFmt w:val="bullet"/>
      <w:lvlText w:val="•"/>
      <w:lvlJc w:val="left"/>
      <w:pPr>
        <w:tabs>
          <w:tab w:val="num" w:pos="5040"/>
        </w:tabs>
        <w:ind w:left="5040" w:hanging="360"/>
      </w:pPr>
      <w:rPr>
        <w:rFonts w:ascii="Arial" w:hAnsi="Arial" w:hint="default"/>
      </w:rPr>
    </w:lvl>
    <w:lvl w:ilvl="7" w:tplc="194265A4" w:tentative="1">
      <w:start w:val="1"/>
      <w:numFmt w:val="bullet"/>
      <w:lvlText w:val="•"/>
      <w:lvlJc w:val="left"/>
      <w:pPr>
        <w:tabs>
          <w:tab w:val="num" w:pos="5760"/>
        </w:tabs>
        <w:ind w:left="5760" w:hanging="360"/>
      </w:pPr>
      <w:rPr>
        <w:rFonts w:ascii="Arial" w:hAnsi="Arial" w:hint="default"/>
      </w:rPr>
    </w:lvl>
    <w:lvl w:ilvl="8" w:tplc="D8CEF7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4E5E73"/>
    <w:multiLevelType w:val="hybridMultilevel"/>
    <w:tmpl w:val="76784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2062BA"/>
    <w:multiLevelType w:val="hybridMultilevel"/>
    <w:tmpl w:val="802698BA"/>
    <w:lvl w:ilvl="0" w:tplc="EFA06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B646AA"/>
    <w:multiLevelType w:val="hybridMultilevel"/>
    <w:tmpl w:val="6E0C3CAC"/>
    <w:lvl w:ilvl="0" w:tplc="24902B68">
      <w:start w:val="1"/>
      <w:numFmt w:val="bullet"/>
      <w:lvlText w:val="•"/>
      <w:lvlJc w:val="left"/>
      <w:pPr>
        <w:tabs>
          <w:tab w:val="num" w:pos="720"/>
        </w:tabs>
        <w:ind w:left="720" w:hanging="360"/>
      </w:pPr>
      <w:rPr>
        <w:rFonts w:ascii="Arial" w:hAnsi="Arial" w:hint="default"/>
      </w:rPr>
    </w:lvl>
    <w:lvl w:ilvl="1" w:tplc="B6AC6EE6" w:tentative="1">
      <w:start w:val="1"/>
      <w:numFmt w:val="bullet"/>
      <w:lvlText w:val="•"/>
      <w:lvlJc w:val="left"/>
      <w:pPr>
        <w:tabs>
          <w:tab w:val="num" w:pos="1440"/>
        </w:tabs>
        <w:ind w:left="1440" w:hanging="360"/>
      </w:pPr>
      <w:rPr>
        <w:rFonts w:ascii="Arial" w:hAnsi="Arial" w:hint="default"/>
      </w:rPr>
    </w:lvl>
    <w:lvl w:ilvl="2" w:tplc="E3C00120" w:tentative="1">
      <w:start w:val="1"/>
      <w:numFmt w:val="bullet"/>
      <w:lvlText w:val="•"/>
      <w:lvlJc w:val="left"/>
      <w:pPr>
        <w:tabs>
          <w:tab w:val="num" w:pos="2160"/>
        </w:tabs>
        <w:ind w:left="2160" w:hanging="360"/>
      </w:pPr>
      <w:rPr>
        <w:rFonts w:ascii="Arial" w:hAnsi="Arial" w:hint="default"/>
      </w:rPr>
    </w:lvl>
    <w:lvl w:ilvl="3" w:tplc="66262D26" w:tentative="1">
      <w:start w:val="1"/>
      <w:numFmt w:val="bullet"/>
      <w:lvlText w:val="•"/>
      <w:lvlJc w:val="left"/>
      <w:pPr>
        <w:tabs>
          <w:tab w:val="num" w:pos="2880"/>
        </w:tabs>
        <w:ind w:left="2880" w:hanging="360"/>
      </w:pPr>
      <w:rPr>
        <w:rFonts w:ascii="Arial" w:hAnsi="Arial" w:hint="default"/>
      </w:rPr>
    </w:lvl>
    <w:lvl w:ilvl="4" w:tplc="9B02312E" w:tentative="1">
      <w:start w:val="1"/>
      <w:numFmt w:val="bullet"/>
      <w:lvlText w:val="•"/>
      <w:lvlJc w:val="left"/>
      <w:pPr>
        <w:tabs>
          <w:tab w:val="num" w:pos="3600"/>
        </w:tabs>
        <w:ind w:left="3600" w:hanging="360"/>
      </w:pPr>
      <w:rPr>
        <w:rFonts w:ascii="Arial" w:hAnsi="Arial" w:hint="default"/>
      </w:rPr>
    </w:lvl>
    <w:lvl w:ilvl="5" w:tplc="3E386064" w:tentative="1">
      <w:start w:val="1"/>
      <w:numFmt w:val="bullet"/>
      <w:lvlText w:val="•"/>
      <w:lvlJc w:val="left"/>
      <w:pPr>
        <w:tabs>
          <w:tab w:val="num" w:pos="4320"/>
        </w:tabs>
        <w:ind w:left="4320" w:hanging="360"/>
      </w:pPr>
      <w:rPr>
        <w:rFonts w:ascii="Arial" w:hAnsi="Arial" w:hint="default"/>
      </w:rPr>
    </w:lvl>
    <w:lvl w:ilvl="6" w:tplc="624C83D6" w:tentative="1">
      <w:start w:val="1"/>
      <w:numFmt w:val="bullet"/>
      <w:lvlText w:val="•"/>
      <w:lvlJc w:val="left"/>
      <w:pPr>
        <w:tabs>
          <w:tab w:val="num" w:pos="5040"/>
        </w:tabs>
        <w:ind w:left="5040" w:hanging="360"/>
      </w:pPr>
      <w:rPr>
        <w:rFonts w:ascii="Arial" w:hAnsi="Arial" w:hint="default"/>
      </w:rPr>
    </w:lvl>
    <w:lvl w:ilvl="7" w:tplc="32185380" w:tentative="1">
      <w:start w:val="1"/>
      <w:numFmt w:val="bullet"/>
      <w:lvlText w:val="•"/>
      <w:lvlJc w:val="left"/>
      <w:pPr>
        <w:tabs>
          <w:tab w:val="num" w:pos="5760"/>
        </w:tabs>
        <w:ind w:left="5760" w:hanging="360"/>
      </w:pPr>
      <w:rPr>
        <w:rFonts w:ascii="Arial" w:hAnsi="Arial" w:hint="default"/>
      </w:rPr>
    </w:lvl>
    <w:lvl w:ilvl="8" w:tplc="EADCBD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0A4A78"/>
    <w:multiLevelType w:val="hybridMultilevel"/>
    <w:tmpl w:val="CA326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58533F"/>
    <w:multiLevelType w:val="hybridMultilevel"/>
    <w:tmpl w:val="A0B83F4E"/>
    <w:lvl w:ilvl="0" w:tplc="0A8612DE">
      <w:start w:val="1"/>
      <w:numFmt w:val="bullet"/>
      <w:lvlText w:val="•"/>
      <w:lvlJc w:val="left"/>
      <w:pPr>
        <w:tabs>
          <w:tab w:val="num" w:pos="720"/>
        </w:tabs>
        <w:ind w:left="720" w:hanging="360"/>
      </w:pPr>
      <w:rPr>
        <w:rFonts w:ascii="Arial" w:hAnsi="Arial" w:hint="default"/>
      </w:rPr>
    </w:lvl>
    <w:lvl w:ilvl="1" w:tplc="33DCE132">
      <w:start w:val="1"/>
      <w:numFmt w:val="bullet"/>
      <w:lvlText w:val="•"/>
      <w:lvlJc w:val="left"/>
      <w:pPr>
        <w:tabs>
          <w:tab w:val="num" w:pos="1440"/>
        </w:tabs>
        <w:ind w:left="1440" w:hanging="360"/>
      </w:pPr>
      <w:rPr>
        <w:rFonts w:ascii="Arial" w:hAnsi="Arial" w:hint="default"/>
      </w:rPr>
    </w:lvl>
    <w:lvl w:ilvl="2" w:tplc="F6EC7E1E" w:tentative="1">
      <w:start w:val="1"/>
      <w:numFmt w:val="bullet"/>
      <w:lvlText w:val="•"/>
      <w:lvlJc w:val="left"/>
      <w:pPr>
        <w:tabs>
          <w:tab w:val="num" w:pos="2160"/>
        </w:tabs>
        <w:ind w:left="2160" w:hanging="360"/>
      </w:pPr>
      <w:rPr>
        <w:rFonts w:ascii="Arial" w:hAnsi="Arial" w:hint="default"/>
      </w:rPr>
    </w:lvl>
    <w:lvl w:ilvl="3" w:tplc="B4E89EB6" w:tentative="1">
      <w:start w:val="1"/>
      <w:numFmt w:val="bullet"/>
      <w:lvlText w:val="•"/>
      <w:lvlJc w:val="left"/>
      <w:pPr>
        <w:tabs>
          <w:tab w:val="num" w:pos="2880"/>
        </w:tabs>
        <w:ind w:left="2880" w:hanging="360"/>
      </w:pPr>
      <w:rPr>
        <w:rFonts w:ascii="Arial" w:hAnsi="Arial" w:hint="default"/>
      </w:rPr>
    </w:lvl>
    <w:lvl w:ilvl="4" w:tplc="35B83160" w:tentative="1">
      <w:start w:val="1"/>
      <w:numFmt w:val="bullet"/>
      <w:lvlText w:val="•"/>
      <w:lvlJc w:val="left"/>
      <w:pPr>
        <w:tabs>
          <w:tab w:val="num" w:pos="3600"/>
        </w:tabs>
        <w:ind w:left="3600" w:hanging="360"/>
      </w:pPr>
      <w:rPr>
        <w:rFonts w:ascii="Arial" w:hAnsi="Arial" w:hint="default"/>
      </w:rPr>
    </w:lvl>
    <w:lvl w:ilvl="5" w:tplc="B5981296" w:tentative="1">
      <w:start w:val="1"/>
      <w:numFmt w:val="bullet"/>
      <w:lvlText w:val="•"/>
      <w:lvlJc w:val="left"/>
      <w:pPr>
        <w:tabs>
          <w:tab w:val="num" w:pos="4320"/>
        </w:tabs>
        <w:ind w:left="4320" w:hanging="360"/>
      </w:pPr>
      <w:rPr>
        <w:rFonts w:ascii="Arial" w:hAnsi="Arial" w:hint="default"/>
      </w:rPr>
    </w:lvl>
    <w:lvl w:ilvl="6" w:tplc="688A0210" w:tentative="1">
      <w:start w:val="1"/>
      <w:numFmt w:val="bullet"/>
      <w:lvlText w:val="•"/>
      <w:lvlJc w:val="left"/>
      <w:pPr>
        <w:tabs>
          <w:tab w:val="num" w:pos="5040"/>
        </w:tabs>
        <w:ind w:left="5040" w:hanging="360"/>
      </w:pPr>
      <w:rPr>
        <w:rFonts w:ascii="Arial" w:hAnsi="Arial" w:hint="default"/>
      </w:rPr>
    </w:lvl>
    <w:lvl w:ilvl="7" w:tplc="710A1696" w:tentative="1">
      <w:start w:val="1"/>
      <w:numFmt w:val="bullet"/>
      <w:lvlText w:val="•"/>
      <w:lvlJc w:val="left"/>
      <w:pPr>
        <w:tabs>
          <w:tab w:val="num" w:pos="5760"/>
        </w:tabs>
        <w:ind w:left="5760" w:hanging="360"/>
      </w:pPr>
      <w:rPr>
        <w:rFonts w:ascii="Arial" w:hAnsi="Arial" w:hint="default"/>
      </w:rPr>
    </w:lvl>
    <w:lvl w:ilvl="8" w:tplc="00BEC8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A764F02"/>
    <w:multiLevelType w:val="hybridMultilevel"/>
    <w:tmpl w:val="668C6138"/>
    <w:lvl w:ilvl="0" w:tplc="2DCA1252">
      <w:start w:val="1"/>
      <w:numFmt w:val="bullet"/>
      <w:lvlText w:val="•"/>
      <w:lvlJc w:val="left"/>
      <w:pPr>
        <w:tabs>
          <w:tab w:val="num" w:pos="720"/>
        </w:tabs>
        <w:ind w:left="720" w:hanging="360"/>
      </w:pPr>
      <w:rPr>
        <w:rFonts w:ascii="Arial" w:hAnsi="Arial" w:hint="default"/>
      </w:rPr>
    </w:lvl>
    <w:lvl w:ilvl="1" w:tplc="1EBA1018">
      <w:start w:val="1"/>
      <w:numFmt w:val="bullet"/>
      <w:lvlText w:val="•"/>
      <w:lvlJc w:val="left"/>
      <w:pPr>
        <w:tabs>
          <w:tab w:val="num" w:pos="1440"/>
        </w:tabs>
        <w:ind w:left="1440" w:hanging="360"/>
      </w:pPr>
      <w:rPr>
        <w:rFonts w:ascii="Arial" w:hAnsi="Arial" w:hint="default"/>
      </w:rPr>
    </w:lvl>
    <w:lvl w:ilvl="2" w:tplc="BF56DC96" w:tentative="1">
      <w:start w:val="1"/>
      <w:numFmt w:val="bullet"/>
      <w:lvlText w:val="•"/>
      <w:lvlJc w:val="left"/>
      <w:pPr>
        <w:tabs>
          <w:tab w:val="num" w:pos="2160"/>
        </w:tabs>
        <w:ind w:left="2160" w:hanging="360"/>
      </w:pPr>
      <w:rPr>
        <w:rFonts w:ascii="Arial" w:hAnsi="Arial" w:hint="default"/>
      </w:rPr>
    </w:lvl>
    <w:lvl w:ilvl="3" w:tplc="F162C2CC" w:tentative="1">
      <w:start w:val="1"/>
      <w:numFmt w:val="bullet"/>
      <w:lvlText w:val="•"/>
      <w:lvlJc w:val="left"/>
      <w:pPr>
        <w:tabs>
          <w:tab w:val="num" w:pos="2880"/>
        </w:tabs>
        <w:ind w:left="2880" w:hanging="360"/>
      </w:pPr>
      <w:rPr>
        <w:rFonts w:ascii="Arial" w:hAnsi="Arial" w:hint="default"/>
      </w:rPr>
    </w:lvl>
    <w:lvl w:ilvl="4" w:tplc="BBBCC294" w:tentative="1">
      <w:start w:val="1"/>
      <w:numFmt w:val="bullet"/>
      <w:lvlText w:val="•"/>
      <w:lvlJc w:val="left"/>
      <w:pPr>
        <w:tabs>
          <w:tab w:val="num" w:pos="3600"/>
        </w:tabs>
        <w:ind w:left="3600" w:hanging="360"/>
      </w:pPr>
      <w:rPr>
        <w:rFonts w:ascii="Arial" w:hAnsi="Arial" w:hint="default"/>
      </w:rPr>
    </w:lvl>
    <w:lvl w:ilvl="5" w:tplc="3AAAF430" w:tentative="1">
      <w:start w:val="1"/>
      <w:numFmt w:val="bullet"/>
      <w:lvlText w:val="•"/>
      <w:lvlJc w:val="left"/>
      <w:pPr>
        <w:tabs>
          <w:tab w:val="num" w:pos="4320"/>
        </w:tabs>
        <w:ind w:left="4320" w:hanging="360"/>
      </w:pPr>
      <w:rPr>
        <w:rFonts w:ascii="Arial" w:hAnsi="Arial" w:hint="default"/>
      </w:rPr>
    </w:lvl>
    <w:lvl w:ilvl="6" w:tplc="9A180756" w:tentative="1">
      <w:start w:val="1"/>
      <w:numFmt w:val="bullet"/>
      <w:lvlText w:val="•"/>
      <w:lvlJc w:val="left"/>
      <w:pPr>
        <w:tabs>
          <w:tab w:val="num" w:pos="5040"/>
        </w:tabs>
        <w:ind w:left="5040" w:hanging="360"/>
      </w:pPr>
      <w:rPr>
        <w:rFonts w:ascii="Arial" w:hAnsi="Arial" w:hint="default"/>
      </w:rPr>
    </w:lvl>
    <w:lvl w:ilvl="7" w:tplc="BA9C8AD4" w:tentative="1">
      <w:start w:val="1"/>
      <w:numFmt w:val="bullet"/>
      <w:lvlText w:val="•"/>
      <w:lvlJc w:val="left"/>
      <w:pPr>
        <w:tabs>
          <w:tab w:val="num" w:pos="5760"/>
        </w:tabs>
        <w:ind w:left="5760" w:hanging="360"/>
      </w:pPr>
      <w:rPr>
        <w:rFonts w:ascii="Arial" w:hAnsi="Arial" w:hint="default"/>
      </w:rPr>
    </w:lvl>
    <w:lvl w:ilvl="8" w:tplc="65A4B54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E1E255C"/>
    <w:multiLevelType w:val="hybridMultilevel"/>
    <w:tmpl w:val="7AB4C0C8"/>
    <w:lvl w:ilvl="0" w:tplc="868E59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EF7178C"/>
    <w:multiLevelType w:val="hybridMultilevel"/>
    <w:tmpl w:val="1FCC5972"/>
    <w:lvl w:ilvl="0" w:tplc="D706B570">
      <w:start w:val="1"/>
      <w:numFmt w:val="upperLetter"/>
      <w:lvlText w:val="%1."/>
      <w:lvlJc w:val="left"/>
      <w:pPr>
        <w:ind w:left="360" w:hanging="360"/>
      </w:pPr>
      <w:rPr>
        <w:rFonts w:hint="default"/>
        <w:b/>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F8E4FC0"/>
    <w:multiLevelType w:val="hybridMultilevel"/>
    <w:tmpl w:val="331E57EE"/>
    <w:lvl w:ilvl="0" w:tplc="0409000F">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15:restartNumberingAfterBreak="0">
    <w:nsid w:val="1F954C8E"/>
    <w:multiLevelType w:val="hybridMultilevel"/>
    <w:tmpl w:val="7D940448"/>
    <w:lvl w:ilvl="0" w:tplc="E278D9B4">
      <w:start w:val="1"/>
      <w:numFmt w:val="decimal"/>
      <w:lvlText w:val="%1."/>
      <w:lvlJc w:val="left"/>
      <w:pPr>
        <w:ind w:left="336" w:hanging="36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20" w15:restartNumberingAfterBreak="0">
    <w:nsid w:val="298F7EA7"/>
    <w:multiLevelType w:val="hybridMultilevel"/>
    <w:tmpl w:val="2DA68F62"/>
    <w:lvl w:ilvl="0" w:tplc="0A909B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8F7036"/>
    <w:multiLevelType w:val="hybridMultilevel"/>
    <w:tmpl w:val="1084124E"/>
    <w:lvl w:ilvl="0" w:tplc="B96AA7D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03402D4"/>
    <w:multiLevelType w:val="hybridMultilevel"/>
    <w:tmpl w:val="05ACF14C"/>
    <w:lvl w:ilvl="0" w:tplc="8A94E33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F72119"/>
    <w:multiLevelType w:val="hybridMultilevel"/>
    <w:tmpl w:val="5FE64F9E"/>
    <w:lvl w:ilvl="0" w:tplc="955A0564">
      <w:start w:val="1"/>
      <w:numFmt w:val="bullet"/>
      <w:lvlText w:val="•"/>
      <w:lvlJc w:val="left"/>
      <w:pPr>
        <w:tabs>
          <w:tab w:val="num" w:pos="720"/>
        </w:tabs>
        <w:ind w:left="720" w:hanging="360"/>
      </w:pPr>
      <w:rPr>
        <w:rFonts w:ascii="Arial" w:hAnsi="Arial" w:hint="default"/>
      </w:rPr>
    </w:lvl>
    <w:lvl w:ilvl="1" w:tplc="4A0040EA">
      <w:start w:val="2108"/>
      <w:numFmt w:val="bullet"/>
      <w:lvlText w:val="•"/>
      <w:lvlJc w:val="left"/>
      <w:pPr>
        <w:tabs>
          <w:tab w:val="num" w:pos="1440"/>
        </w:tabs>
        <w:ind w:left="1440" w:hanging="360"/>
      </w:pPr>
      <w:rPr>
        <w:rFonts w:ascii="Arial" w:hAnsi="Arial" w:hint="default"/>
      </w:rPr>
    </w:lvl>
    <w:lvl w:ilvl="2" w:tplc="D60C1CB4" w:tentative="1">
      <w:start w:val="1"/>
      <w:numFmt w:val="bullet"/>
      <w:lvlText w:val="•"/>
      <w:lvlJc w:val="left"/>
      <w:pPr>
        <w:tabs>
          <w:tab w:val="num" w:pos="2160"/>
        </w:tabs>
        <w:ind w:left="2160" w:hanging="360"/>
      </w:pPr>
      <w:rPr>
        <w:rFonts w:ascii="Arial" w:hAnsi="Arial" w:hint="default"/>
      </w:rPr>
    </w:lvl>
    <w:lvl w:ilvl="3" w:tplc="91A8753C" w:tentative="1">
      <w:start w:val="1"/>
      <w:numFmt w:val="bullet"/>
      <w:lvlText w:val="•"/>
      <w:lvlJc w:val="left"/>
      <w:pPr>
        <w:tabs>
          <w:tab w:val="num" w:pos="2880"/>
        </w:tabs>
        <w:ind w:left="2880" w:hanging="360"/>
      </w:pPr>
      <w:rPr>
        <w:rFonts w:ascii="Arial" w:hAnsi="Arial" w:hint="default"/>
      </w:rPr>
    </w:lvl>
    <w:lvl w:ilvl="4" w:tplc="15CA2C0C" w:tentative="1">
      <w:start w:val="1"/>
      <w:numFmt w:val="bullet"/>
      <w:lvlText w:val="•"/>
      <w:lvlJc w:val="left"/>
      <w:pPr>
        <w:tabs>
          <w:tab w:val="num" w:pos="3600"/>
        </w:tabs>
        <w:ind w:left="3600" w:hanging="360"/>
      </w:pPr>
      <w:rPr>
        <w:rFonts w:ascii="Arial" w:hAnsi="Arial" w:hint="default"/>
      </w:rPr>
    </w:lvl>
    <w:lvl w:ilvl="5" w:tplc="226E1EF0" w:tentative="1">
      <w:start w:val="1"/>
      <w:numFmt w:val="bullet"/>
      <w:lvlText w:val="•"/>
      <w:lvlJc w:val="left"/>
      <w:pPr>
        <w:tabs>
          <w:tab w:val="num" w:pos="4320"/>
        </w:tabs>
        <w:ind w:left="4320" w:hanging="360"/>
      </w:pPr>
      <w:rPr>
        <w:rFonts w:ascii="Arial" w:hAnsi="Arial" w:hint="default"/>
      </w:rPr>
    </w:lvl>
    <w:lvl w:ilvl="6" w:tplc="3640C726" w:tentative="1">
      <w:start w:val="1"/>
      <w:numFmt w:val="bullet"/>
      <w:lvlText w:val="•"/>
      <w:lvlJc w:val="left"/>
      <w:pPr>
        <w:tabs>
          <w:tab w:val="num" w:pos="5040"/>
        </w:tabs>
        <w:ind w:left="5040" w:hanging="360"/>
      </w:pPr>
      <w:rPr>
        <w:rFonts w:ascii="Arial" w:hAnsi="Arial" w:hint="default"/>
      </w:rPr>
    </w:lvl>
    <w:lvl w:ilvl="7" w:tplc="90662A6C" w:tentative="1">
      <w:start w:val="1"/>
      <w:numFmt w:val="bullet"/>
      <w:lvlText w:val="•"/>
      <w:lvlJc w:val="left"/>
      <w:pPr>
        <w:tabs>
          <w:tab w:val="num" w:pos="5760"/>
        </w:tabs>
        <w:ind w:left="5760" w:hanging="360"/>
      </w:pPr>
      <w:rPr>
        <w:rFonts w:ascii="Arial" w:hAnsi="Arial" w:hint="default"/>
      </w:rPr>
    </w:lvl>
    <w:lvl w:ilvl="8" w:tplc="E68871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19C7A5C"/>
    <w:multiLevelType w:val="hybridMultilevel"/>
    <w:tmpl w:val="E8A0D9D8"/>
    <w:lvl w:ilvl="0" w:tplc="BAC6C86E">
      <w:start w:val="1"/>
      <w:numFmt w:val="decimal"/>
      <w:lvlText w:val="%1."/>
      <w:lvlJc w:val="left"/>
      <w:pPr>
        <w:ind w:left="894" w:hanging="360"/>
      </w:pPr>
      <w:rPr>
        <w:rFonts w:hint="default"/>
        <w:b w:val="0"/>
      </w:rPr>
    </w:lvl>
    <w:lvl w:ilvl="1" w:tplc="04090019">
      <w:start w:val="1"/>
      <w:numFmt w:val="lowerLetter"/>
      <w:lvlText w:val="%2."/>
      <w:lvlJc w:val="left"/>
      <w:pPr>
        <w:ind w:left="1614" w:hanging="360"/>
      </w:pPr>
    </w:lvl>
    <w:lvl w:ilvl="2" w:tplc="0409001B" w:tentative="1">
      <w:start w:val="1"/>
      <w:numFmt w:val="lowerRoman"/>
      <w:lvlText w:val="%3."/>
      <w:lvlJc w:val="right"/>
      <w:pPr>
        <w:ind w:left="2334" w:hanging="180"/>
      </w:pPr>
    </w:lvl>
    <w:lvl w:ilvl="3" w:tplc="0409000F" w:tentative="1">
      <w:start w:val="1"/>
      <w:numFmt w:val="decimal"/>
      <w:lvlText w:val="%4."/>
      <w:lvlJc w:val="left"/>
      <w:pPr>
        <w:ind w:left="3054" w:hanging="360"/>
      </w:pPr>
    </w:lvl>
    <w:lvl w:ilvl="4" w:tplc="04090019" w:tentative="1">
      <w:start w:val="1"/>
      <w:numFmt w:val="lowerLetter"/>
      <w:lvlText w:val="%5."/>
      <w:lvlJc w:val="left"/>
      <w:pPr>
        <w:ind w:left="3774" w:hanging="360"/>
      </w:pPr>
    </w:lvl>
    <w:lvl w:ilvl="5" w:tplc="0409001B" w:tentative="1">
      <w:start w:val="1"/>
      <w:numFmt w:val="lowerRoman"/>
      <w:lvlText w:val="%6."/>
      <w:lvlJc w:val="right"/>
      <w:pPr>
        <w:ind w:left="4494" w:hanging="180"/>
      </w:pPr>
    </w:lvl>
    <w:lvl w:ilvl="6" w:tplc="0409000F" w:tentative="1">
      <w:start w:val="1"/>
      <w:numFmt w:val="decimal"/>
      <w:lvlText w:val="%7."/>
      <w:lvlJc w:val="left"/>
      <w:pPr>
        <w:ind w:left="5214" w:hanging="360"/>
      </w:pPr>
    </w:lvl>
    <w:lvl w:ilvl="7" w:tplc="04090019" w:tentative="1">
      <w:start w:val="1"/>
      <w:numFmt w:val="lowerLetter"/>
      <w:lvlText w:val="%8."/>
      <w:lvlJc w:val="left"/>
      <w:pPr>
        <w:ind w:left="5934" w:hanging="360"/>
      </w:pPr>
    </w:lvl>
    <w:lvl w:ilvl="8" w:tplc="0409001B" w:tentative="1">
      <w:start w:val="1"/>
      <w:numFmt w:val="lowerRoman"/>
      <w:lvlText w:val="%9."/>
      <w:lvlJc w:val="right"/>
      <w:pPr>
        <w:ind w:left="6654" w:hanging="180"/>
      </w:pPr>
    </w:lvl>
  </w:abstractNum>
  <w:abstractNum w:abstractNumId="25" w15:restartNumberingAfterBreak="0">
    <w:nsid w:val="34B8400B"/>
    <w:multiLevelType w:val="hybridMultilevel"/>
    <w:tmpl w:val="926019F4"/>
    <w:lvl w:ilvl="0" w:tplc="22C68D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4DC0CB0"/>
    <w:multiLevelType w:val="hybridMultilevel"/>
    <w:tmpl w:val="32E4A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0F2C8E"/>
    <w:multiLevelType w:val="hybridMultilevel"/>
    <w:tmpl w:val="E8524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1A1AB5"/>
    <w:multiLevelType w:val="hybridMultilevel"/>
    <w:tmpl w:val="883CFA28"/>
    <w:lvl w:ilvl="0" w:tplc="79E269FE">
      <w:start w:val="1"/>
      <w:numFmt w:val="bullet"/>
      <w:lvlText w:val="•"/>
      <w:lvlJc w:val="left"/>
      <w:pPr>
        <w:tabs>
          <w:tab w:val="num" w:pos="720"/>
        </w:tabs>
        <w:ind w:left="720" w:hanging="360"/>
      </w:pPr>
      <w:rPr>
        <w:rFonts w:ascii="Arial" w:hAnsi="Arial" w:hint="default"/>
      </w:rPr>
    </w:lvl>
    <w:lvl w:ilvl="1" w:tplc="BC2455A6" w:tentative="1">
      <w:start w:val="1"/>
      <w:numFmt w:val="bullet"/>
      <w:lvlText w:val="•"/>
      <w:lvlJc w:val="left"/>
      <w:pPr>
        <w:tabs>
          <w:tab w:val="num" w:pos="1440"/>
        </w:tabs>
        <w:ind w:left="1440" w:hanging="360"/>
      </w:pPr>
      <w:rPr>
        <w:rFonts w:ascii="Arial" w:hAnsi="Arial" w:hint="default"/>
      </w:rPr>
    </w:lvl>
    <w:lvl w:ilvl="2" w:tplc="171AC916" w:tentative="1">
      <w:start w:val="1"/>
      <w:numFmt w:val="bullet"/>
      <w:lvlText w:val="•"/>
      <w:lvlJc w:val="left"/>
      <w:pPr>
        <w:tabs>
          <w:tab w:val="num" w:pos="2160"/>
        </w:tabs>
        <w:ind w:left="2160" w:hanging="360"/>
      </w:pPr>
      <w:rPr>
        <w:rFonts w:ascii="Arial" w:hAnsi="Arial" w:hint="default"/>
      </w:rPr>
    </w:lvl>
    <w:lvl w:ilvl="3" w:tplc="0EBA7256" w:tentative="1">
      <w:start w:val="1"/>
      <w:numFmt w:val="bullet"/>
      <w:lvlText w:val="•"/>
      <w:lvlJc w:val="left"/>
      <w:pPr>
        <w:tabs>
          <w:tab w:val="num" w:pos="2880"/>
        </w:tabs>
        <w:ind w:left="2880" w:hanging="360"/>
      </w:pPr>
      <w:rPr>
        <w:rFonts w:ascii="Arial" w:hAnsi="Arial" w:hint="default"/>
      </w:rPr>
    </w:lvl>
    <w:lvl w:ilvl="4" w:tplc="DB108BB8" w:tentative="1">
      <w:start w:val="1"/>
      <w:numFmt w:val="bullet"/>
      <w:lvlText w:val="•"/>
      <w:lvlJc w:val="left"/>
      <w:pPr>
        <w:tabs>
          <w:tab w:val="num" w:pos="3600"/>
        </w:tabs>
        <w:ind w:left="3600" w:hanging="360"/>
      </w:pPr>
      <w:rPr>
        <w:rFonts w:ascii="Arial" w:hAnsi="Arial" w:hint="default"/>
      </w:rPr>
    </w:lvl>
    <w:lvl w:ilvl="5" w:tplc="87FA209E" w:tentative="1">
      <w:start w:val="1"/>
      <w:numFmt w:val="bullet"/>
      <w:lvlText w:val="•"/>
      <w:lvlJc w:val="left"/>
      <w:pPr>
        <w:tabs>
          <w:tab w:val="num" w:pos="4320"/>
        </w:tabs>
        <w:ind w:left="4320" w:hanging="360"/>
      </w:pPr>
      <w:rPr>
        <w:rFonts w:ascii="Arial" w:hAnsi="Arial" w:hint="default"/>
      </w:rPr>
    </w:lvl>
    <w:lvl w:ilvl="6" w:tplc="A9DCD14A" w:tentative="1">
      <w:start w:val="1"/>
      <w:numFmt w:val="bullet"/>
      <w:lvlText w:val="•"/>
      <w:lvlJc w:val="left"/>
      <w:pPr>
        <w:tabs>
          <w:tab w:val="num" w:pos="5040"/>
        </w:tabs>
        <w:ind w:left="5040" w:hanging="360"/>
      </w:pPr>
      <w:rPr>
        <w:rFonts w:ascii="Arial" w:hAnsi="Arial" w:hint="default"/>
      </w:rPr>
    </w:lvl>
    <w:lvl w:ilvl="7" w:tplc="794838DC" w:tentative="1">
      <w:start w:val="1"/>
      <w:numFmt w:val="bullet"/>
      <w:lvlText w:val="•"/>
      <w:lvlJc w:val="left"/>
      <w:pPr>
        <w:tabs>
          <w:tab w:val="num" w:pos="5760"/>
        </w:tabs>
        <w:ind w:left="5760" w:hanging="360"/>
      </w:pPr>
      <w:rPr>
        <w:rFonts w:ascii="Arial" w:hAnsi="Arial" w:hint="default"/>
      </w:rPr>
    </w:lvl>
    <w:lvl w:ilvl="8" w:tplc="D8B8A7B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0A70B32"/>
    <w:multiLevelType w:val="hybridMultilevel"/>
    <w:tmpl w:val="910C0F90"/>
    <w:lvl w:ilvl="0" w:tplc="66D696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CF7526"/>
    <w:multiLevelType w:val="hybridMultilevel"/>
    <w:tmpl w:val="6596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416011"/>
    <w:multiLevelType w:val="hybridMultilevel"/>
    <w:tmpl w:val="47A62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662E7D"/>
    <w:multiLevelType w:val="hybridMultilevel"/>
    <w:tmpl w:val="28163400"/>
    <w:lvl w:ilvl="0" w:tplc="6CC428B6">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184CFE"/>
    <w:multiLevelType w:val="hybridMultilevel"/>
    <w:tmpl w:val="C5C25480"/>
    <w:lvl w:ilvl="0" w:tplc="0956802E">
      <w:start w:val="1"/>
      <w:numFmt w:val="bullet"/>
      <w:lvlText w:val="•"/>
      <w:lvlJc w:val="left"/>
      <w:pPr>
        <w:tabs>
          <w:tab w:val="num" w:pos="720"/>
        </w:tabs>
        <w:ind w:left="720" w:hanging="360"/>
      </w:pPr>
      <w:rPr>
        <w:rFonts w:ascii="Arial" w:hAnsi="Arial" w:hint="default"/>
      </w:rPr>
    </w:lvl>
    <w:lvl w:ilvl="1" w:tplc="089CCA1E">
      <w:start w:val="1"/>
      <w:numFmt w:val="bullet"/>
      <w:lvlText w:val="•"/>
      <w:lvlJc w:val="left"/>
      <w:pPr>
        <w:tabs>
          <w:tab w:val="num" w:pos="1440"/>
        </w:tabs>
        <w:ind w:left="1440" w:hanging="360"/>
      </w:pPr>
      <w:rPr>
        <w:rFonts w:ascii="Arial" w:hAnsi="Arial" w:hint="default"/>
      </w:rPr>
    </w:lvl>
    <w:lvl w:ilvl="2" w:tplc="65FE545A" w:tentative="1">
      <w:start w:val="1"/>
      <w:numFmt w:val="bullet"/>
      <w:lvlText w:val="•"/>
      <w:lvlJc w:val="left"/>
      <w:pPr>
        <w:tabs>
          <w:tab w:val="num" w:pos="2160"/>
        </w:tabs>
        <w:ind w:left="2160" w:hanging="360"/>
      </w:pPr>
      <w:rPr>
        <w:rFonts w:ascii="Arial" w:hAnsi="Arial" w:hint="default"/>
      </w:rPr>
    </w:lvl>
    <w:lvl w:ilvl="3" w:tplc="822C7900" w:tentative="1">
      <w:start w:val="1"/>
      <w:numFmt w:val="bullet"/>
      <w:lvlText w:val="•"/>
      <w:lvlJc w:val="left"/>
      <w:pPr>
        <w:tabs>
          <w:tab w:val="num" w:pos="2880"/>
        </w:tabs>
        <w:ind w:left="2880" w:hanging="360"/>
      </w:pPr>
      <w:rPr>
        <w:rFonts w:ascii="Arial" w:hAnsi="Arial" w:hint="default"/>
      </w:rPr>
    </w:lvl>
    <w:lvl w:ilvl="4" w:tplc="9808D8C8" w:tentative="1">
      <w:start w:val="1"/>
      <w:numFmt w:val="bullet"/>
      <w:lvlText w:val="•"/>
      <w:lvlJc w:val="left"/>
      <w:pPr>
        <w:tabs>
          <w:tab w:val="num" w:pos="3600"/>
        </w:tabs>
        <w:ind w:left="3600" w:hanging="360"/>
      </w:pPr>
      <w:rPr>
        <w:rFonts w:ascii="Arial" w:hAnsi="Arial" w:hint="default"/>
      </w:rPr>
    </w:lvl>
    <w:lvl w:ilvl="5" w:tplc="0AE8CABE" w:tentative="1">
      <w:start w:val="1"/>
      <w:numFmt w:val="bullet"/>
      <w:lvlText w:val="•"/>
      <w:lvlJc w:val="left"/>
      <w:pPr>
        <w:tabs>
          <w:tab w:val="num" w:pos="4320"/>
        </w:tabs>
        <w:ind w:left="4320" w:hanging="360"/>
      </w:pPr>
      <w:rPr>
        <w:rFonts w:ascii="Arial" w:hAnsi="Arial" w:hint="default"/>
      </w:rPr>
    </w:lvl>
    <w:lvl w:ilvl="6" w:tplc="73CCE296" w:tentative="1">
      <w:start w:val="1"/>
      <w:numFmt w:val="bullet"/>
      <w:lvlText w:val="•"/>
      <w:lvlJc w:val="left"/>
      <w:pPr>
        <w:tabs>
          <w:tab w:val="num" w:pos="5040"/>
        </w:tabs>
        <w:ind w:left="5040" w:hanging="360"/>
      </w:pPr>
      <w:rPr>
        <w:rFonts w:ascii="Arial" w:hAnsi="Arial" w:hint="default"/>
      </w:rPr>
    </w:lvl>
    <w:lvl w:ilvl="7" w:tplc="5404AF90" w:tentative="1">
      <w:start w:val="1"/>
      <w:numFmt w:val="bullet"/>
      <w:lvlText w:val="•"/>
      <w:lvlJc w:val="left"/>
      <w:pPr>
        <w:tabs>
          <w:tab w:val="num" w:pos="5760"/>
        </w:tabs>
        <w:ind w:left="5760" w:hanging="360"/>
      </w:pPr>
      <w:rPr>
        <w:rFonts w:ascii="Arial" w:hAnsi="Arial" w:hint="default"/>
      </w:rPr>
    </w:lvl>
    <w:lvl w:ilvl="8" w:tplc="C9A8BE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A560CEF"/>
    <w:multiLevelType w:val="hybridMultilevel"/>
    <w:tmpl w:val="C5025FCC"/>
    <w:lvl w:ilvl="0" w:tplc="56EE67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BA12972"/>
    <w:multiLevelType w:val="hybridMultilevel"/>
    <w:tmpl w:val="799A6ABC"/>
    <w:lvl w:ilvl="0" w:tplc="0E16C112">
      <w:start w:val="1"/>
      <w:numFmt w:val="upperLetter"/>
      <w:pStyle w:val="Heading1"/>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CB2012"/>
    <w:multiLevelType w:val="hybridMultilevel"/>
    <w:tmpl w:val="D5B87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1720F4"/>
    <w:multiLevelType w:val="hybridMultilevel"/>
    <w:tmpl w:val="11CE6808"/>
    <w:lvl w:ilvl="0" w:tplc="45BC97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BD012A5"/>
    <w:multiLevelType w:val="hybridMultilevel"/>
    <w:tmpl w:val="FF9CBB16"/>
    <w:lvl w:ilvl="0" w:tplc="E1B804EA">
      <w:start w:val="1"/>
      <w:numFmt w:val="bullet"/>
      <w:lvlText w:val="•"/>
      <w:lvlJc w:val="left"/>
      <w:pPr>
        <w:tabs>
          <w:tab w:val="num" w:pos="720"/>
        </w:tabs>
        <w:ind w:left="720" w:hanging="360"/>
      </w:pPr>
      <w:rPr>
        <w:rFonts w:ascii="Arial" w:hAnsi="Arial" w:hint="default"/>
      </w:rPr>
    </w:lvl>
    <w:lvl w:ilvl="1" w:tplc="E5EC1CF8">
      <w:start w:val="1"/>
      <w:numFmt w:val="bullet"/>
      <w:lvlText w:val="•"/>
      <w:lvlJc w:val="left"/>
      <w:pPr>
        <w:tabs>
          <w:tab w:val="num" w:pos="1440"/>
        </w:tabs>
        <w:ind w:left="1440" w:hanging="360"/>
      </w:pPr>
      <w:rPr>
        <w:rFonts w:ascii="Arial" w:hAnsi="Arial" w:hint="default"/>
      </w:rPr>
    </w:lvl>
    <w:lvl w:ilvl="2" w:tplc="C00AF8CC" w:tentative="1">
      <w:start w:val="1"/>
      <w:numFmt w:val="bullet"/>
      <w:lvlText w:val="•"/>
      <w:lvlJc w:val="left"/>
      <w:pPr>
        <w:tabs>
          <w:tab w:val="num" w:pos="2160"/>
        </w:tabs>
        <w:ind w:left="2160" w:hanging="360"/>
      </w:pPr>
      <w:rPr>
        <w:rFonts w:ascii="Arial" w:hAnsi="Arial" w:hint="default"/>
      </w:rPr>
    </w:lvl>
    <w:lvl w:ilvl="3" w:tplc="635C2F4E" w:tentative="1">
      <w:start w:val="1"/>
      <w:numFmt w:val="bullet"/>
      <w:lvlText w:val="•"/>
      <w:lvlJc w:val="left"/>
      <w:pPr>
        <w:tabs>
          <w:tab w:val="num" w:pos="2880"/>
        </w:tabs>
        <w:ind w:left="2880" w:hanging="360"/>
      </w:pPr>
      <w:rPr>
        <w:rFonts w:ascii="Arial" w:hAnsi="Arial" w:hint="default"/>
      </w:rPr>
    </w:lvl>
    <w:lvl w:ilvl="4" w:tplc="23D06F04" w:tentative="1">
      <w:start w:val="1"/>
      <w:numFmt w:val="bullet"/>
      <w:lvlText w:val="•"/>
      <w:lvlJc w:val="left"/>
      <w:pPr>
        <w:tabs>
          <w:tab w:val="num" w:pos="3600"/>
        </w:tabs>
        <w:ind w:left="3600" w:hanging="360"/>
      </w:pPr>
      <w:rPr>
        <w:rFonts w:ascii="Arial" w:hAnsi="Arial" w:hint="default"/>
      </w:rPr>
    </w:lvl>
    <w:lvl w:ilvl="5" w:tplc="48A8DDF0" w:tentative="1">
      <w:start w:val="1"/>
      <w:numFmt w:val="bullet"/>
      <w:lvlText w:val="•"/>
      <w:lvlJc w:val="left"/>
      <w:pPr>
        <w:tabs>
          <w:tab w:val="num" w:pos="4320"/>
        </w:tabs>
        <w:ind w:left="4320" w:hanging="360"/>
      </w:pPr>
      <w:rPr>
        <w:rFonts w:ascii="Arial" w:hAnsi="Arial" w:hint="default"/>
      </w:rPr>
    </w:lvl>
    <w:lvl w:ilvl="6" w:tplc="E534BB90" w:tentative="1">
      <w:start w:val="1"/>
      <w:numFmt w:val="bullet"/>
      <w:lvlText w:val="•"/>
      <w:lvlJc w:val="left"/>
      <w:pPr>
        <w:tabs>
          <w:tab w:val="num" w:pos="5040"/>
        </w:tabs>
        <w:ind w:left="5040" w:hanging="360"/>
      </w:pPr>
      <w:rPr>
        <w:rFonts w:ascii="Arial" w:hAnsi="Arial" w:hint="default"/>
      </w:rPr>
    </w:lvl>
    <w:lvl w:ilvl="7" w:tplc="3AECD790" w:tentative="1">
      <w:start w:val="1"/>
      <w:numFmt w:val="bullet"/>
      <w:lvlText w:val="•"/>
      <w:lvlJc w:val="left"/>
      <w:pPr>
        <w:tabs>
          <w:tab w:val="num" w:pos="5760"/>
        </w:tabs>
        <w:ind w:left="5760" w:hanging="360"/>
      </w:pPr>
      <w:rPr>
        <w:rFonts w:ascii="Arial" w:hAnsi="Arial" w:hint="default"/>
      </w:rPr>
    </w:lvl>
    <w:lvl w:ilvl="8" w:tplc="3F2851D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C4E6EF1"/>
    <w:multiLevelType w:val="hybridMultilevel"/>
    <w:tmpl w:val="BCB270AE"/>
    <w:lvl w:ilvl="0" w:tplc="65DADB12">
      <w:start w:val="1"/>
      <w:numFmt w:val="bullet"/>
      <w:lvlText w:val="•"/>
      <w:lvlJc w:val="left"/>
      <w:pPr>
        <w:tabs>
          <w:tab w:val="num" w:pos="720"/>
        </w:tabs>
        <w:ind w:left="720" w:hanging="360"/>
      </w:pPr>
      <w:rPr>
        <w:rFonts w:ascii="Arial" w:hAnsi="Arial" w:hint="default"/>
      </w:rPr>
    </w:lvl>
    <w:lvl w:ilvl="1" w:tplc="DF08D6AE">
      <w:start w:val="1"/>
      <w:numFmt w:val="bullet"/>
      <w:lvlText w:val="•"/>
      <w:lvlJc w:val="left"/>
      <w:pPr>
        <w:tabs>
          <w:tab w:val="num" w:pos="1440"/>
        </w:tabs>
        <w:ind w:left="1440" w:hanging="360"/>
      </w:pPr>
      <w:rPr>
        <w:rFonts w:ascii="Arial" w:hAnsi="Arial" w:hint="default"/>
      </w:rPr>
    </w:lvl>
    <w:lvl w:ilvl="2" w:tplc="8ECCC3E0" w:tentative="1">
      <w:start w:val="1"/>
      <w:numFmt w:val="bullet"/>
      <w:lvlText w:val="•"/>
      <w:lvlJc w:val="left"/>
      <w:pPr>
        <w:tabs>
          <w:tab w:val="num" w:pos="2160"/>
        </w:tabs>
        <w:ind w:left="2160" w:hanging="360"/>
      </w:pPr>
      <w:rPr>
        <w:rFonts w:ascii="Arial" w:hAnsi="Arial" w:hint="default"/>
      </w:rPr>
    </w:lvl>
    <w:lvl w:ilvl="3" w:tplc="F40897F2" w:tentative="1">
      <w:start w:val="1"/>
      <w:numFmt w:val="bullet"/>
      <w:lvlText w:val="•"/>
      <w:lvlJc w:val="left"/>
      <w:pPr>
        <w:tabs>
          <w:tab w:val="num" w:pos="2880"/>
        </w:tabs>
        <w:ind w:left="2880" w:hanging="360"/>
      </w:pPr>
      <w:rPr>
        <w:rFonts w:ascii="Arial" w:hAnsi="Arial" w:hint="default"/>
      </w:rPr>
    </w:lvl>
    <w:lvl w:ilvl="4" w:tplc="B3F44A88" w:tentative="1">
      <w:start w:val="1"/>
      <w:numFmt w:val="bullet"/>
      <w:lvlText w:val="•"/>
      <w:lvlJc w:val="left"/>
      <w:pPr>
        <w:tabs>
          <w:tab w:val="num" w:pos="3600"/>
        </w:tabs>
        <w:ind w:left="3600" w:hanging="360"/>
      </w:pPr>
      <w:rPr>
        <w:rFonts w:ascii="Arial" w:hAnsi="Arial" w:hint="default"/>
      </w:rPr>
    </w:lvl>
    <w:lvl w:ilvl="5" w:tplc="DA34A540" w:tentative="1">
      <w:start w:val="1"/>
      <w:numFmt w:val="bullet"/>
      <w:lvlText w:val="•"/>
      <w:lvlJc w:val="left"/>
      <w:pPr>
        <w:tabs>
          <w:tab w:val="num" w:pos="4320"/>
        </w:tabs>
        <w:ind w:left="4320" w:hanging="360"/>
      </w:pPr>
      <w:rPr>
        <w:rFonts w:ascii="Arial" w:hAnsi="Arial" w:hint="default"/>
      </w:rPr>
    </w:lvl>
    <w:lvl w:ilvl="6" w:tplc="03483E1A" w:tentative="1">
      <w:start w:val="1"/>
      <w:numFmt w:val="bullet"/>
      <w:lvlText w:val="•"/>
      <w:lvlJc w:val="left"/>
      <w:pPr>
        <w:tabs>
          <w:tab w:val="num" w:pos="5040"/>
        </w:tabs>
        <w:ind w:left="5040" w:hanging="360"/>
      </w:pPr>
      <w:rPr>
        <w:rFonts w:ascii="Arial" w:hAnsi="Arial" w:hint="default"/>
      </w:rPr>
    </w:lvl>
    <w:lvl w:ilvl="7" w:tplc="B734D086" w:tentative="1">
      <w:start w:val="1"/>
      <w:numFmt w:val="bullet"/>
      <w:lvlText w:val="•"/>
      <w:lvlJc w:val="left"/>
      <w:pPr>
        <w:tabs>
          <w:tab w:val="num" w:pos="5760"/>
        </w:tabs>
        <w:ind w:left="5760" w:hanging="360"/>
      </w:pPr>
      <w:rPr>
        <w:rFonts w:ascii="Arial" w:hAnsi="Arial" w:hint="default"/>
      </w:rPr>
    </w:lvl>
    <w:lvl w:ilvl="8" w:tplc="2B1E652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D9C7B07"/>
    <w:multiLevelType w:val="hybridMultilevel"/>
    <w:tmpl w:val="293AFED8"/>
    <w:lvl w:ilvl="0" w:tplc="54F84836">
      <w:start w:val="1"/>
      <w:numFmt w:val="bullet"/>
      <w:lvlText w:val="•"/>
      <w:lvlJc w:val="left"/>
      <w:pPr>
        <w:tabs>
          <w:tab w:val="num" w:pos="720"/>
        </w:tabs>
        <w:ind w:left="720" w:hanging="360"/>
      </w:pPr>
      <w:rPr>
        <w:rFonts w:ascii="Arial" w:hAnsi="Arial" w:hint="default"/>
      </w:rPr>
    </w:lvl>
    <w:lvl w:ilvl="1" w:tplc="C7BE72FE">
      <w:start w:val="1"/>
      <w:numFmt w:val="bullet"/>
      <w:lvlText w:val="•"/>
      <w:lvlJc w:val="left"/>
      <w:pPr>
        <w:tabs>
          <w:tab w:val="num" w:pos="1440"/>
        </w:tabs>
        <w:ind w:left="1440" w:hanging="360"/>
      </w:pPr>
      <w:rPr>
        <w:rFonts w:ascii="Arial" w:hAnsi="Arial" w:hint="default"/>
      </w:rPr>
    </w:lvl>
    <w:lvl w:ilvl="2" w:tplc="13A6110E" w:tentative="1">
      <w:start w:val="1"/>
      <w:numFmt w:val="bullet"/>
      <w:lvlText w:val="•"/>
      <w:lvlJc w:val="left"/>
      <w:pPr>
        <w:tabs>
          <w:tab w:val="num" w:pos="2160"/>
        </w:tabs>
        <w:ind w:left="2160" w:hanging="360"/>
      </w:pPr>
      <w:rPr>
        <w:rFonts w:ascii="Arial" w:hAnsi="Arial" w:hint="default"/>
      </w:rPr>
    </w:lvl>
    <w:lvl w:ilvl="3" w:tplc="94FE3E48" w:tentative="1">
      <w:start w:val="1"/>
      <w:numFmt w:val="bullet"/>
      <w:lvlText w:val="•"/>
      <w:lvlJc w:val="left"/>
      <w:pPr>
        <w:tabs>
          <w:tab w:val="num" w:pos="2880"/>
        </w:tabs>
        <w:ind w:left="2880" w:hanging="360"/>
      </w:pPr>
      <w:rPr>
        <w:rFonts w:ascii="Arial" w:hAnsi="Arial" w:hint="default"/>
      </w:rPr>
    </w:lvl>
    <w:lvl w:ilvl="4" w:tplc="AF4C9A28" w:tentative="1">
      <w:start w:val="1"/>
      <w:numFmt w:val="bullet"/>
      <w:lvlText w:val="•"/>
      <w:lvlJc w:val="left"/>
      <w:pPr>
        <w:tabs>
          <w:tab w:val="num" w:pos="3600"/>
        </w:tabs>
        <w:ind w:left="3600" w:hanging="360"/>
      </w:pPr>
      <w:rPr>
        <w:rFonts w:ascii="Arial" w:hAnsi="Arial" w:hint="default"/>
      </w:rPr>
    </w:lvl>
    <w:lvl w:ilvl="5" w:tplc="8FEA75A4" w:tentative="1">
      <w:start w:val="1"/>
      <w:numFmt w:val="bullet"/>
      <w:lvlText w:val="•"/>
      <w:lvlJc w:val="left"/>
      <w:pPr>
        <w:tabs>
          <w:tab w:val="num" w:pos="4320"/>
        </w:tabs>
        <w:ind w:left="4320" w:hanging="360"/>
      </w:pPr>
      <w:rPr>
        <w:rFonts w:ascii="Arial" w:hAnsi="Arial" w:hint="default"/>
      </w:rPr>
    </w:lvl>
    <w:lvl w:ilvl="6" w:tplc="B4FCA1B4" w:tentative="1">
      <w:start w:val="1"/>
      <w:numFmt w:val="bullet"/>
      <w:lvlText w:val="•"/>
      <w:lvlJc w:val="left"/>
      <w:pPr>
        <w:tabs>
          <w:tab w:val="num" w:pos="5040"/>
        </w:tabs>
        <w:ind w:left="5040" w:hanging="360"/>
      </w:pPr>
      <w:rPr>
        <w:rFonts w:ascii="Arial" w:hAnsi="Arial" w:hint="default"/>
      </w:rPr>
    </w:lvl>
    <w:lvl w:ilvl="7" w:tplc="ECD2DF08" w:tentative="1">
      <w:start w:val="1"/>
      <w:numFmt w:val="bullet"/>
      <w:lvlText w:val="•"/>
      <w:lvlJc w:val="left"/>
      <w:pPr>
        <w:tabs>
          <w:tab w:val="num" w:pos="5760"/>
        </w:tabs>
        <w:ind w:left="5760" w:hanging="360"/>
      </w:pPr>
      <w:rPr>
        <w:rFonts w:ascii="Arial" w:hAnsi="Arial" w:hint="default"/>
      </w:rPr>
    </w:lvl>
    <w:lvl w:ilvl="8" w:tplc="CD50242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0282083"/>
    <w:multiLevelType w:val="hybridMultilevel"/>
    <w:tmpl w:val="19F060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387CEB"/>
    <w:multiLevelType w:val="hybridMultilevel"/>
    <w:tmpl w:val="DEB8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081A3A"/>
    <w:multiLevelType w:val="multilevel"/>
    <w:tmpl w:val="C90E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41F4924"/>
    <w:multiLevelType w:val="hybridMultilevel"/>
    <w:tmpl w:val="439E7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1E6E35"/>
    <w:multiLevelType w:val="hybridMultilevel"/>
    <w:tmpl w:val="6234CEAA"/>
    <w:lvl w:ilvl="0" w:tplc="049AE69A">
      <w:start w:val="1"/>
      <w:numFmt w:val="bullet"/>
      <w:lvlText w:val="•"/>
      <w:lvlJc w:val="left"/>
      <w:pPr>
        <w:tabs>
          <w:tab w:val="num" w:pos="720"/>
        </w:tabs>
        <w:ind w:left="720" w:hanging="360"/>
      </w:pPr>
      <w:rPr>
        <w:rFonts w:ascii="Arial" w:hAnsi="Arial" w:hint="default"/>
      </w:rPr>
    </w:lvl>
    <w:lvl w:ilvl="1" w:tplc="2508FF8A" w:tentative="1">
      <w:start w:val="1"/>
      <w:numFmt w:val="bullet"/>
      <w:lvlText w:val="•"/>
      <w:lvlJc w:val="left"/>
      <w:pPr>
        <w:tabs>
          <w:tab w:val="num" w:pos="1440"/>
        </w:tabs>
        <w:ind w:left="1440" w:hanging="360"/>
      </w:pPr>
      <w:rPr>
        <w:rFonts w:ascii="Arial" w:hAnsi="Arial" w:hint="default"/>
      </w:rPr>
    </w:lvl>
    <w:lvl w:ilvl="2" w:tplc="0F78C0D2" w:tentative="1">
      <w:start w:val="1"/>
      <w:numFmt w:val="bullet"/>
      <w:lvlText w:val="•"/>
      <w:lvlJc w:val="left"/>
      <w:pPr>
        <w:tabs>
          <w:tab w:val="num" w:pos="2160"/>
        </w:tabs>
        <w:ind w:left="2160" w:hanging="360"/>
      </w:pPr>
      <w:rPr>
        <w:rFonts w:ascii="Arial" w:hAnsi="Arial" w:hint="default"/>
      </w:rPr>
    </w:lvl>
    <w:lvl w:ilvl="3" w:tplc="CA662ACC" w:tentative="1">
      <w:start w:val="1"/>
      <w:numFmt w:val="bullet"/>
      <w:lvlText w:val="•"/>
      <w:lvlJc w:val="left"/>
      <w:pPr>
        <w:tabs>
          <w:tab w:val="num" w:pos="2880"/>
        </w:tabs>
        <w:ind w:left="2880" w:hanging="360"/>
      </w:pPr>
      <w:rPr>
        <w:rFonts w:ascii="Arial" w:hAnsi="Arial" w:hint="default"/>
      </w:rPr>
    </w:lvl>
    <w:lvl w:ilvl="4" w:tplc="3336E4B8" w:tentative="1">
      <w:start w:val="1"/>
      <w:numFmt w:val="bullet"/>
      <w:lvlText w:val="•"/>
      <w:lvlJc w:val="left"/>
      <w:pPr>
        <w:tabs>
          <w:tab w:val="num" w:pos="3600"/>
        </w:tabs>
        <w:ind w:left="3600" w:hanging="360"/>
      </w:pPr>
      <w:rPr>
        <w:rFonts w:ascii="Arial" w:hAnsi="Arial" w:hint="default"/>
      </w:rPr>
    </w:lvl>
    <w:lvl w:ilvl="5" w:tplc="180847CA" w:tentative="1">
      <w:start w:val="1"/>
      <w:numFmt w:val="bullet"/>
      <w:lvlText w:val="•"/>
      <w:lvlJc w:val="left"/>
      <w:pPr>
        <w:tabs>
          <w:tab w:val="num" w:pos="4320"/>
        </w:tabs>
        <w:ind w:left="4320" w:hanging="360"/>
      </w:pPr>
      <w:rPr>
        <w:rFonts w:ascii="Arial" w:hAnsi="Arial" w:hint="default"/>
      </w:rPr>
    </w:lvl>
    <w:lvl w:ilvl="6" w:tplc="849AA780" w:tentative="1">
      <w:start w:val="1"/>
      <w:numFmt w:val="bullet"/>
      <w:lvlText w:val="•"/>
      <w:lvlJc w:val="left"/>
      <w:pPr>
        <w:tabs>
          <w:tab w:val="num" w:pos="5040"/>
        </w:tabs>
        <w:ind w:left="5040" w:hanging="360"/>
      </w:pPr>
      <w:rPr>
        <w:rFonts w:ascii="Arial" w:hAnsi="Arial" w:hint="default"/>
      </w:rPr>
    </w:lvl>
    <w:lvl w:ilvl="7" w:tplc="80E446EC" w:tentative="1">
      <w:start w:val="1"/>
      <w:numFmt w:val="bullet"/>
      <w:lvlText w:val="•"/>
      <w:lvlJc w:val="left"/>
      <w:pPr>
        <w:tabs>
          <w:tab w:val="num" w:pos="5760"/>
        </w:tabs>
        <w:ind w:left="5760" w:hanging="360"/>
      </w:pPr>
      <w:rPr>
        <w:rFonts w:ascii="Arial" w:hAnsi="Arial" w:hint="default"/>
      </w:rPr>
    </w:lvl>
    <w:lvl w:ilvl="8" w:tplc="5144F6D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53616A2"/>
    <w:multiLevelType w:val="hybridMultilevel"/>
    <w:tmpl w:val="160E85B4"/>
    <w:lvl w:ilvl="0" w:tplc="AEC2F914">
      <w:start w:val="1"/>
      <w:numFmt w:val="bullet"/>
      <w:lvlText w:val="•"/>
      <w:lvlJc w:val="left"/>
      <w:pPr>
        <w:tabs>
          <w:tab w:val="num" w:pos="720"/>
        </w:tabs>
        <w:ind w:left="720" w:hanging="360"/>
      </w:pPr>
      <w:rPr>
        <w:rFonts w:ascii="Arial" w:hAnsi="Arial" w:hint="default"/>
      </w:rPr>
    </w:lvl>
    <w:lvl w:ilvl="1" w:tplc="1E6C99A0" w:tentative="1">
      <w:start w:val="1"/>
      <w:numFmt w:val="bullet"/>
      <w:lvlText w:val="•"/>
      <w:lvlJc w:val="left"/>
      <w:pPr>
        <w:tabs>
          <w:tab w:val="num" w:pos="1440"/>
        </w:tabs>
        <w:ind w:left="1440" w:hanging="360"/>
      </w:pPr>
      <w:rPr>
        <w:rFonts w:ascii="Arial" w:hAnsi="Arial" w:hint="default"/>
      </w:rPr>
    </w:lvl>
    <w:lvl w:ilvl="2" w:tplc="0D74A0F2" w:tentative="1">
      <w:start w:val="1"/>
      <w:numFmt w:val="bullet"/>
      <w:lvlText w:val="•"/>
      <w:lvlJc w:val="left"/>
      <w:pPr>
        <w:tabs>
          <w:tab w:val="num" w:pos="2160"/>
        </w:tabs>
        <w:ind w:left="2160" w:hanging="360"/>
      </w:pPr>
      <w:rPr>
        <w:rFonts w:ascii="Arial" w:hAnsi="Arial" w:hint="default"/>
      </w:rPr>
    </w:lvl>
    <w:lvl w:ilvl="3" w:tplc="DC9CF6A6" w:tentative="1">
      <w:start w:val="1"/>
      <w:numFmt w:val="bullet"/>
      <w:lvlText w:val="•"/>
      <w:lvlJc w:val="left"/>
      <w:pPr>
        <w:tabs>
          <w:tab w:val="num" w:pos="2880"/>
        </w:tabs>
        <w:ind w:left="2880" w:hanging="360"/>
      </w:pPr>
      <w:rPr>
        <w:rFonts w:ascii="Arial" w:hAnsi="Arial" w:hint="default"/>
      </w:rPr>
    </w:lvl>
    <w:lvl w:ilvl="4" w:tplc="D4124C6C" w:tentative="1">
      <w:start w:val="1"/>
      <w:numFmt w:val="bullet"/>
      <w:lvlText w:val="•"/>
      <w:lvlJc w:val="left"/>
      <w:pPr>
        <w:tabs>
          <w:tab w:val="num" w:pos="3600"/>
        </w:tabs>
        <w:ind w:left="3600" w:hanging="360"/>
      </w:pPr>
      <w:rPr>
        <w:rFonts w:ascii="Arial" w:hAnsi="Arial" w:hint="default"/>
      </w:rPr>
    </w:lvl>
    <w:lvl w:ilvl="5" w:tplc="460E12AE" w:tentative="1">
      <w:start w:val="1"/>
      <w:numFmt w:val="bullet"/>
      <w:lvlText w:val="•"/>
      <w:lvlJc w:val="left"/>
      <w:pPr>
        <w:tabs>
          <w:tab w:val="num" w:pos="4320"/>
        </w:tabs>
        <w:ind w:left="4320" w:hanging="360"/>
      </w:pPr>
      <w:rPr>
        <w:rFonts w:ascii="Arial" w:hAnsi="Arial" w:hint="default"/>
      </w:rPr>
    </w:lvl>
    <w:lvl w:ilvl="6" w:tplc="E3689DB6" w:tentative="1">
      <w:start w:val="1"/>
      <w:numFmt w:val="bullet"/>
      <w:lvlText w:val="•"/>
      <w:lvlJc w:val="left"/>
      <w:pPr>
        <w:tabs>
          <w:tab w:val="num" w:pos="5040"/>
        </w:tabs>
        <w:ind w:left="5040" w:hanging="360"/>
      </w:pPr>
      <w:rPr>
        <w:rFonts w:ascii="Arial" w:hAnsi="Arial" w:hint="default"/>
      </w:rPr>
    </w:lvl>
    <w:lvl w:ilvl="7" w:tplc="DCFEA2EA" w:tentative="1">
      <w:start w:val="1"/>
      <w:numFmt w:val="bullet"/>
      <w:lvlText w:val="•"/>
      <w:lvlJc w:val="left"/>
      <w:pPr>
        <w:tabs>
          <w:tab w:val="num" w:pos="5760"/>
        </w:tabs>
        <w:ind w:left="5760" w:hanging="360"/>
      </w:pPr>
      <w:rPr>
        <w:rFonts w:ascii="Arial" w:hAnsi="Arial" w:hint="default"/>
      </w:rPr>
    </w:lvl>
    <w:lvl w:ilvl="8" w:tplc="82D4749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7EC1AF3"/>
    <w:multiLevelType w:val="hybridMultilevel"/>
    <w:tmpl w:val="42BC74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747D76"/>
    <w:multiLevelType w:val="hybridMultilevel"/>
    <w:tmpl w:val="C0B4445A"/>
    <w:lvl w:ilvl="0" w:tplc="A2787F7A">
      <w:start w:val="1"/>
      <w:numFmt w:val="bullet"/>
      <w:lvlText w:val="•"/>
      <w:lvlJc w:val="left"/>
      <w:pPr>
        <w:tabs>
          <w:tab w:val="num" w:pos="720"/>
        </w:tabs>
        <w:ind w:left="720" w:hanging="360"/>
      </w:pPr>
      <w:rPr>
        <w:rFonts w:ascii="Arial" w:hAnsi="Arial" w:hint="default"/>
      </w:rPr>
    </w:lvl>
    <w:lvl w:ilvl="1" w:tplc="130AC76A" w:tentative="1">
      <w:start w:val="1"/>
      <w:numFmt w:val="bullet"/>
      <w:lvlText w:val="•"/>
      <w:lvlJc w:val="left"/>
      <w:pPr>
        <w:tabs>
          <w:tab w:val="num" w:pos="1440"/>
        </w:tabs>
        <w:ind w:left="1440" w:hanging="360"/>
      </w:pPr>
      <w:rPr>
        <w:rFonts w:ascii="Arial" w:hAnsi="Arial" w:hint="default"/>
      </w:rPr>
    </w:lvl>
    <w:lvl w:ilvl="2" w:tplc="A6F239FC" w:tentative="1">
      <w:start w:val="1"/>
      <w:numFmt w:val="bullet"/>
      <w:lvlText w:val="•"/>
      <w:lvlJc w:val="left"/>
      <w:pPr>
        <w:tabs>
          <w:tab w:val="num" w:pos="2160"/>
        </w:tabs>
        <w:ind w:left="2160" w:hanging="360"/>
      </w:pPr>
      <w:rPr>
        <w:rFonts w:ascii="Arial" w:hAnsi="Arial" w:hint="default"/>
      </w:rPr>
    </w:lvl>
    <w:lvl w:ilvl="3" w:tplc="ED94F9B6" w:tentative="1">
      <w:start w:val="1"/>
      <w:numFmt w:val="bullet"/>
      <w:lvlText w:val="•"/>
      <w:lvlJc w:val="left"/>
      <w:pPr>
        <w:tabs>
          <w:tab w:val="num" w:pos="2880"/>
        </w:tabs>
        <w:ind w:left="2880" w:hanging="360"/>
      </w:pPr>
      <w:rPr>
        <w:rFonts w:ascii="Arial" w:hAnsi="Arial" w:hint="default"/>
      </w:rPr>
    </w:lvl>
    <w:lvl w:ilvl="4" w:tplc="7A50DB62" w:tentative="1">
      <w:start w:val="1"/>
      <w:numFmt w:val="bullet"/>
      <w:lvlText w:val="•"/>
      <w:lvlJc w:val="left"/>
      <w:pPr>
        <w:tabs>
          <w:tab w:val="num" w:pos="3600"/>
        </w:tabs>
        <w:ind w:left="3600" w:hanging="360"/>
      </w:pPr>
      <w:rPr>
        <w:rFonts w:ascii="Arial" w:hAnsi="Arial" w:hint="default"/>
      </w:rPr>
    </w:lvl>
    <w:lvl w:ilvl="5" w:tplc="E0B29716" w:tentative="1">
      <w:start w:val="1"/>
      <w:numFmt w:val="bullet"/>
      <w:lvlText w:val="•"/>
      <w:lvlJc w:val="left"/>
      <w:pPr>
        <w:tabs>
          <w:tab w:val="num" w:pos="4320"/>
        </w:tabs>
        <w:ind w:left="4320" w:hanging="360"/>
      </w:pPr>
      <w:rPr>
        <w:rFonts w:ascii="Arial" w:hAnsi="Arial" w:hint="default"/>
      </w:rPr>
    </w:lvl>
    <w:lvl w:ilvl="6" w:tplc="A2C6FF64" w:tentative="1">
      <w:start w:val="1"/>
      <w:numFmt w:val="bullet"/>
      <w:lvlText w:val="•"/>
      <w:lvlJc w:val="left"/>
      <w:pPr>
        <w:tabs>
          <w:tab w:val="num" w:pos="5040"/>
        </w:tabs>
        <w:ind w:left="5040" w:hanging="360"/>
      </w:pPr>
      <w:rPr>
        <w:rFonts w:ascii="Arial" w:hAnsi="Arial" w:hint="default"/>
      </w:rPr>
    </w:lvl>
    <w:lvl w:ilvl="7" w:tplc="6AA84CA4" w:tentative="1">
      <w:start w:val="1"/>
      <w:numFmt w:val="bullet"/>
      <w:lvlText w:val="•"/>
      <w:lvlJc w:val="left"/>
      <w:pPr>
        <w:tabs>
          <w:tab w:val="num" w:pos="5760"/>
        </w:tabs>
        <w:ind w:left="5760" w:hanging="360"/>
      </w:pPr>
      <w:rPr>
        <w:rFonts w:ascii="Arial" w:hAnsi="Arial" w:hint="default"/>
      </w:rPr>
    </w:lvl>
    <w:lvl w:ilvl="8" w:tplc="A2E80FB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8ED1717"/>
    <w:multiLevelType w:val="hybridMultilevel"/>
    <w:tmpl w:val="19A8A234"/>
    <w:lvl w:ilvl="0" w:tplc="2AA8F870">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15:restartNumberingAfterBreak="0">
    <w:nsid w:val="69360D11"/>
    <w:multiLevelType w:val="hybridMultilevel"/>
    <w:tmpl w:val="13C4867C"/>
    <w:lvl w:ilvl="0" w:tplc="B248EBE6">
      <w:start w:val="1"/>
      <w:numFmt w:val="bullet"/>
      <w:lvlText w:val="•"/>
      <w:lvlJc w:val="left"/>
      <w:pPr>
        <w:tabs>
          <w:tab w:val="num" w:pos="720"/>
        </w:tabs>
        <w:ind w:left="720" w:hanging="360"/>
      </w:pPr>
      <w:rPr>
        <w:rFonts w:ascii="Arial" w:hAnsi="Arial" w:hint="default"/>
      </w:rPr>
    </w:lvl>
    <w:lvl w:ilvl="1" w:tplc="5DC6090A" w:tentative="1">
      <w:start w:val="1"/>
      <w:numFmt w:val="bullet"/>
      <w:lvlText w:val="•"/>
      <w:lvlJc w:val="left"/>
      <w:pPr>
        <w:tabs>
          <w:tab w:val="num" w:pos="1440"/>
        </w:tabs>
        <w:ind w:left="1440" w:hanging="360"/>
      </w:pPr>
      <w:rPr>
        <w:rFonts w:ascii="Arial" w:hAnsi="Arial" w:hint="default"/>
      </w:rPr>
    </w:lvl>
    <w:lvl w:ilvl="2" w:tplc="16A2CE14" w:tentative="1">
      <w:start w:val="1"/>
      <w:numFmt w:val="bullet"/>
      <w:lvlText w:val="•"/>
      <w:lvlJc w:val="left"/>
      <w:pPr>
        <w:tabs>
          <w:tab w:val="num" w:pos="2160"/>
        </w:tabs>
        <w:ind w:left="2160" w:hanging="360"/>
      </w:pPr>
      <w:rPr>
        <w:rFonts w:ascii="Arial" w:hAnsi="Arial" w:hint="default"/>
      </w:rPr>
    </w:lvl>
    <w:lvl w:ilvl="3" w:tplc="4BB48774" w:tentative="1">
      <w:start w:val="1"/>
      <w:numFmt w:val="bullet"/>
      <w:lvlText w:val="•"/>
      <w:lvlJc w:val="left"/>
      <w:pPr>
        <w:tabs>
          <w:tab w:val="num" w:pos="2880"/>
        </w:tabs>
        <w:ind w:left="2880" w:hanging="360"/>
      </w:pPr>
      <w:rPr>
        <w:rFonts w:ascii="Arial" w:hAnsi="Arial" w:hint="default"/>
      </w:rPr>
    </w:lvl>
    <w:lvl w:ilvl="4" w:tplc="E4D2D570" w:tentative="1">
      <w:start w:val="1"/>
      <w:numFmt w:val="bullet"/>
      <w:lvlText w:val="•"/>
      <w:lvlJc w:val="left"/>
      <w:pPr>
        <w:tabs>
          <w:tab w:val="num" w:pos="3600"/>
        </w:tabs>
        <w:ind w:left="3600" w:hanging="360"/>
      </w:pPr>
      <w:rPr>
        <w:rFonts w:ascii="Arial" w:hAnsi="Arial" w:hint="default"/>
      </w:rPr>
    </w:lvl>
    <w:lvl w:ilvl="5" w:tplc="A224C4FA" w:tentative="1">
      <w:start w:val="1"/>
      <w:numFmt w:val="bullet"/>
      <w:lvlText w:val="•"/>
      <w:lvlJc w:val="left"/>
      <w:pPr>
        <w:tabs>
          <w:tab w:val="num" w:pos="4320"/>
        </w:tabs>
        <w:ind w:left="4320" w:hanging="360"/>
      </w:pPr>
      <w:rPr>
        <w:rFonts w:ascii="Arial" w:hAnsi="Arial" w:hint="default"/>
      </w:rPr>
    </w:lvl>
    <w:lvl w:ilvl="6" w:tplc="62886B82" w:tentative="1">
      <w:start w:val="1"/>
      <w:numFmt w:val="bullet"/>
      <w:lvlText w:val="•"/>
      <w:lvlJc w:val="left"/>
      <w:pPr>
        <w:tabs>
          <w:tab w:val="num" w:pos="5040"/>
        </w:tabs>
        <w:ind w:left="5040" w:hanging="360"/>
      </w:pPr>
      <w:rPr>
        <w:rFonts w:ascii="Arial" w:hAnsi="Arial" w:hint="default"/>
      </w:rPr>
    </w:lvl>
    <w:lvl w:ilvl="7" w:tplc="BA32937E" w:tentative="1">
      <w:start w:val="1"/>
      <w:numFmt w:val="bullet"/>
      <w:lvlText w:val="•"/>
      <w:lvlJc w:val="left"/>
      <w:pPr>
        <w:tabs>
          <w:tab w:val="num" w:pos="5760"/>
        </w:tabs>
        <w:ind w:left="5760" w:hanging="360"/>
      </w:pPr>
      <w:rPr>
        <w:rFonts w:ascii="Arial" w:hAnsi="Arial" w:hint="default"/>
      </w:rPr>
    </w:lvl>
    <w:lvl w:ilvl="8" w:tplc="F3384D6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B2F3728"/>
    <w:multiLevelType w:val="hybridMultilevel"/>
    <w:tmpl w:val="0756CF30"/>
    <w:lvl w:ilvl="0" w:tplc="B8D0A7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B764ABA"/>
    <w:multiLevelType w:val="hybridMultilevel"/>
    <w:tmpl w:val="0C9E8D3A"/>
    <w:lvl w:ilvl="0" w:tplc="9C166CA2">
      <w:start w:val="1"/>
      <w:numFmt w:val="upperLetter"/>
      <w:lvlText w:val="%1."/>
      <w:lvlJc w:val="left"/>
      <w:pPr>
        <w:ind w:left="360" w:hanging="360"/>
      </w:pPr>
      <w:rPr>
        <w:rFonts w:ascii="Times New Roman" w:hAnsi="Times New Roman" w:cs="Times New Roman"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27E21F6"/>
    <w:multiLevelType w:val="hybridMultilevel"/>
    <w:tmpl w:val="4B38F46E"/>
    <w:lvl w:ilvl="0" w:tplc="D4C29D1E">
      <w:start w:val="1"/>
      <w:numFmt w:val="bullet"/>
      <w:lvlText w:val="•"/>
      <w:lvlJc w:val="left"/>
      <w:pPr>
        <w:tabs>
          <w:tab w:val="num" w:pos="1080"/>
        </w:tabs>
        <w:ind w:left="1080" w:hanging="360"/>
      </w:pPr>
      <w:rPr>
        <w:rFonts w:ascii="Arial" w:hAnsi="Arial" w:hint="default"/>
      </w:rPr>
    </w:lvl>
    <w:lvl w:ilvl="1" w:tplc="24703AE4">
      <w:start w:val="1"/>
      <w:numFmt w:val="bullet"/>
      <w:lvlText w:val="•"/>
      <w:lvlJc w:val="left"/>
      <w:pPr>
        <w:tabs>
          <w:tab w:val="num" w:pos="1800"/>
        </w:tabs>
        <w:ind w:left="1800" w:hanging="360"/>
      </w:pPr>
      <w:rPr>
        <w:rFonts w:ascii="Arial" w:hAnsi="Arial" w:hint="default"/>
      </w:rPr>
    </w:lvl>
    <w:lvl w:ilvl="2" w:tplc="9FD089DC">
      <w:start w:val="1"/>
      <w:numFmt w:val="bullet"/>
      <w:lvlText w:val="•"/>
      <w:lvlJc w:val="left"/>
      <w:pPr>
        <w:tabs>
          <w:tab w:val="num" w:pos="2520"/>
        </w:tabs>
        <w:ind w:left="2520" w:hanging="360"/>
      </w:pPr>
      <w:rPr>
        <w:rFonts w:ascii="Arial" w:hAnsi="Arial" w:hint="default"/>
      </w:rPr>
    </w:lvl>
    <w:lvl w:ilvl="3" w:tplc="5BFE76AE" w:tentative="1">
      <w:start w:val="1"/>
      <w:numFmt w:val="bullet"/>
      <w:lvlText w:val="•"/>
      <w:lvlJc w:val="left"/>
      <w:pPr>
        <w:tabs>
          <w:tab w:val="num" w:pos="3240"/>
        </w:tabs>
        <w:ind w:left="3240" w:hanging="360"/>
      </w:pPr>
      <w:rPr>
        <w:rFonts w:ascii="Arial" w:hAnsi="Arial" w:hint="default"/>
      </w:rPr>
    </w:lvl>
    <w:lvl w:ilvl="4" w:tplc="7538508C" w:tentative="1">
      <w:start w:val="1"/>
      <w:numFmt w:val="bullet"/>
      <w:lvlText w:val="•"/>
      <w:lvlJc w:val="left"/>
      <w:pPr>
        <w:tabs>
          <w:tab w:val="num" w:pos="3960"/>
        </w:tabs>
        <w:ind w:left="3960" w:hanging="360"/>
      </w:pPr>
      <w:rPr>
        <w:rFonts w:ascii="Arial" w:hAnsi="Arial" w:hint="default"/>
      </w:rPr>
    </w:lvl>
    <w:lvl w:ilvl="5" w:tplc="9A8EE34E" w:tentative="1">
      <w:start w:val="1"/>
      <w:numFmt w:val="bullet"/>
      <w:lvlText w:val="•"/>
      <w:lvlJc w:val="left"/>
      <w:pPr>
        <w:tabs>
          <w:tab w:val="num" w:pos="4680"/>
        </w:tabs>
        <w:ind w:left="4680" w:hanging="360"/>
      </w:pPr>
      <w:rPr>
        <w:rFonts w:ascii="Arial" w:hAnsi="Arial" w:hint="default"/>
      </w:rPr>
    </w:lvl>
    <w:lvl w:ilvl="6" w:tplc="CA92E4C6" w:tentative="1">
      <w:start w:val="1"/>
      <w:numFmt w:val="bullet"/>
      <w:lvlText w:val="•"/>
      <w:lvlJc w:val="left"/>
      <w:pPr>
        <w:tabs>
          <w:tab w:val="num" w:pos="5400"/>
        </w:tabs>
        <w:ind w:left="5400" w:hanging="360"/>
      </w:pPr>
      <w:rPr>
        <w:rFonts w:ascii="Arial" w:hAnsi="Arial" w:hint="default"/>
      </w:rPr>
    </w:lvl>
    <w:lvl w:ilvl="7" w:tplc="33B05678" w:tentative="1">
      <w:start w:val="1"/>
      <w:numFmt w:val="bullet"/>
      <w:lvlText w:val="•"/>
      <w:lvlJc w:val="left"/>
      <w:pPr>
        <w:tabs>
          <w:tab w:val="num" w:pos="6120"/>
        </w:tabs>
        <w:ind w:left="6120" w:hanging="360"/>
      </w:pPr>
      <w:rPr>
        <w:rFonts w:ascii="Arial" w:hAnsi="Arial" w:hint="default"/>
      </w:rPr>
    </w:lvl>
    <w:lvl w:ilvl="8" w:tplc="BF4EBED6" w:tentative="1">
      <w:start w:val="1"/>
      <w:numFmt w:val="bullet"/>
      <w:lvlText w:val="•"/>
      <w:lvlJc w:val="left"/>
      <w:pPr>
        <w:tabs>
          <w:tab w:val="num" w:pos="6840"/>
        </w:tabs>
        <w:ind w:left="6840" w:hanging="360"/>
      </w:pPr>
      <w:rPr>
        <w:rFonts w:ascii="Arial" w:hAnsi="Arial" w:hint="default"/>
      </w:rPr>
    </w:lvl>
  </w:abstractNum>
  <w:abstractNum w:abstractNumId="54" w15:restartNumberingAfterBreak="0">
    <w:nsid w:val="742A4277"/>
    <w:multiLevelType w:val="hybridMultilevel"/>
    <w:tmpl w:val="13F4F3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23"/>
  </w:num>
  <w:num w:numId="3">
    <w:abstractNumId w:val="0"/>
  </w:num>
  <w:num w:numId="4">
    <w:abstractNumId w:val="35"/>
  </w:num>
  <w:num w:numId="5">
    <w:abstractNumId w:val="52"/>
  </w:num>
  <w:num w:numId="6">
    <w:abstractNumId w:val="43"/>
  </w:num>
  <w:num w:numId="7">
    <w:abstractNumId w:val="54"/>
  </w:num>
  <w:num w:numId="8">
    <w:abstractNumId w:val="13"/>
  </w:num>
  <w:num w:numId="9">
    <w:abstractNumId w:val="37"/>
  </w:num>
  <w:num w:numId="10">
    <w:abstractNumId w:val="30"/>
  </w:num>
  <w:num w:numId="11">
    <w:abstractNumId w:val="36"/>
  </w:num>
  <w:num w:numId="12">
    <w:abstractNumId w:val="44"/>
  </w:num>
  <w:num w:numId="13">
    <w:abstractNumId w:val="51"/>
  </w:num>
  <w:num w:numId="14">
    <w:abstractNumId w:val="18"/>
  </w:num>
  <w:num w:numId="15">
    <w:abstractNumId w:val="6"/>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1"/>
  </w:num>
  <w:num w:numId="31">
    <w:abstractNumId w:val="31"/>
  </w:num>
  <w:num w:numId="32">
    <w:abstractNumId w:val="49"/>
  </w:num>
  <w:num w:numId="33">
    <w:abstractNumId w:val="19"/>
  </w:num>
  <w:num w:numId="34">
    <w:abstractNumId w:val="53"/>
  </w:num>
  <w:num w:numId="35">
    <w:abstractNumId w:val="7"/>
  </w:num>
  <w:num w:numId="36">
    <w:abstractNumId w:val="50"/>
  </w:num>
  <w:num w:numId="37">
    <w:abstractNumId w:val="4"/>
  </w:num>
  <w:num w:numId="38">
    <w:abstractNumId w:val="3"/>
  </w:num>
  <w:num w:numId="39">
    <w:abstractNumId w:val="27"/>
  </w:num>
  <w:num w:numId="40">
    <w:abstractNumId w:val="16"/>
  </w:num>
  <w:num w:numId="41">
    <w:abstractNumId w:val="28"/>
  </w:num>
  <w:num w:numId="42">
    <w:abstractNumId w:val="8"/>
  </w:num>
  <w:num w:numId="43">
    <w:abstractNumId w:val="22"/>
  </w:num>
  <w:num w:numId="44">
    <w:abstractNumId w:val="46"/>
  </w:num>
  <w:num w:numId="45">
    <w:abstractNumId w:val="12"/>
  </w:num>
  <w:num w:numId="46">
    <w:abstractNumId w:val="48"/>
  </w:num>
  <w:num w:numId="47">
    <w:abstractNumId w:val="9"/>
  </w:num>
  <w:num w:numId="48">
    <w:abstractNumId w:val="45"/>
  </w:num>
  <w:num w:numId="49">
    <w:abstractNumId w:val="40"/>
  </w:num>
  <w:num w:numId="50">
    <w:abstractNumId w:val="38"/>
  </w:num>
  <w:num w:numId="51">
    <w:abstractNumId w:val="33"/>
  </w:num>
  <w:num w:numId="52">
    <w:abstractNumId w:val="14"/>
  </w:num>
  <w:num w:numId="53">
    <w:abstractNumId w:val="39"/>
  </w:num>
  <w:num w:numId="54">
    <w:abstractNumId w:val="15"/>
  </w:num>
  <w:num w:numId="55">
    <w:abstractNumId w:val="11"/>
  </w:num>
  <w:num w:numId="56">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34C"/>
    <w:rsid w:val="000028D7"/>
    <w:rsid w:val="00002BF1"/>
    <w:rsid w:val="000037EA"/>
    <w:rsid w:val="00004B1B"/>
    <w:rsid w:val="0000503D"/>
    <w:rsid w:val="00005046"/>
    <w:rsid w:val="00005446"/>
    <w:rsid w:val="00005632"/>
    <w:rsid w:val="00005EEE"/>
    <w:rsid w:val="00010C07"/>
    <w:rsid w:val="00010D33"/>
    <w:rsid w:val="0001244F"/>
    <w:rsid w:val="0001312A"/>
    <w:rsid w:val="000157F9"/>
    <w:rsid w:val="00017878"/>
    <w:rsid w:val="00021B9E"/>
    <w:rsid w:val="00021F16"/>
    <w:rsid w:val="0002543B"/>
    <w:rsid w:val="00027891"/>
    <w:rsid w:val="00027FB1"/>
    <w:rsid w:val="00030B35"/>
    <w:rsid w:val="00030F07"/>
    <w:rsid w:val="00031442"/>
    <w:rsid w:val="000318F5"/>
    <w:rsid w:val="00032EB8"/>
    <w:rsid w:val="000337F6"/>
    <w:rsid w:val="0003428F"/>
    <w:rsid w:val="00036EBB"/>
    <w:rsid w:val="0003703D"/>
    <w:rsid w:val="00041504"/>
    <w:rsid w:val="00044334"/>
    <w:rsid w:val="000448CF"/>
    <w:rsid w:val="00046B39"/>
    <w:rsid w:val="0004777F"/>
    <w:rsid w:val="00047AAC"/>
    <w:rsid w:val="0005162E"/>
    <w:rsid w:val="0005570B"/>
    <w:rsid w:val="00057C23"/>
    <w:rsid w:val="00060AC5"/>
    <w:rsid w:val="00062BF3"/>
    <w:rsid w:val="00063324"/>
    <w:rsid w:val="0006603D"/>
    <w:rsid w:val="00066A81"/>
    <w:rsid w:val="00073CE8"/>
    <w:rsid w:val="00074018"/>
    <w:rsid w:val="00075BA0"/>
    <w:rsid w:val="000760FB"/>
    <w:rsid w:val="00081C7B"/>
    <w:rsid w:val="000832FC"/>
    <w:rsid w:val="00083574"/>
    <w:rsid w:val="00086585"/>
    <w:rsid w:val="000865F9"/>
    <w:rsid w:val="00086F98"/>
    <w:rsid w:val="000904C4"/>
    <w:rsid w:val="00093E2D"/>
    <w:rsid w:val="00094C7B"/>
    <w:rsid w:val="00095274"/>
    <w:rsid w:val="000962E0"/>
    <w:rsid w:val="00097488"/>
    <w:rsid w:val="00097C8D"/>
    <w:rsid w:val="000A270C"/>
    <w:rsid w:val="000A3E05"/>
    <w:rsid w:val="000A47CC"/>
    <w:rsid w:val="000A51A3"/>
    <w:rsid w:val="000A5418"/>
    <w:rsid w:val="000A663F"/>
    <w:rsid w:val="000B5EDF"/>
    <w:rsid w:val="000B632B"/>
    <w:rsid w:val="000C0449"/>
    <w:rsid w:val="000C0A82"/>
    <w:rsid w:val="000C5E62"/>
    <w:rsid w:val="000C679A"/>
    <w:rsid w:val="000C6A3A"/>
    <w:rsid w:val="000C6CC5"/>
    <w:rsid w:val="000C78C3"/>
    <w:rsid w:val="000C7B5F"/>
    <w:rsid w:val="000D0027"/>
    <w:rsid w:val="000D083C"/>
    <w:rsid w:val="000D22D8"/>
    <w:rsid w:val="000D3B59"/>
    <w:rsid w:val="000D42E9"/>
    <w:rsid w:val="000D58F6"/>
    <w:rsid w:val="000D6009"/>
    <w:rsid w:val="000D676C"/>
    <w:rsid w:val="000E0616"/>
    <w:rsid w:val="000F11ED"/>
    <w:rsid w:val="000F28A3"/>
    <w:rsid w:val="000F2BBF"/>
    <w:rsid w:val="000F2C84"/>
    <w:rsid w:val="000F5E75"/>
    <w:rsid w:val="000F60C9"/>
    <w:rsid w:val="000F774B"/>
    <w:rsid w:val="001051B7"/>
    <w:rsid w:val="00106361"/>
    <w:rsid w:val="00106781"/>
    <w:rsid w:val="00106F71"/>
    <w:rsid w:val="00107519"/>
    <w:rsid w:val="00110532"/>
    <w:rsid w:val="00110710"/>
    <w:rsid w:val="00110BE9"/>
    <w:rsid w:val="00111A23"/>
    <w:rsid w:val="00111CBE"/>
    <w:rsid w:val="00114A97"/>
    <w:rsid w:val="00114D37"/>
    <w:rsid w:val="00116606"/>
    <w:rsid w:val="00121026"/>
    <w:rsid w:val="00122703"/>
    <w:rsid w:val="001235EB"/>
    <w:rsid w:val="00125C8F"/>
    <w:rsid w:val="00127B31"/>
    <w:rsid w:val="0013214F"/>
    <w:rsid w:val="00132C70"/>
    <w:rsid w:val="0013353F"/>
    <w:rsid w:val="001336FD"/>
    <w:rsid w:val="0013384B"/>
    <w:rsid w:val="00135C1D"/>
    <w:rsid w:val="001422B5"/>
    <w:rsid w:val="00146A91"/>
    <w:rsid w:val="00146FC8"/>
    <w:rsid w:val="001512EB"/>
    <w:rsid w:val="0015191D"/>
    <w:rsid w:val="00153698"/>
    <w:rsid w:val="00155F2D"/>
    <w:rsid w:val="001571FD"/>
    <w:rsid w:val="001576BF"/>
    <w:rsid w:val="00163949"/>
    <w:rsid w:val="00167619"/>
    <w:rsid w:val="0016767F"/>
    <w:rsid w:val="00172966"/>
    <w:rsid w:val="00174890"/>
    <w:rsid w:val="00174E19"/>
    <w:rsid w:val="00183818"/>
    <w:rsid w:val="00186315"/>
    <w:rsid w:val="00191EAD"/>
    <w:rsid w:val="001922AF"/>
    <w:rsid w:val="00193CFE"/>
    <w:rsid w:val="00194BB9"/>
    <w:rsid w:val="001A18FD"/>
    <w:rsid w:val="001A3A1F"/>
    <w:rsid w:val="001A4324"/>
    <w:rsid w:val="001A5051"/>
    <w:rsid w:val="001A60A0"/>
    <w:rsid w:val="001A79FC"/>
    <w:rsid w:val="001B06DC"/>
    <w:rsid w:val="001B32DD"/>
    <w:rsid w:val="001B5265"/>
    <w:rsid w:val="001B5D1B"/>
    <w:rsid w:val="001C07C2"/>
    <w:rsid w:val="001C2444"/>
    <w:rsid w:val="001C273C"/>
    <w:rsid w:val="001C2E88"/>
    <w:rsid w:val="001C4270"/>
    <w:rsid w:val="001C63DA"/>
    <w:rsid w:val="001D184E"/>
    <w:rsid w:val="001D2A6E"/>
    <w:rsid w:val="001D56B9"/>
    <w:rsid w:val="001D5B2F"/>
    <w:rsid w:val="001E145F"/>
    <w:rsid w:val="001F5839"/>
    <w:rsid w:val="001F60A1"/>
    <w:rsid w:val="001F6314"/>
    <w:rsid w:val="001F7F6E"/>
    <w:rsid w:val="00200ADB"/>
    <w:rsid w:val="00201839"/>
    <w:rsid w:val="00201D11"/>
    <w:rsid w:val="00205900"/>
    <w:rsid w:val="0020742B"/>
    <w:rsid w:val="0020777C"/>
    <w:rsid w:val="002122EF"/>
    <w:rsid w:val="00212D14"/>
    <w:rsid w:val="002142A6"/>
    <w:rsid w:val="00220388"/>
    <w:rsid w:val="00220C27"/>
    <w:rsid w:val="00221056"/>
    <w:rsid w:val="00221A74"/>
    <w:rsid w:val="00221B36"/>
    <w:rsid w:val="00221E20"/>
    <w:rsid w:val="002228BE"/>
    <w:rsid w:val="00224304"/>
    <w:rsid w:val="00224418"/>
    <w:rsid w:val="0022538E"/>
    <w:rsid w:val="00225DBF"/>
    <w:rsid w:val="00227C2B"/>
    <w:rsid w:val="002311FE"/>
    <w:rsid w:val="002359DE"/>
    <w:rsid w:val="0023690F"/>
    <w:rsid w:val="0024208A"/>
    <w:rsid w:val="00246284"/>
    <w:rsid w:val="00250520"/>
    <w:rsid w:val="002570F0"/>
    <w:rsid w:val="00265E01"/>
    <w:rsid w:val="00267A71"/>
    <w:rsid w:val="002702D7"/>
    <w:rsid w:val="00270AC9"/>
    <w:rsid w:val="002717D3"/>
    <w:rsid w:val="0027428A"/>
    <w:rsid w:val="00274A70"/>
    <w:rsid w:val="00275982"/>
    <w:rsid w:val="00276066"/>
    <w:rsid w:val="00280548"/>
    <w:rsid w:val="00281063"/>
    <w:rsid w:val="00281A9B"/>
    <w:rsid w:val="00281D61"/>
    <w:rsid w:val="002834F4"/>
    <w:rsid w:val="00283613"/>
    <w:rsid w:val="00283C13"/>
    <w:rsid w:val="00284138"/>
    <w:rsid w:val="00286107"/>
    <w:rsid w:val="00286A7D"/>
    <w:rsid w:val="00287C46"/>
    <w:rsid w:val="00296A59"/>
    <w:rsid w:val="002A2C3F"/>
    <w:rsid w:val="002A3544"/>
    <w:rsid w:val="002A3B7D"/>
    <w:rsid w:val="002A46E0"/>
    <w:rsid w:val="002A62B7"/>
    <w:rsid w:val="002A7814"/>
    <w:rsid w:val="002B096E"/>
    <w:rsid w:val="002B0BCC"/>
    <w:rsid w:val="002B0F4A"/>
    <w:rsid w:val="002B17C3"/>
    <w:rsid w:val="002B3555"/>
    <w:rsid w:val="002B3B1C"/>
    <w:rsid w:val="002B4074"/>
    <w:rsid w:val="002B600D"/>
    <w:rsid w:val="002B67C2"/>
    <w:rsid w:val="002B6A3C"/>
    <w:rsid w:val="002B792A"/>
    <w:rsid w:val="002C02F5"/>
    <w:rsid w:val="002C1176"/>
    <w:rsid w:val="002C27C0"/>
    <w:rsid w:val="002C287B"/>
    <w:rsid w:val="002C2B15"/>
    <w:rsid w:val="002C47DF"/>
    <w:rsid w:val="002C5123"/>
    <w:rsid w:val="002C557F"/>
    <w:rsid w:val="002C55D8"/>
    <w:rsid w:val="002C7215"/>
    <w:rsid w:val="002C79BD"/>
    <w:rsid w:val="002C7DC6"/>
    <w:rsid w:val="002D03D3"/>
    <w:rsid w:val="002D1849"/>
    <w:rsid w:val="002D2B30"/>
    <w:rsid w:val="002D68C7"/>
    <w:rsid w:val="002D7A66"/>
    <w:rsid w:val="002E3569"/>
    <w:rsid w:val="002E4381"/>
    <w:rsid w:val="002E459C"/>
    <w:rsid w:val="002E4778"/>
    <w:rsid w:val="002E4AA0"/>
    <w:rsid w:val="002E5D0A"/>
    <w:rsid w:val="002E5F92"/>
    <w:rsid w:val="002F3BF9"/>
    <w:rsid w:val="002F5835"/>
    <w:rsid w:val="002F6F7C"/>
    <w:rsid w:val="002F78E9"/>
    <w:rsid w:val="0030010D"/>
    <w:rsid w:val="0030133E"/>
    <w:rsid w:val="00301D55"/>
    <w:rsid w:val="0030223E"/>
    <w:rsid w:val="00302D20"/>
    <w:rsid w:val="00303C36"/>
    <w:rsid w:val="00311E35"/>
    <w:rsid w:val="00312F99"/>
    <w:rsid w:val="00314E5D"/>
    <w:rsid w:val="00315CA9"/>
    <w:rsid w:val="003219D4"/>
    <w:rsid w:val="003232FB"/>
    <w:rsid w:val="0032376C"/>
    <w:rsid w:val="00324489"/>
    <w:rsid w:val="003244EA"/>
    <w:rsid w:val="00324B67"/>
    <w:rsid w:val="00327F62"/>
    <w:rsid w:val="0033052D"/>
    <w:rsid w:val="00330C48"/>
    <w:rsid w:val="00331CAC"/>
    <w:rsid w:val="003339D0"/>
    <w:rsid w:val="003355AE"/>
    <w:rsid w:val="0033769B"/>
    <w:rsid w:val="00341159"/>
    <w:rsid w:val="00342B66"/>
    <w:rsid w:val="00345741"/>
    <w:rsid w:val="00345ABF"/>
    <w:rsid w:val="00350C68"/>
    <w:rsid w:val="00351FA7"/>
    <w:rsid w:val="003520A0"/>
    <w:rsid w:val="00352F18"/>
    <w:rsid w:val="00353765"/>
    <w:rsid w:val="00354F1E"/>
    <w:rsid w:val="00355D3C"/>
    <w:rsid w:val="003570BB"/>
    <w:rsid w:val="00362C6D"/>
    <w:rsid w:val="00362FE0"/>
    <w:rsid w:val="00365016"/>
    <w:rsid w:val="003650D2"/>
    <w:rsid w:val="00370111"/>
    <w:rsid w:val="003734B5"/>
    <w:rsid w:val="00373A2E"/>
    <w:rsid w:val="003762E0"/>
    <w:rsid w:val="003818ED"/>
    <w:rsid w:val="00381E7F"/>
    <w:rsid w:val="003821FD"/>
    <w:rsid w:val="003829C3"/>
    <w:rsid w:val="00383972"/>
    <w:rsid w:val="00385A84"/>
    <w:rsid w:val="003861C9"/>
    <w:rsid w:val="00386CD1"/>
    <w:rsid w:val="00387390"/>
    <w:rsid w:val="00390AF1"/>
    <w:rsid w:val="0039143F"/>
    <w:rsid w:val="00391466"/>
    <w:rsid w:val="00395836"/>
    <w:rsid w:val="00396777"/>
    <w:rsid w:val="00396B54"/>
    <w:rsid w:val="00397FED"/>
    <w:rsid w:val="003A237D"/>
    <w:rsid w:val="003A4EFE"/>
    <w:rsid w:val="003A5C0A"/>
    <w:rsid w:val="003A6019"/>
    <w:rsid w:val="003A6035"/>
    <w:rsid w:val="003B0396"/>
    <w:rsid w:val="003B0665"/>
    <w:rsid w:val="003B1A3A"/>
    <w:rsid w:val="003B3D3B"/>
    <w:rsid w:val="003B7632"/>
    <w:rsid w:val="003C0B1E"/>
    <w:rsid w:val="003C10A2"/>
    <w:rsid w:val="003C1650"/>
    <w:rsid w:val="003C3A6E"/>
    <w:rsid w:val="003C46E8"/>
    <w:rsid w:val="003C4DBC"/>
    <w:rsid w:val="003C6AAB"/>
    <w:rsid w:val="003C7CDC"/>
    <w:rsid w:val="003D21CA"/>
    <w:rsid w:val="003D32E2"/>
    <w:rsid w:val="003D5CB0"/>
    <w:rsid w:val="003D61FD"/>
    <w:rsid w:val="003D63F5"/>
    <w:rsid w:val="003D7D57"/>
    <w:rsid w:val="003D7F07"/>
    <w:rsid w:val="003E176A"/>
    <w:rsid w:val="003E36EF"/>
    <w:rsid w:val="003E3A0D"/>
    <w:rsid w:val="003E4791"/>
    <w:rsid w:val="003E4ABD"/>
    <w:rsid w:val="003E50F4"/>
    <w:rsid w:val="003E5C5C"/>
    <w:rsid w:val="003E7258"/>
    <w:rsid w:val="003F092C"/>
    <w:rsid w:val="003F1BEC"/>
    <w:rsid w:val="003F397D"/>
    <w:rsid w:val="003F550F"/>
    <w:rsid w:val="003F59C7"/>
    <w:rsid w:val="00400396"/>
    <w:rsid w:val="004016AC"/>
    <w:rsid w:val="0040707C"/>
    <w:rsid w:val="004119D5"/>
    <w:rsid w:val="00414ABF"/>
    <w:rsid w:val="00420097"/>
    <w:rsid w:val="004203CB"/>
    <w:rsid w:val="004205C0"/>
    <w:rsid w:val="00423484"/>
    <w:rsid w:val="004279D6"/>
    <w:rsid w:val="004343BB"/>
    <w:rsid w:val="004345B3"/>
    <w:rsid w:val="0043496E"/>
    <w:rsid w:val="004362A4"/>
    <w:rsid w:val="00436C87"/>
    <w:rsid w:val="00436EAB"/>
    <w:rsid w:val="00437679"/>
    <w:rsid w:val="004412A1"/>
    <w:rsid w:val="004418C0"/>
    <w:rsid w:val="0044393C"/>
    <w:rsid w:val="004453BF"/>
    <w:rsid w:val="00446CCE"/>
    <w:rsid w:val="004471BB"/>
    <w:rsid w:val="004478DA"/>
    <w:rsid w:val="00450204"/>
    <w:rsid w:val="0045281D"/>
    <w:rsid w:val="00453111"/>
    <w:rsid w:val="004540DC"/>
    <w:rsid w:val="004550E9"/>
    <w:rsid w:val="004575B1"/>
    <w:rsid w:val="00461C10"/>
    <w:rsid w:val="00461E76"/>
    <w:rsid w:val="004626F3"/>
    <w:rsid w:val="00464C7D"/>
    <w:rsid w:val="0047226C"/>
    <w:rsid w:val="00472EF6"/>
    <w:rsid w:val="00473B55"/>
    <w:rsid w:val="00474F36"/>
    <w:rsid w:val="00475094"/>
    <w:rsid w:val="0047510B"/>
    <w:rsid w:val="00475A25"/>
    <w:rsid w:val="00475C20"/>
    <w:rsid w:val="00482F2E"/>
    <w:rsid w:val="004834A7"/>
    <w:rsid w:val="00483DCD"/>
    <w:rsid w:val="00484B0D"/>
    <w:rsid w:val="00486CB0"/>
    <w:rsid w:val="00494151"/>
    <w:rsid w:val="0049437E"/>
    <w:rsid w:val="0049488C"/>
    <w:rsid w:val="0049770A"/>
    <w:rsid w:val="00497BD9"/>
    <w:rsid w:val="004A129D"/>
    <w:rsid w:val="004A326C"/>
    <w:rsid w:val="004A3D00"/>
    <w:rsid w:val="004A4EF8"/>
    <w:rsid w:val="004A7217"/>
    <w:rsid w:val="004A7226"/>
    <w:rsid w:val="004A76B5"/>
    <w:rsid w:val="004B1583"/>
    <w:rsid w:val="004B2753"/>
    <w:rsid w:val="004B2866"/>
    <w:rsid w:val="004B28D8"/>
    <w:rsid w:val="004B54BE"/>
    <w:rsid w:val="004B7BB3"/>
    <w:rsid w:val="004C03C4"/>
    <w:rsid w:val="004C2575"/>
    <w:rsid w:val="004C470D"/>
    <w:rsid w:val="004C5683"/>
    <w:rsid w:val="004C5867"/>
    <w:rsid w:val="004C62D2"/>
    <w:rsid w:val="004C7AB3"/>
    <w:rsid w:val="004D1B24"/>
    <w:rsid w:val="004D22ED"/>
    <w:rsid w:val="004D29C0"/>
    <w:rsid w:val="004D662D"/>
    <w:rsid w:val="004D775E"/>
    <w:rsid w:val="004D7811"/>
    <w:rsid w:val="004D7E6E"/>
    <w:rsid w:val="004E3097"/>
    <w:rsid w:val="004E30E9"/>
    <w:rsid w:val="004E35EC"/>
    <w:rsid w:val="004E377E"/>
    <w:rsid w:val="004E51A0"/>
    <w:rsid w:val="004E653E"/>
    <w:rsid w:val="004F1557"/>
    <w:rsid w:val="004F2B01"/>
    <w:rsid w:val="004F2CBD"/>
    <w:rsid w:val="004F44DA"/>
    <w:rsid w:val="004F6BFF"/>
    <w:rsid w:val="004F6D7A"/>
    <w:rsid w:val="004F6DBB"/>
    <w:rsid w:val="004F6F7E"/>
    <w:rsid w:val="00500C62"/>
    <w:rsid w:val="00501B9B"/>
    <w:rsid w:val="0050227D"/>
    <w:rsid w:val="00502604"/>
    <w:rsid w:val="0050363D"/>
    <w:rsid w:val="00505963"/>
    <w:rsid w:val="005105E2"/>
    <w:rsid w:val="00510697"/>
    <w:rsid w:val="00510D57"/>
    <w:rsid w:val="005173C1"/>
    <w:rsid w:val="00517A1C"/>
    <w:rsid w:val="0052030D"/>
    <w:rsid w:val="00521E50"/>
    <w:rsid w:val="00523146"/>
    <w:rsid w:val="005236E7"/>
    <w:rsid w:val="00524DF8"/>
    <w:rsid w:val="00525C9D"/>
    <w:rsid w:val="00525D9C"/>
    <w:rsid w:val="00526894"/>
    <w:rsid w:val="0052764B"/>
    <w:rsid w:val="00527D69"/>
    <w:rsid w:val="00531411"/>
    <w:rsid w:val="0053208C"/>
    <w:rsid w:val="00536A2B"/>
    <w:rsid w:val="00541781"/>
    <w:rsid w:val="00543826"/>
    <w:rsid w:val="00545D59"/>
    <w:rsid w:val="00545EBD"/>
    <w:rsid w:val="00546CEC"/>
    <w:rsid w:val="00547289"/>
    <w:rsid w:val="00547B5A"/>
    <w:rsid w:val="005508E4"/>
    <w:rsid w:val="00550F27"/>
    <w:rsid w:val="00551089"/>
    <w:rsid w:val="00553A3E"/>
    <w:rsid w:val="00554C5A"/>
    <w:rsid w:val="00555AF7"/>
    <w:rsid w:val="00556ED7"/>
    <w:rsid w:val="00565AC5"/>
    <w:rsid w:val="00567869"/>
    <w:rsid w:val="0057034C"/>
    <w:rsid w:val="0057173F"/>
    <w:rsid w:val="00571CA9"/>
    <w:rsid w:val="00572D91"/>
    <w:rsid w:val="005738D8"/>
    <w:rsid w:val="0057471D"/>
    <w:rsid w:val="00574A48"/>
    <w:rsid w:val="00575C69"/>
    <w:rsid w:val="00580879"/>
    <w:rsid w:val="005812F9"/>
    <w:rsid w:val="00584B32"/>
    <w:rsid w:val="00584BAD"/>
    <w:rsid w:val="00585BDE"/>
    <w:rsid w:val="00587769"/>
    <w:rsid w:val="00591D7C"/>
    <w:rsid w:val="00592270"/>
    <w:rsid w:val="00592F8E"/>
    <w:rsid w:val="00593BB5"/>
    <w:rsid w:val="0059611C"/>
    <w:rsid w:val="00597955"/>
    <w:rsid w:val="005A3329"/>
    <w:rsid w:val="005A64A6"/>
    <w:rsid w:val="005A6654"/>
    <w:rsid w:val="005B0241"/>
    <w:rsid w:val="005B08E3"/>
    <w:rsid w:val="005B0A92"/>
    <w:rsid w:val="005B1D83"/>
    <w:rsid w:val="005B24C2"/>
    <w:rsid w:val="005B3B63"/>
    <w:rsid w:val="005B40D5"/>
    <w:rsid w:val="005B50A0"/>
    <w:rsid w:val="005B5E37"/>
    <w:rsid w:val="005B7B8B"/>
    <w:rsid w:val="005C1A22"/>
    <w:rsid w:val="005C1B3B"/>
    <w:rsid w:val="005C464D"/>
    <w:rsid w:val="005C4E30"/>
    <w:rsid w:val="005C627E"/>
    <w:rsid w:val="005C6FC5"/>
    <w:rsid w:val="005D0BA6"/>
    <w:rsid w:val="005D11A4"/>
    <w:rsid w:val="005D2494"/>
    <w:rsid w:val="005D26C5"/>
    <w:rsid w:val="005D3355"/>
    <w:rsid w:val="005D423D"/>
    <w:rsid w:val="005D43DC"/>
    <w:rsid w:val="005D4900"/>
    <w:rsid w:val="005D58E3"/>
    <w:rsid w:val="005D59BC"/>
    <w:rsid w:val="005D7430"/>
    <w:rsid w:val="005E0C2B"/>
    <w:rsid w:val="005E3082"/>
    <w:rsid w:val="005E3941"/>
    <w:rsid w:val="005E7859"/>
    <w:rsid w:val="005E7F22"/>
    <w:rsid w:val="005F038C"/>
    <w:rsid w:val="005F3DD6"/>
    <w:rsid w:val="005F3FC0"/>
    <w:rsid w:val="005F65A2"/>
    <w:rsid w:val="005F6ADC"/>
    <w:rsid w:val="005F70F1"/>
    <w:rsid w:val="00601D2E"/>
    <w:rsid w:val="00602A47"/>
    <w:rsid w:val="00603461"/>
    <w:rsid w:val="0060483A"/>
    <w:rsid w:val="00605F43"/>
    <w:rsid w:val="00606A86"/>
    <w:rsid w:val="0061001B"/>
    <w:rsid w:val="00610E03"/>
    <w:rsid w:val="00612C99"/>
    <w:rsid w:val="006133E0"/>
    <w:rsid w:val="00616A17"/>
    <w:rsid w:val="00617148"/>
    <w:rsid w:val="006202D4"/>
    <w:rsid w:val="0062053D"/>
    <w:rsid w:val="00621A44"/>
    <w:rsid w:val="00622192"/>
    <w:rsid w:val="00622C49"/>
    <w:rsid w:val="006244FE"/>
    <w:rsid w:val="006262C9"/>
    <w:rsid w:val="0062735D"/>
    <w:rsid w:val="0062777E"/>
    <w:rsid w:val="00631B9B"/>
    <w:rsid w:val="00642339"/>
    <w:rsid w:val="006442A1"/>
    <w:rsid w:val="0064681C"/>
    <w:rsid w:val="00646B60"/>
    <w:rsid w:val="00646E61"/>
    <w:rsid w:val="0065339A"/>
    <w:rsid w:val="006537ED"/>
    <w:rsid w:val="00654F93"/>
    <w:rsid w:val="006572EF"/>
    <w:rsid w:val="00662AF6"/>
    <w:rsid w:val="00663419"/>
    <w:rsid w:val="00665431"/>
    <w:rsid w:val="00665CDD"/>
    <w:rsid w:val="00666712"/>
    <w:rsid w:val="00670952"/>
    <w:rsid w:val="00670ADB"/>
    <w:rsid w:val="00670EB7"/>
    <w:rsid w:val="00671F65"/>
    <w:rsid w:val="00675A73"/>
    <w:rsid w:val="00684DB9"/>
    <w:rsid w:val="00687AAB"/>
    <w:rsid w:val="00687D33"/>
    <w:rsid w:val="0069068E"/>
    <w:rsid w:val="00692B83"/>
    <w:rsid w:val="00694F2A"/>
    <w:rsid w:val="00694F7E"/>
    <w:rsid w:val="00696942"/>
    <w:rsid w:val="00696DB6"/>
    <w:rsid w:val="006A01F5"/>
    <w:rsid w:val="006A0907"/>
    <w:rsid w:val="006A5BAD"/>
    <w:rsid w:val="006B00D9"/>
    <w:rsid w:val="006B0ABD"/>
    <w:rsid w:val="006B4F00"/>
    <w:rsid w:val="006B5BC8"/>
    <w:rsid w:val="006B69A6"/>
    <w:rsid w:val="006C095D"/>
    <w:rsid w:val="006C0984"/>
    <w:rsid w:val="006C2CE9"/>
    <w:rsid w:val="006C47AD"/>
    <w:rsid w:val="006C517C"/>
    <w:rsid w:val="006C5A88"/>
    <w:rsid w:val="006C7C0B"/>
    <w:rsid w:val="006D2029"/>
    <w:rsid w:val="006D23CB"/>
    <w:rsid w:val="006D3938"/>
    <w:rsid w:val="006D3C84"/>
    <w:rsid w:val="006D52F8"/>
    <w:rsid w:val="006D58CF"/>
    <w:rsid w:val="006D6B9C"/>
    <w:rsid w:val="006D7646"/>
    <w:rsid w:val="006D77E1"/>
    <w:rsid w:val="006E026C"/>
    <w:rsid w:val="006E0B0C"/>
    <w:rsid w:val="006E0E93"/>
    <w:rsid w:val="006E1444"/>
    <w:rsid w:val="006E2AFB"/>
    <w:rsid w:val="006E339E"/>
    <w:rsid w:val="006E42EF"/>
    <w:rsid w:val="006E46F9"/>
    <w:rsid w:val="006E6CC7"/>
    <w:rsid w:val="006E6D33"/>
    <w:rsid w:val="006E7D72"/>
    <w:rsid w:val="006F0B9C"/>
    <w:rsid w:val="006F0DE2"/>
    <w:rsid w:val="006F2CDC"/>
    <w:rsid w:val="006F49B1"/>
    <w:rsid w:val="006F4BD9"/>
    <w:rsid w:val="006F5551"/>
    <w:rsid w:val="006F5A02"/>
    <w:rsid w:val="006F63F1"/>
    <w:rsid w:val="006F6B73"/>
    <w:rsid w:val="006F7E81"/>
    <w:rsid w:val="0070037C"/>
    <w:rsid w:val="0070325E"/>
    <w:rsid w:val="0070356F"/>
    <w:rsid w:val="00710346"/>
    <w:rsid w:val="0071036B"/>
    <w:rsid w:val="0071186A"/>
    <w:rsid w:val="00712255"/>
    <w:rsid w:val="00712D0E"/>
    <w:rsid w:val="007138D1"/>
    <w:rsid w:val="00713F13"/>
    <w:rsid w:val="00713F7C"/>
    <w:rsid w:val="00714BB1"/>
    <w:rsid w:val="00716E6C"/>
    <w:rsid w:val="007200CE"/>
    <w:rsid w:val="00720E1E"/>
    <w:rsid w:val="007224CD"/>
    <w:rsid w:val="00722FA5"/>
    <w:rsid w:val="0072415A"/>
    <w:rsid w:val="00724616"/>
    <w:rsid w:val="00724E8E"/>
    <w:rsid w:val="00730710"/>
    <w:rsid w:val="00732F33"/>
    <w:rsid w:val="00733A54"/>
    <w:rsid w:val="00733EC4"/>
    <w:rsid w:val="00734B9D"/>
    <w:rsid w:val="00735DD8"/>
    <w:rsid w:val="00737542"/>
    <w:rsid w:val="007377A5"/>
    <w:rsid w:val="00746322"/>
    <w:rsid w:val="0075498E"/>
    <w:rsid w:val="00755159"/>
    <w:rsid w:val="00756040"/>
    <w:rsid w:val="00756356"/>
    <w:rsid w:val="0075640A"/>
    <w:rsid w:val="00756F99"/>
    <w:rsid w:val="0075718B"/>
    <w:rsid w:val="007572B6"/>
    <w:rsid w:val="0075760C"/>
    <w:rsid w:val="00757FFA"/>
    <w:rsid w:val="007617DF"/>
    <w:rsid w:val="007620A4"/>
    <w:rsid w:val="007649B7"/>
    <w:rsid w:val="00765BD1"/>
    <w:rsid w:val="00765E7F"/>
    <w:rsid w:val="007672B9"/>
    <w:rsid w:val="0077117F"/>
    <w:rsid w:val="00773460"/>
    <w:rsid w:val="00775843"/>
    <w:rsid w:val="00780A9D"/>
    <w:rsid w:val="00781900"/>
    <w:rsid w:val="00782897"/>
    <w:rsid w:val="00784082"/>
    <w:rsid w:val="00785ADB"/>
    <w:rsid w:val="00785D72"/>
    <w:rsid w:val="00786965"/>
    <w:rsid w:val="0079085E"/>
    <w:rsid w:val="00795DA6"/>
    <w:rsid w:val="007968F1"/>
    <w:rsid w:val="007A19D9"/>
    <w:rsid w:val="007A7112"/>
    <w:rsid w:val="007B10AB"/>
    <w:rsid w:val="007B2179"/>
    <w:rsid w:val="007B518F"/>
    <w:rsid w:val="007B6E7B"/>
    <w:rsid w:val="007C02D7"/>
    <w:rsid w:val="007C1C12"/>
    <w:rsid w:val="007C2335"/>
    <w:rsid w:val="007C5D00"/>
    <w:rsid w:val="007C6CE5"/>
    <w:rsid w:val="007C6E3C"/>
    <w:rsid w:val="007D212F"/>
    <w:rsid w:val="007D6890"/>
    <w:rsid w:val="007E0159"/>
    <w:rsid w:val="007E021B"/>
    <w:rsid w:val="007E1474"/>
    <w:rsid w:val="007E2159"/>
    <w:rsid w:val="007E3EAD"/>
    <w:rsid w:val="007E4152"/>
    <w:rsid w:val="007E631B"/>
    <w:rsid w:val="007E7ADA"/>
    <w:rsid w:val="007F11E6"/>
    <w:rsid w:val="007F174B"/>
    <w:rsid w:val="007F2CA8"/>
    <w:rsid w:val="007F3CC8"/>
    <w:rsid w:val="007F5E7A"/>
    <w:rsid w:val="00800341"/>
    <w:rsid w:val="00804E98"/>
    <w:rsid w:val="008062DF"/>
    <w:rsid w:val="0081039E"/>
    <w:rsid w:val="00811988"/>
    <w:rsid w:val="00814146"/>
    <w:rsid w:val="00814D2D"/>
    <w:rsid w:val="00815760"/>
    <w:rsid w:val="00817913"/>
    <w:rsid w:val="0082062A"/>
    <w:rsid w:val="00820818"/>
    <w:rsid w:val="00820B52"/>
    <w:rsid w:val="00824F82"/>
    <w:rsid w:val="00825E0E"/>
    <w:rsid w:val="008279DA"/>
    <w:rsid w:val="00830695"/>
    <w:rsid w:val="0083115B"/>
    <w:rsid w:val="00831271"/>
    <w:rsid w:val="00832DD4"/>
    <w:rsid w:val="00836021"/>
    <w:rsid w:val="008366C1"/>
    <w:rsid w:val="00836BF5"/>
    <w:rsid w:val="00845DC3"/>
    <w:rsid w:val="00846728"/>
    <w:rsid w:val="008502BF"/>
    <w:rsid w:val="00850797"/>
    <w:rsid w:val="00850A7F"/>
    <w:rsid w:val="0085121C"/>
    <w:rsid w:val="008530C3"/>
    <w:rsid w:val="00855467"/>
    <w:rsid w:val="00856A61"/>
    <w:rsid w:val="0085751A"/>
    <w:rsid w:val="00861C4C"/>
    <w:rsid w:val="00862AEB"/>
    <w:rsid w:val="00863802"/>
    <w:rsid w:val="00864A74"/>
    <w:rsid w:val="00864B02"/>
    <w:rsid w:val="0087048F"/>
    <w:rsid w:val="008704FF"/>
    <w:rsid w:val="00871082"/>
    <w:rsid w:val="00872067"/>
    <w:rsid w:val="00875365"/>
    <w:rsid w:val="008772A9"/>
    <w:rsid w:val="00877454"/>
    <w:rsid w:val="008803D2"/>
    <w:rsid w:val="00885836"/>
    <w:rsid w:val="00887556"/>
    <w:rsid w:val="00887B7A"/>
    <w:rsid w:val="008905E6"/>
    <w:rsid w:val="00890A6E"/>
    <w:rsid w:val="00892990"/>
    <w:rsid w:val="008942C3"/>
    <w:rsid w:val="0089710A"/>
    <w:rsid w:val="00897F07"/>
    <w:rsid w:val="008A142E"/>
    <w:rsid w:val="008A2F3D"/>
    <w:rsid w:val="008A47C3"/>
    <w:rsid w:val="008A5BC3"/>
    <w:rsid w:val="008B61E9"/>
    <w:rsid w:val="008B6C3D"/>
    <w:rsid w:val="008B78D3"/>
    <w:rsid w:val="008C082F"/>
    <w:rsid w:val="008C08B7"/>
    <w:rsid w:val="008C25FE"/>
    <w:rsid w:val="008C3395"/>
    <w:rsid w:val="008C58D7"/>
    <w:rsid w:val="008C5C59"/>
    <w:rsid w:val="008C60F2"/>
    <w:rsid w:val="008C7A12"/>
    <w:rsid w:val="008C7F13"/>
    <w:rsid w:val="008D0892"/>
    <w:rsid w:val="008D0B4A"/>
    <w:rsid w:val="008D2CFF"/>
    <w:rsid w:val="008D74E9"/>
    <w:rsid w:val="008E0B69"/>
    <w:rsid w:val="008E1963"/>
    <w:rsid w:val="008E2288"/>
    <w:rsid w:val="008E2DC3"/>
    <w:rsid w:val="008E4781"/>
    <w:rsid w:val="008E56B4"/>
    <w:rsid w:val="008F0B7C"/>
    <w:rsid w:val="008F1257"/>
    <w:rsid w:val="008F1645"/>
    <w:rsid w:val="008F30F5"/>
    <w:rsid w:val="008F3E95"/>
    <w:rsid w:val="008F5A92"/>
    <w:rsid w:val="008F6B11"/>
    <w:rsid w:val="00900420"/>
    <w:rsid w:val="00901C71"/>
    <w:rsid w:val="00903A92"/>
    <w:rsid w:val="00903CAF"/>
    <w:rsid w:val="009109D7"/>
    <w:rsid w:val="00912B76"/>
    <w:rsid w:val="00913029"/>
    <w:rsid w:val="00913E80"/>
    <w:rsid w:val="00914F6D"/>
    <w:rsid w:val="0092046B"/>
    <w:rsid w:val="00920EEF"/>
    <w:rsid w:val="009219D2"/>
    <w:rsid w:val="009232FB"/>
    <w:rsid w:val="00923FB7"/>
    <w:rsid w:val="00924B64"/>
    <w:rsid w:val="00925F07"/>
    <w:rsid w:val="009273B3"/>
    <w:rsid w:val="009315B0"/>
    <w:rsid w:val="00931DAE"/>
    <w:rsid w:val="00933A6F"/>
    <w:rsid w:val="00933E4A"/>
    <w:rsid w:val="00934FDF"/>
    <w:rsid w:val="00940346"/>
    <w:rsid w:val="009403E7"/>
    <w:rsid w:val="00940D36"/>
    <w:rsid w:val="00942490"/>
    <w:rsid w:val="00942A84"/>
    <w:rsid w:val="00942DAF"/>
    <w:rsid w:val="009438FB"/>
    <w:rsid w:val="00944459"/>
    <w:rsid w:val="009444CF"/>
    <w:rsid w:val="009459CA"/>
    <w:rsid w:val="009473EF"/>
    <w:rsid w:val="0095444D"/>
    <w:rsid w:val="00954B35"/>
    <w:rsid w:val="00955AE8"/>
    <w:rsid w:val="00955F9B"/>
    <w:rsid w:val="00955FD9"/>
    <w:rsid w:val="0096118A"/>
    <w:rsid w:val="00962CC6"/>
    <w:rsid w:val="009635AC"/>
    <w:rsid w:val="00965D1B"/>
    <w:rsid w:val="00966CE3"/>
    <w:rsid w:val="00967D08"/>
    <w:rsid w:val="0097089E"/>
    <w:rsid w:val="0097192A"/>
    <w:rsid w:val="00971A3E"/>
    <w:rsid w:val="009734DC"/>
    <w:rsid w:val="00973D3D"/>
    <w:rsid w:val="0097503E"/>
    <w:rsid w:val="00975AF4"/>
    <w:rsid w:val="009762C0"/>
    <w:rsid w:val="00980138"/>
    <w:rsid w:val="009801E0"/>
    <w:rsid w:val="00980E16"/>
    <w:rsid w:val="009815F7"/>
    <w:rsid w:val="00982F5D"/>
    <w:rsid w:val="00983538"/>
    <w:rsid w:val="00985886"/>
    <w:rsid w:val="00990970"/>
    <w:rsid w:val="00990D25"/>
    <w:rsid w:val="00991739"/>
    <w:rsid w:val="009940AA"/>
    <w:rsid w:val="009A09B4"/>
    <w:rsid w:val="009A25AD"/>
    <w:rsid w:val="009A32C3"/>
    <w:rsid w:val="009B1006"/>
    <w:rsid w:val="009B25B7"/>
    <w:rsid w:val="009B3943"/>
    <w:rsid w:val="009B45ED"/>
    <w:rsid w:val="009B4F12"/>
    <w:rsid w:val="009B7718"/>
    <w:rsid w:val="009C11A0"/>
    <w:rsid w:val="009C15F3"/>
    <w:rsid w:val="009C23F2"/>
    <w:rsid w:val="009C4561"/>
    <w:rsid w:val="009C47D7"/>
    <w:rsid w:val="009C7260"/>
    <w:rsid w:val="009D01CE"/>
    <w:rsid w:val="009D115A"/>
    <w:rsid w:val="009D377F"/>
    <w:rsid w:val="009D3945"/>
    <w:rsid w:val="009E0506"/>
    <w:rsid w:val="009E1DC9"/>
    <w:rsid w:val="009E349E"/>
    <w:rsid w:val="009E50D9"/>
    <w:rsid w:val="009E5224"/>
    <w:rsid w:val="009E5635"/>
    <w:rsid w:val="009E7C4D"/>
    <w:rsid w:val="009E7DF1"/>
    <w:rsid w:val="009F0B62"/>
    <w:rsid w:val="009F1C56"/>
    <w:rsid w:val="009F212C"/>
    <w:rsid w:val="009F45D9"/>
    <w:rsid w:val="009F56FD"/>
    <w:rsid w:val="00A00187"/>
    <w:rsid w:val="00A04309"/>
    <w:rsid w:val="00A062F5"/>
    <w:rsid w:val="00A1161B"/>
    <w:rsid w:val="00A129B2"/>
    <w:rsid w:val="00A15490"/>
    <w:rsid w:val="00A155E3"/>
    <w:rsid w:val="00A1689D"/>
    <w:rsid w:val="00A221C4"/>
    <w:rsid w:val="00A22C8E"/>
    <w:rsid w:val="00A2306C"/>
    <w:rsid w:val="00A2370D"/>
    <w:rsid w:val="00A23FA6"/>
    <w:rsid w:val="00A26F90"/>
    <w:rsid w:val="00A30402"/>
    <w:rsid w:val="00A32FE6"/>
    <w:rsid w:val="00A35463"/>
    <w:rsid w:val="00A355AA"/>
    <w:rsid w:val="00A505F7"/>
    <w:rsid w:val="00A536FA"/>
    <w:rsid w:val="00A569B1"/>
    <w:rsid w:val="00A615EB"/>
    <w:rsid w:val="00A651CA"/>
    <w:rsid w:val="00A65815"/>
    <w:rsid w:val="00A700A9"/>
    <w:rsid w:val="00A72DA6"/>
    <w:rsid w:val="00A769CC"/>
    <w:rsid w:val="00A76AFD"/>
    <w:rsid w:val="00A77883"/>
    <w:rsid w:val="00A809CB"/>
    <w:rsid w:val="00A81480"/>
    <w:rsid w:val="00A87CA4"/>
    <w:rsid w:val="00A9053C"/>
    <w:rsid w:val="00A93699"/>
    <w:rsid w:val="00A9397A"/>
    <w:rsid w:val="00A93F60"/>
    <w:rsid w:val="00A93FFA"/>
    <w:rsid w:val="00A949A3"/>
    <w:rsid w:val="00A961E9"/>
    <w:rsid w:val="00A97674"/>
    <w:rsid w:val="00AA22B3"/>
    <w:rsid w:val="00AA24B0"/>
    <w:rsid w:val="00AA3E8A"/>
    <w:rsid w:val="00AA79F8"/>
    <w:rsid w:val="00AA7A4E"/>
    <w:rsid w:val="00AB005A"/>
    <w:rsid w:val="00AB1139"/>
    <w:rsid w:val="00AB2FAA"/>
    <w:rsid w:val="00AB3213"/>
    <w:rsid w:val="00AB381B"/>
    <w:rsid w:val="00AB41F9"/>
    <w:rsid w:val="00AB5EE1"/>
    <w:rsid w:val="00AB5FDA"/>
    <w:rsid w:val="00AB6449"/>
    <w:rsid w:val="00AB74B1"/>
    <w:rsid w:val="00AC0EE2"/>
    <w:rsid w:val="00AC3631"/>
    <w:rsid w:val="00AC6027"/>
    <w:rsid w:val="00AC75E9"/>
    <w:rsid w:val="00AD098B"/>
    <w:rsid w:val="00AD0F10"/>
    <w:rsid w:val="00AD225E"/>
    <w:rsid w:val="00AD34E9"/>
    <w:rsid w:val="00AD37FB"/>
    <w:rsid w:val="00AD69C8"/>
    <w:rsid w:val="00AD76D4"/>
    <w:rsid w:val="00AD7A6D"/>
    <w:rsid w:val="00AE3E19"/>
    <w:rsid w:val="00AF23A6"/>
    <w:rsid w:val="00AF575C"/>
    <w:rsid w:val="00AF62CC"/>
    <w:rsid w:val="00AF6E85"/>
    <w:rsid w:val="00B00208"/>
    <w:rsid w:val="00B00D82"/>
    <w:rsid w:val="00B01BD8"/>
    <w:rsid w:val="00B0238C"/>
    <w:rsid w:val="00B03590"/>
    <w:rsid w:val="00B03DE0"/>
    <w:rsid w:val="00B04149"/>
    <w:rsid w:val="00B062FB"/>
    <w:rsid w:val="00B065D8"/>
    <w:rsid w:val="00B078C4"/>
    <w:rsid w:val="00B12629"/>
    <w:rsid w:val="00B14E96"/>
    <w:rsid w:val="00B22598"/>
    <w:rsid w:val="00B2309B"/>
    <w:rsid w:val="00B23784"/>
    <w:rsid w:val="00B2556E"/>
    <w:rsid w:val="00B263CB"/>
    <w:rsid w:val="00B26E1F"/>
    <w:rsid w:val="00B26F53"/>
    <w:rsid w:val="00B2766F"/>
    <w:rsid w:val="00B27A4E"/>
    <w:rsid w:val="00B311E9"/>
    <w:rsid w:val="00B33B82"/>
    <w:rsid w:val="00B33BD9"/>
    <w:rsid w:val="00B3412B"/>
    <w:rsid w:val="00B359A5"/>
    <w:rsid w:val="00B37905"/>
    <w:rsid w:val="00B40EF1"/>
    <w:rsid w:val="00B41C4D"/>
    <w:rsid w:val="00B4352B"/>
    <w:rsid w:val="00B449EC"/>
    <w:rsid w:val="00B45CF9"/>
    <w:rsid w:val="00B51AE9"/>
    <w:rsid w:val="00B52100"/>
    <w:rsid w:val="00B544E4"/>
    <w:rsid w:val="00B56890"/>
    <w:rsid w:val="00B6054D"/>
    <w:rsid w:val="00B615BC"/>
    <w:rsid w:val="00B6196C"/>
    <w:rsid w:val="00B61BA4"/>
    <w:rsid w:val="00B63CA5"/>
    <w:rsid w:val="00B6462B"/>
    <w:rsid w:val="00B660A3"/>
    <w:rsid w:val="00B704C1"/>
    <w:rsid w:val="00B70556"/>
    <w:rsid w:val="00B7100F"/>
    <w:rsid w:val="00B802BF"/>
    <w:rsid w:val="00B81CA0"/>
    <w:rsid w:val="00B81DB0"/>
    <w:rsid w:val="00B829AE"/>
    <w:rsid w:val="00B83BC9"/>
    <w:rsid w:val="00B83BF5"/>
    <w:rsid w:val="00B860EB"/>
    <w:rsid w:val="00B86EA9"/>
    <w:rsid w:val="00B90776"/>
    <w:rsid w:val="00B909B5"/>
    <w:rsid w:val="00B9362A"/>
    <w:rsid w:val="00B97E5F"/>
    <w:rsid w:val="00BA1F28"/>
    <w:rsid w:val="00BA2459"/>
    <w:rsid w:val="00BA2C74"/>
    <w:rsid w:val="00BA313B"/>
    <w:rsid w:val="00BA5159"/>
    <w:rsid w:val="00BA52A1"/>
    <w:rsid w:val="00BA568F"/>
    <w:rsid w:val="00BB1165"/>
    <w:rsid w:val="00BB201E"/>
    <w:rsid w:val="00BB5D09"/>
    <w:rsid w:val="00BB72C7"/>
    <w:rsid w:val="00BC195C"/>
    <w:rsid w:val="00BC223D"/>
    <w:rsid w:val="00BC24B7"/>
    <w:rsid w:val="00BC28CD"/>
    <w:rsid w:val="00BC3FE0"/>
    <w:rsid w:val="00BC608B"/>
    <w:rsid w:val="00BD0EA7"/>
    <w:rsid w:val="00BD14C5"/>
    <w:rsid w:val="00BD19D4"/>
    <w:rsid w:val="00BD1C25"/>
    <w:rsid w:val="00BD23E2"/>
    <w:rsid w:val="00BD2AC7"/>
    <w:rsid w:val="00BD4CD2"/>
    <w:rsid w:val="00BD6703"/>
    <w:rsid w:val="00BE15EE"/>
    <w:rsid w:val="00BE2070"/>
    <w:rsid w:val="00BE302C"/>
    <w:rsid w:val="00BE3934"/>
    <w:rsid w:val="00BE73EF"/>
    <w:rsid w:val="00BF0746"/>
    <w:rsid w:val="00BF241A"/>
    <w:rsid w:val="00BF29A2"/>
    <w:rsid w:val="00BF319B"/>
    <w:rsid w:val="00BF35C5"/>
    <w:rsid w:val="00BF41C5"/>
    <w:rsid w:val="00BF5862"/>
    <w:rsid w:val="00BF6085"/>
    <w:rsid w:val="00BF7F4C"/>
    <w:rsid w:val="00C00700"/>
    <w:rsid w:val="00C00DEC"/>
    <w:rsid w:val="00C01112"/>
    <w:rsid w:val="00C12D04"/>
    <w:rsid w:val="00C14190"/>
    <w:rsid w:val="00C14D16"/>
    <w:rsid w:val="00C17CE2"/>
    <w:rsid w:val="00C20A50"/>
    <w:rsid w:val="00C20E45"/>
    <w:rsid w:val="00C2107D"/>
    <w:rsid w:val="00C212DD"/>
    <w:rsid w:val="00C24DB6"/>
    <w:rsid w:val="00C305FF"/>
    <w:rsid w:val="00C30936"/>
    <w:rsid w:val="00C3279C"/>
    <w:rsid w:val="00C363F7"/>
    <w:rsid w:val="00C36A73"/>
    <w:rsid w:val="00C378E6"/>
    <w:rsid w:val="00C40452"/>
    <w:rsid w:val="00C432E0"/>
    <w:rsid w:val="00C435E2"/>
    <w:rsid w:val="00C457E3"/>
    <w:rsid w:val="00C51EDF"/>
    <w:rsid w:val="00C51F1E"/>
    <w:rsid w:val="00C5489C"/>
    <w:rsid w:val="00C5608C"/>
    <w:rsid w:val="00C560E7"/>
    <w:rsid w:val="00C62136"/>
    <w:rsid w:val="00C630A5"/>
    <w:rsid w:val="00C641E3"/>
    <w:rsid w:val="00C659AE"/>
    <w:rsid w:val="00C66C48"/>
    <w:rsid w:val="00C70020"/>
    <w:rsid w:val="00C70718"/>
    <w:rsid w:val="00C70D02"/>
    <w:rsid w:val="00C70E98"/>
    <w:rsid w:val="00C7276C"/>
    <w:rsid w:val="00C72B96"/>
    <w:rsid w:val="00C73DB2"/>
    <w:rsid w:val="00C75917"/>
    <w:rsid w:val="00C75BC9"/>
    <w:rsid w:val="00C75EB2"/>
    <w:rsid w:val="00C765EC"/>
    <w:rsid w:val="00C80868"/>
    <w:rsid w:val="00C80A4D"/>
    <w:rsid w:val="00C813C5"/>
    <w:rsid w:val="00C82DC2"/>
    <w:rsid w:val="00C8306E"/>
    <w:rsid w:val="00C837A1"/>
    <w:rsid w:val="00C8395C"/>
    <w:rsid w:val="00C84768"/>
    <w:rsid w:val="00C86253"/>
    <w:rsid w:val="00C90762"/>
    <w:rsid w:val="00C907F4"/>
    <w:rsid w:val="00C91986"/>
    <w:rsid w:val="00C93DCF"/>
    <w:rsid w:val="00C951F6"/>
    <w:rsid w:val="00C95629"/>
    <w:rsid w:val="00C96472"/>
    <w:rsid w:val="00CA02A0"/>
    <w:rsid w:val="00CA0DA4"/>
    <w:rsid w:val="00CA3550"/>
    <w:rsid w:val="00CA39A6"/>
    <w:rsid w:val="00CA3ECB"/>
    <w:rsid w:val="00CA3F9B"/>
    <w:rsid w:val="00CA4563"/>
    <w:rsid w:val="00CA7138"/>
    <w:rsid w:val="00CA7F57"/>
    <w:rsid w:val="00CB2312"/>
    <w:rsid w:val="00CB2722"/>
    <w:rsid w:val="00CB2D86"/>
    <w:rsid w:val="00CB2DDE"/>
    <w:rsid w:val="00CB3382"/>
    <w:rsid w:val="00CB3502"/>
    <w:rsid w:val="00CB47CD"/>
    <w:rsid w:val="00CB4DA0"/>
    <w:rsid w:val="00CB6C35"/>
    <w:rsid w:val="00CC29F3"/>
    <w:rsid w:val="00CC3197"/>
    <w:rsid w:val="00CC56A7"/>
    <w:rsid w:val="00CC56CA"/>
    <w:rsid w:val="00CC5762"/>
    <w:rsid w:val="00CC687E"/>
    <w:rsid w:val="00CC7797"/>
    <w:rsid w:val="00CC7A0C"/>
    <w:rsid w:val="00CD11DA"/>
    <w:rsid w:val="00CD1216"/>
    <w:rsid w:val="00CD306F"/>
    <w:rsid w:val="00CD32BF"/>
    <w:rsid w:val="00CD4649"/>
    <w:rsid w:val="00CD4923"/>
    <w:rsid w:val="00CE1085"/>
    <w:rsid w:val="00CE1424"/>
    <w:rsid w:val="00CE1E81"/>
    <w:rsid w:val="00CE1EB7"/>
    <w:rsid w:val="00CE202B"/>
    <w:rsid w:val="00CE380F"/>
    <w:rsid w:val="00CE39BC"/>
    <w:rsid w:val="00CE53EF"/>
    <w:rsid w:val="00CE5C68"/>
    <w:rsid w:val="00CE659A"/>
    <w:rsid w:val="00CE67BD"/>
    <w:rsid w:val="00CE6EF6"/>
    <w:rsid w:val="00CE7487"/>
    <w:rsid w:val="00CF1FCF"/>
    <w:rsid w:val="00CF31F0"/>
    <w:rsid w:val="00CF348D"/>
    <w:rsid w:val="00CF35E5"/>
    <w:rsid w:val="00CF3ED5"/>
    <w:rsid w:val="00CF5FC7"/>
    <w:rsid w:val="00CF6481"/>
    <w:rsid w:val="00CF6FE4"/>
    <w:rsid w:val="00CF7F6E"/>
    <w:rsid w:val="00D01DB5"/>
    <w:rsid w:val="00D04074"/>
    <w:rsid w:val="00D040C3"/>
    <w:rsid w:val="00D04950"/>
    <w:rsid w:val="00D05116"/>
    <w:rsid w:val="00D07720"/>
    <w:rsid w:val="00D13B34"/>
    <w:rsid w:val="00D142B1"/>
    <w:rsid w:val="00D152A7"/>
    <w:rsid w:val="00D163FA"/>
    <w:rsid w:val="00D171BB"/>
    <w:rsid w:val="00D2121C"/>
    <w:rsid w:val="00D23022"/>
    <w:rsid w:val="00D23CB8"/>
    <w:rsid w:val="00D25B30"/>
    <w:rsid w:val="00D26769"/>
    <w:rsid w:val="00D26B58"/>
    <w:rsid w:val="00D27693"/>
    <w:rsid w:val="00D31C8E"/>
    <w:rsid w:val="00D3250C"/>
    <w:rsid w:val="00D3691E"/>
    <w:rsid w:val="00D36AFB"/>
    <w:rsid w:val="00D375AB"/>
    <w:rsid w:val="00D40940"/>
    <w:rsid w:val="00D41C5D"/>
    <w:rsid w:val="00D429D2"/>
    <w:rsid w:val="00D43B89"/>
    <w:rsid w:val="00D45B4B"/>
    <w:rsid w:val="00D46886"/>
    <w:rsid w:val="00D511CF"/>
    <w:rsid w:val="00D51FC4"/>
    <w:rsid w:val="00D53FAE"/>
    <w:rsid w:val="00D5445A"/>
    <w:rsid w:val="00D556DA"/>
    <w:rsid w:val="00D560FC"/>
    <w:rsid w:val="00D5687F"/>
    <w:rsid w:val="00D62254"/>
    <w:rsid w:val="00D62405"/>
    <w:rsid w:val="00D65900"/>
    <w:rsid w:val="00D71E9D"/>
    <w:rsid w:val="00D739B4"/>
    <w:rsid w:val="00D74A63"/>
    <w:rsid w:val="00D8080B"/>
    <w:rsid w:val="00D80B7C"/>
    <w:rsid w:val="00D81119"/>
    <w:rsid w:val="00D82141"/>
    <w:rsid w:val="00D82ECA"/>
    <w:rsid w:val="00D835A2"/>
    <w:rsid w:val="00D83EE1"/>
    <w:rsid w:val="00D850F3"/>
    <w:rsid w:val="00D872C3"/>
    <w:rsid w:val="00D9027A"/>
    <w:rsid w:val="00D93959"/>
    <w:rsid w:val="00D950AB"/>
    <w:rsid w:val="00D959F4"/>
    <w:rsid w:val="00D96817"/>
    <w:rsid w:val="00D97173"/>
    <w:rsid w:val="00DA166D"/>
    <w:rsid w:val="00DA4881"/>
    <w:rsid w:val="00DA5FDB"/>
    <w:rsid w:val="00DA6554"/>
    <w:rsid w:val="00DA6C23"/>
    <w:rsid w:val="00DA77C7"/>
    <w:rsid w:val="00DB01BA"/>
    <w:rsid w:val="00DB06AF"/>
    <w:rsid w:val="00DB1273"/>
    <w:rsid w:val="00DB31DC"/>
    <w:rsid w:val="00DB3911"/>
    <w:rsid w:val="00DB44AA"/>
    <w:rsid w:val="00DB5776"/>
    <w:rsid w:val="00DB5CE4"/>
    <w:rsid w:val="00DC1E1A"/>
    <w:rsid w:val="00DC21DC"/>
    <w:rsid w:val="00DC3C2F"/>
    <w:rsid w:val="00DC5ABB"/>
    <w:rsid w:val="00DC6D92"/>
    <w:rsid w:val="00DD01B5"/>
    <w:rsid w:val="00DD1EBE"/>
    <w:rsid w:val="00DD2C48"/>
    <w:rsid w:val="00DD4EA5"/>
    <w:rsid w:val="00DD5BD6"/>
    <w:rsid w:val="00DE1760"/>
    <w:rsid w:val="00DE22F1"/>
    <w:rsid w:val="00DE3842"/>
    <w:rsid w:val="00DE54E6"/>
    <w:rsid w:val="00DE7A33"/>
    <w:rsid w:val="00DF075C"/>
    <w:rsid w:val="00DF259A"/>
    <w:rsid w:val="00DF3719"/>
    <w:rsid w:val="00DF38B2"/>
    <w:rsid w:val="00DF3AEB"/>
    <w:rsid w:val="00DF4636"/>
    <w:rsid w:val="00DF4DC2"/>
    <w:rsid w:val="00DF5524"/>
    <w:rsid w:val="00DF7633"/>
    <w:rsid w:val="00E020C2"/>
    <w:rsid w:val="00E0435C"/>
    <w:rsid w:val="00E06C29"/>
    <w:rsid w:val="00E073AA"/>
    <w:rsid w:val="00E07FE3"/>
    <w:rsid w:val="00E11C1F"/>
    <w:rsid w:val="00E11CBC"/>
    <w:rsid w:val="00E17547"/>
    <w:rsid w:val="00E17912"/>
    <w:rsid w:val="00E2191D"/>
    <w:rsid w:val="00E21CBE"/>
    <w:rsid w:val="00E22263"/>
    <w:rsid w:val="00E22527"/>
    <w:rsid w:val="00E24568"/>
    <w:rsid w:val="00E251DE"/>
    <w:rsid w:val="00E27E41"/>
    <w:rsid w:val="00E31A70"/>
    <w:rsid w:val="00E32FEB"/>
    <w:rsid w:val="00E33BF7"/>
    <w:rsid w:val="00E34303"/>
    <w:rsid w:val="00E35322"/>
    <w:rsid w:val="00E35393"/>
    <w:rsid w:val="00E359A2"/>
    <w:rsid w:val="00E35A2F"/>
    <w:rsid w:val="00E372BB"/>
    <w:rsid w:val="00E37B51"/>
    <w:rsid w:val="00E403C0"/>
    <w:rsid w:val="00E41962"/>
    <w:rsid w:val="00E42B78"/>
    <w:rsid w:val="00E42F71"/>
    <w:rsid w:val="00E4465D"/>
    <w:rsid w:val="00E53203"/>
    <w:rsid w:val="00E5324F"/>
    <w:rsid w:val="00E54F5A"/>
    <w:rsid w:val="00E55AF9"/>
    <w:rsid w:val="00E57AB1"/>
    <w:rsid w:val="00E615DF"/>
    <w:rsid w:val="00E61D7F"/>
    <w:rsid w:val="00E622D6"/>
    <w:rsid w:val="00E635AD"/>
    <w:rsid w:val="00E6546D"/>
    <w:rsid w:val="00E72770"/>
    <w:rsid w:val="00E73DC9"/>
    <w:rsid w:val="00E74498"/>
    <w:rsid w:val="00E77900"/>
    <w:rsid w:val="00E80AE9"/>
    <w:rsid w:val="00E80D0A"/>
    <w:rsid w:val="00E849A6"/>
    <w:rsid w:val="00E84BD4"/>
    <w:rsid w:val="00E8508B"/>
    <w:rsid w:val="00E8579E"/>
    <w:rsid w:val="00E879F2"/>
    <w:rsid w:val="00E911E6"/>
    <w:rsid w:val="00E913DA"/>
    <w:rsid w:val="00E92897"/>
    <w:rsid w:val="00E93CDD"/>
    <w:rsid w:val="00E96D3B"/>
    <w:rsid w:val="00E97109"/>
    <w:rsid w:val="00E97257"/>
    <w:rsid w:val="00EA012A"/>
    <w:rsid w:val="00EA0B96"/>
    <w:rsid w:val="00EA1C96"/>
    <w:rsid w:val="00EA5AC5"/>
    <w:rsid w:val="00EA64BE"/>
    <w:rsid w:val="00EB36F5"/>
    <w:rsid w:val="00EB391F"/>
    <w:rsid w:val="00EC1A42"/>
    <w:rsid w:val="00EC3147"/>
    <w:rsid w:val="00EC4661"/>
    <w:rsid w:val="00EC47F8"/>
    <w:rsid w:val="00EC6834"/>
    <w:rsid w:val="00EC75B8"/>
    <w:rsid w:val="00EC78DD"/>
    <w:rsid w:val="00ED025D"/>
    <w:rsid w:val="00ED0937"/>
    <w:rsid w:val="00ED1C62"/>
    <w:rsid w:val="00ED3298"/>
    <w:rsid w:val="00ED41C0"/>
    <w:rsid w:val="00ED4D27"/>
    <w:rsid w:val="00EE1EBA"/>
    <w:rsid w:val="00EE4029"/>
    <w:rsid w:val="00EE55C1"/>
    <w:rsid w:val="00EE7808"/>
    <w:rsid w:val="00EF30D6"/>
    <w:rsid w:val="00EF7DC6"/>
    <w:rsid w:val="00F003CB"/>
    <w:rsid w:val="00F02AD7"/>
    <w:rsid w:val="00F03017"/>
    <w:rsid w:val="00F03856"/>
    <w:rsid w:val="00F03BEA"/>
    <w:rsid w:val="00F057B9"/>
    <w:rsid w:val="00F0702C"/>
    <w:rsid w:val="00F073BA"/>
    <w:rsid w:val="00F075AC"/>
    <w:rsid w:val="00F07E41"/>
    <w:rsid w:val="00F10039"/>
    <w:rsid w:val="00F11556"/>
    <w:rsid w:val="00F11F91"/>
    <w:rsid w:val="00F121E1"/>
    <w:rsid w:val="00F134B6"/>
    <w:rsid w:val="00F1522E"/>
    <w:rsid w:val="00F179C3"/>
    <w:rsid w:val="00F2070B"/>
    <w:rsid w:val="00F23071"/>
    <w:rsid w:val="00F237B6"/>
    <w:rsid w:val="00F25A77"/>
    <w:rsid w:val="00F2679D"/>
    <w:rsid w:val="00F2750D"/>
    <w:rsid w:val="00F332C9"/>
    <w:rsid w:val="00F406F9"/>
    <w:rsid w:val="00F40C72"/>
    <w:rsid w:val="00F42395"/>
    <w:rsid w:val="00F42568"/>
    <w:rsid w:val="00F44AC5"/>
    <w:rsid w:val="00F45DA7"/>
    <w:rsid w:val="00F476A2"/>
    <w:rsid w:val="00F561FA"/>
    <w:rsid w:val="00F61001"/>
    <w:rsid w:val="00F62D12"/>
    <w:rsid w:val="00F632BB"/>
    <w:rsid w:val="00F632EB"/>
    <w:rsid w:val="00F65B61"/>
    <w:rsid w:val="00F66CA8"/>
    <w:rsid w:val="00F66EF8"/>
    <w:rsid w:val="00F671DE"/>
    <w:rsid w:val="00F676C7"/>
    <w:rsid w:val="00F768CF"/>
    <w:rsid w:val="00F77A1B"/>
    <w:rsid w:val="00F77DF4"/>
    <w:rsid w:val="00F8233D"/>
    <w:rsid w:val="00F82A79"/>
    <w:rsid w:val="00F82DF1"/>
    <w:rsid w:val="00F8458B"/>
    <w:rsid w:val="00F85647"/>
    <w:rsid w:val="00F858E0"/>
    <w:rsid w:val="00F85DA2"/>
    <w:rsid w:val="00F86789"/>
    <w:rsid w:val="00F90648"/>
    <w:rsid w:val="00F919A3"/>
    <w:rsid w:val="00F91B02"/>
    <w:rsid w:val="00F934FB"/>
    <w:rsid w:val="00F95641"/>
    <w:rsid w:val="00F96442"/>
    <w:rsid w:val="00FA2405"/>
    <w:rsid w:val="00FA2809"/>
    <w:rsid w:val="00FA41E8"/>
    <w:rsid w:val="00FA561A"/>
    <w:rsid w:val="00FA646C"/>
    <w:rsid w:val="00FB03E1"/>
    <w:rsid w:val="00FB1128"/>
    <w:rsid w:val="00FB3F0E"/>
    <w:rsid w:val="00FB52B5"/>
    <w:rsid w:val="00FB78F5"/>
    <w:rsid w:val="00FC03D7"/>
    <w:rsid w:val="00FC1DC7"/>
    <w:rsid w:val="00FC2B46"/>
    <w:rsid w:val="00FC2E91"/>
    <w:rsid w:val="00FC2E96"/>
    <w:rsid w:val="00FC481E"/>
    <w:rsid w:val="00FC74BF"/>
    <w:rsid w:val="00FD0D49"/>
    <w:rsid w:val="00FD1575"/>
    <w:rsid w:val="00FD328C"/>
    <w:rsid w:val="00FD4DA9"/>
    <w:rsid w:val="00FD608A"/>
    <w:rsid w:val="00FD61D0"/>
    <w:rsid w:val="00FE56FE"/>
    <w:rsid w:val="00FF02AA"/>
    <w:rsid w:val="00FF0491"/>
    <w:rsid w:val="00FF07AC"/>
    <w:rsid w:val="00FF1D04"/>
    <w:rsid w:val="00FF2844"/>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28E75B57-362F-4D36-A898-116C008C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E53203"/>
    <w:pPr>
      <w:numPr>
        <w:numId w:val="4"/>
      </w:numPr>
      <w:spacing w:before="0" w:after="200" w:line="276" w:lineRule="auto"/>
      <w:jc w:val="both"/>
      <w:outlineLvl w:val="0"/>
    </w:pPr>
    <w:rPr>
      <w:rFonts w:ascii="Times New Roman" w:eastAsia="Calibri" w:hAnsi="Times New Roman" w:cs="Times New Roman"/>
      <w:b/>
      <w:color w:val="1F497D" w:themeColor="text2"/>
      <w:sz w:val="28"/>
    </w:rPr>
  </w:style>
  <w:style w:type="paragraph" w:styleId="Heading2">
    <w:name w:val="heading 2"/>
    <w:basedOn w:val="Normal"/>
    <w:next w:val="Normal"/>
    <w:link w:val="Heading2Char"/>
    <w:uiPriority w:val="9"/>
    <w:semiHidden/>
    <w:unhideWhenUsed/>
    <w:qFormat/>
    <w:rsid w:val="008206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7C0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4B1B"/>
    <w:pPr>
      <w:keepNext/>
      <w:keepLines/>
      <w:jc w:val="center"/>
      <w:outlineLvl w:val="3"/>
    </w:pPr>
    <w:rPr>
      <w:rFonts w:ascii="Arial" w:eastAsiaTheme="majorEastAsia" w:hAnsi="Arial" w:cs="Arial"/>
      <w:b/>
      <w:bCs/>
      <w:iCs/>
    </w:rPr>
  </w:style>
  <w:style w:type="paragraph" w:styleId="Heading5">
    <w:name w:val="heading 5"/>
    <w:basedOn w:val="Normal"/>
    <w:next w:val="Normal"/>
    <w:link w:val="Heading5Char"/>
    <w:uiPriority w:val="9"/>
    <w:semiHidden/>
    <w:unhideWhenUsed/>
    <w:qFormat/>
    <w:rsid w:val="00DF259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6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629"/>
    <w:rPr>
      <w:rFonts w:ascii="Tahoma" w:hAnsi="Tahoma" w:cs="Tahoma"/>
      <w:sz w:val="16"/>
      <w:szCs w:val="16"/>
    </w:rPr>
  </w:style>
  <w:style w:type="character" w:styleId="Hyperlink">
    <w:name w:val="Hyperlink"/>
    <w:basedOn w:val="DefaultParagraphFont"/>
    <w:uiPriority w:val="99"/>
    <w:unhideWhenUsed/>
    <w:rsid w:val="00B12629"/>
    <w:rPr>
      <w:color w:val="0000FF" w:themeColor="hyperlink"/>
      <w:u w:val="single"/>
    </w:rPr>
  </w:style>
  <w:style w:type="paragraph" w:styleId="FootnoteText">
    <w:name w:val="footnote text"/>
    <w:aliases w:val="DSI Footnote Text,Ja Footnote Text,DSI Footnote Text11,ft Char11,ft1,DSI Footnote Text1,ft Char1,ft,DSI Footnote Reference,DSI Footnote Text111,ft Char111,ft11,DSI Footnote Text112,ft Char112,ft12,DSI Footnote Text2,DSI Footnote Text1111,f"/>
    <w:basedOn w:val="Normal"/>
    <w:link w:val="FootnoteTextChar"/>
    <w:uiPriority w:val="99"/>
    <w:unhideWhenUsed/>
    <w:rsid w:val="004C2575"/>
    <w:pPr>
      <w:spacing w:after="0"/>
    </w:pPr>
    <w:rPr>
      <w:sz w:val="20"/>
      <w:szCs w:val="20"/>
    </w:rPr>
  </w:style>
  <w:style w:type="character" w:customStyle="1" w:styleId="FootnoteTextChar">
    <w:name w:val="Footnote Text Char"/>
    <w:aliases w:val="DSI Footnote Text Char,Ja Footnote Text Char,DSI Footnote Text11 Char,ft Char11 Char,ft1 Char,DSI Footnote Text1 Char,ft Char1 Char,ft Char,DSI Footnote Reference Char,DSI Footnote Text111 Char,ft Char111 Char,ft11 Char,ft12 Char"/>
    <w:basedOn w:val="DefaultParagraphFont"/>
    <w:link w:val="FootnoteText"/>
    <w:uiPriority w:val="99"/>
    <w:rsid w:val="004C2575"/>
    <w:rPr>
      <w:sz w:val="20"/>
      <w:szCs w:val="20"/>
    </w:rPr>
  </w:style>
  <w:style w:type="character" w:styleId="FootnoteReference">
    <w:name w:val="footnote reference"/>
    <w:aliases w:val="ftref,16 Point,Superscript 6 Point,Car Car Char Car Char Car Car Char Car Char Char,Car Car Car Car Car Car Car Car Char Car Car Char Car Car Car Char Car Char Char Char,BVI fnr,Ref,de nota al pie"/>
    <w:basedOn w:val="DefaultParagraphFont"/>
    <w:uiPriority w:val="99"/>
    <w:unhideWhenUsed/>
    <w:rsid w:val="004C2575"/>
    <w:rPr>
      <w:vertAlign w:val="superscript"/>
    </w:rPr>
  </w:style>
  <w:style w:type="character" w:customStyle="1" w:styleId="Heading4Char">
    <w:name w:val="Heading 4 Char"/>
    <w:basedOn w:val="DefaultParagraphFont"/>
    <w:link w:val="Heading4"/>
    <w:uiPriority w:val="9"/>
    <w:rsid w:val="00004B1B"/>
    <w:rPr>
      <w:rFonts w:ascii="Arial" w:eastAsiaTheme="majorEastAsia" w:hAnsi="Arial" w:cs="Arial"/>
      <w:b/>
      <w:bCs/>
      <w:iCs/>
    </w:rPr>
  </w:style>
  <w:style w:type="paragraph" w:styleId="ListParagraph">
    <w:name w:val="List Paragraph"/>
    <w:basedOn w:val="Normal"/>
    <w:link w:val="ListParagraphChar"/>
    <w:uiPriority w:val="34"/>
    <w:qFormat/>
    <w:rsid w:val="004C5683"/>
    <w:pPr>
      <w:ind w:left="720"/>
      <w:contextualSpacing/>
    </w:pPr>
    <w:rPr>
      <w:rFonts w:ascii="Arial" w:hAnsi="Arial" w:cs="Arial"/>
    </w:rPr>
  </w:style>
  <w:style w:type="table" w:styleId="TableGrid">
    <w:name w:val="Table Grid"/>
    <w:basedOn w:val="TableNormal"/>
    <w:uiPriority w:val="39"/>
    <w:rsid w:val="00DF7633"/>
    <w:pPr>
      <w:spacing w:before="0" w:after="0"/>
    </w:pPr>
    <w:rPr>
      <w:rFonts w:ascii="Arial" w:hAnsi="Arial" w:cs="Arial"/>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E1E81"/>
  </w:style>
  <w:style w:type="paragraph" w:styleId="Header">
    <w:name w:val="header"/>
    <w:basedOn w:val="Normal"/>
    <w:link w:val="HeaderChar"/>
    <w:uiPriority w:val="99"/>
    <w:unhideWhenUsed/>
    <w:rsid w:val="00612C99"/>
    <w:pPr>
      <w:tabs>
        <w:tab w:val="center" w:pos="4680"/>
        <w:tab w:val="right" w:pos="9360"/>
      </w:tabs>
      <w:spacing w:before="0" w:after="0"/>
    </w:pPr>
  </w:style>
  <w:style w:type="character" w:customStyle="1" w:styleId="HeaderChar">
    <w:name w:val="Header Char"/>
    <w:basedOn w:val="DefaultParagraphFont"/>
    <w:link w:val="Header"/>
    <w:uiPriority w:val="99"/>
    <w:rsid w:val="00612C99"/>
  </w:style>
  <w:style w:type="paragraph" w:styleId="Footer">
    <w:name w:val="footer"/>
    <w:basedOn w:val="Normal"/>
    <w:link w:val="FooterChar"/>
    <w:uiPriority w:val="99"/>
    <w:unhideWhenUsed/>
    <w:rsid w:val="00612C99"/>
    <w:pPr>
      <w:tabs>
        <w:tab w:val="center" w:pos="4680"/>
        <w:tab w:val="right" w:pos="9360"/>
      </w:tabs>
      <w:spacing w:before="0" w:after="0"/>
    </w:pPr>
  </w:style>
  <w:style w:type="character" w:customStyle="1" w:styleId="FooterChar">
    <w:name w:val="Footer Char"/>
    <w:basedOn w:val="DefaultParagraphFont"/>
    <w:link w:val="Footer"/>
    <w:uiPriority w:val="99"/>
    <w:rsid w:val="00612C99"/>
  </w:style>
  <w:style w:type="character" w:customStyle="1" w:styleId="Heading3Char">
    <w:name w:val="Heading 3 Char"/>
    <w:basedOn w:val="DefaultParagraphFont"/>
    <w:link w:val="Heading3"/>
    <w:uiPriority w:val="9"/>
    <w:semiHidden/>
    <w:rsid w:val="006C7C0B"/>
    <w:rPr>
      <w:rFonts w:asciiTheme="majorHAnsi" w:eastAsiaTheme="majorEastAsia" w:hAnsiTheme="majorHAnsi" w:cstheme="majorBidi"/>
      <w:b/>
      <w:bCs/>
      <w:color w:val="4F81BD" w:themeColor="accent1"/>
    </w:rPr>
  </w:style>
  <w:style w:type="character" w:customStyle="1" w:styleId="yiv5597070818">
    <w:name w:val="yiv5597070818"/>
    <w:basedOn w:val="DefaultParagraphFont"/>
    <w:rsid w:val="00FD4DA9"/>
  </w:style>
  <w:style w:type="paragraph" w:styleId="NormalWeb">
    <w:name w:val="Normal (Web)"/>
    <w:basedOn w:val="Normal"/>
    <w:uiPriority w:val="99"/>
    <w:unhideWhenUsed/>
    <w:rsid w:val="0020777C"/>
    <w:pPr>
      <w:spacing w:before="100" w:beforeAutospacing="1" w:after="100" w:afterAutospacing="1" w:line="276" w:lineRule="auto"/>
    </w:pPr>
    <w:rPr>
      <w:rFonts w:eastAsia="Times New Roman"/>
      <w:b/>
    </w:rPr>
  </w:style>
  <w:style w:type="paragraph" w:styleId="Title">
    <w:name w:val="Title"/>
    <w:basedOn w:val="Normal"/>
    <w:next w:val="Normal"/>
    <w:link w:val="TitleChar"/>
    <w:uiPriority w:val="10"/>
    <w:qFormat/>
    <w:rsid w:val="00E5320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320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53203"/>
    <w:rPr>
      <w:rFonts w:eastAsia="Calibri"/>
      <w:b/>
      <w:color w:val="1F497D" w:themeColor="text2"/>
      <w:sz w:val="28"/>
      <w:szCs w:val="24"/>
    </w:rPr>
  </w:style>
  <w:style w:type="paragraph" w:styleId="TOCHeading">
    <w:name w:val="TOC Heading"/>
    <w:basedOn w:val="Heading1"/>
    <w:next w:val="Normal"/>
    <w:uiPriority w:val="39"/>
    <w:unhideWhenUsed/>
    <w:qFormat/>
    <w:rsid w:val="00E53203"/>
    <w:pPr>
      <w:ind w:left="1080" w:hanging="720"/>
      <w:outlineLvl w:val="9"/>
    </w:pPr>
    <w:rPr>
      <w:rFonts w:eastAsiaTheme="minorEastAsia"/>
      <w:lang w:val="en-SG"/>
    </w:rPr>
  </w:style>
  <w:style w:type="paragraph" w:styleId="TOC1">
    <w:name w:val="toc 1"/>
    <w:basedOn w:val="Normal"/>
    <w:next w:val="Normal"/>
    <w:autoRedefine/>
    <w:uiPriority w:val="39"/>
    <w:unhideWhenUsed/>
    <w:qFormat/>
    <w:rsid w:val="00C00DEC"/>
    <w:pPr>
      <w:tabs>
        <w:tab w:val="right" w:leader="dot" w:pos="9356"/>
      </w:tabs>
      <w:spacing w:before="100" w:after="100" w:line="276" w:lineRule="auto"/>
      <w:ind w:left="432" w:right="288" w:hanging="432"/>
      <w:jc w:val="both"/>
    </w:pPr>
    <w:rPr>
      <w:rFonts w:eastAsiaTheme="minorEastAsia"/>
      <w:b/>
      <w:noProof/>
      <w:color w:val="1F497D" w:themeColor="text2"/>
      <w:lang w:val="en-SG" w:bidi="en-US"/>
    </w:rPr>
  </w:style>
  <w:style w:type="paragraph" w:styleId="TOC2">
    <w:name w:val="toc 2"/>
    <w:basedOn w:val="Normal"/>
    <w:next w:val="Normal"/>
    <w:autoRedefine/>
    <w:uiPriority w:val="39"/>
    <w:unhideWhenUsed/>
    <w:rsid w:val="00E53203"/>
    <w:pPr>
      <w:tabs>
        <w:tab w:val="left" w:pos="907"/>
        <w:tab w:val="right" w:leader="dot" w:pos="9360"/>
      </w:tabs>
      <w:spacing w:before="0" w:after="0" w:line="276" w:lineRule="auto"/>
      <w:ind w:left="900" w:right="360" w:hanging="474"/>
      <w:jc w:val="both"/>
    </w:pPr>
    <w:rPr>
      <w:rFonts w:eastAsiaTheme="minorEastAsia"/>
      <w:sz w:val="20"/>
      <w:lang w:val="en-SG" w:bidi="en-US"/>
    </w:rPr>
  </w:style>
  <w:style w:type="character" w:styleId="SubtleReference">
    <w:name w:val="Subtle Reference"/>
    <w:basedOn w:val="DefaultParagraphFont"/>
    <w:uiPriority w:val="31"/>
    <w:qFormat/>
    <w:rsid w:val="00C212DD"/>
    <w:rPr>
      <w:smallCaps/>
      <w:color w:val="5A5A5A" w:themeColor="text1" w:themeTint="A5"/>
    </w:rPr>
  </w:style>
  <w:style w:type="character" w:styleId="FollowedHyperlink">
    <w:name w:val="FollowedHyperlink"/>
    <w:basedOn w:val="DefaultParagraphFont"/>
    <w:uiPriority w:val="99"/>
    <w:semiHidden/>
    <w:unhideWhenUsed/>
    <w:rsid w:val="00311E35"/>
    <w:rPr>
      <w:color w:val="800080" w:themeColor="followedHyperlink"/>
      <w:u w:val="single"/>
    </w:rPr>
  </w:style>
  <w:style w:type="character" w:styleId="Strong">
    <w:name w:val="Strong"/>
    <w:basedOn w:val="DefaultParagraphFont"/>
    <w:uiPriority w:val="22"/>
    <w:qFormat/>
    <w:rsid w:val="005A64A6"/>
    <w:rPr>
      <w:b/>
      <w:bCs/>
    </w:rPr>
  </w:style>
  <w:style w:type="character" w:styleId="HTMLCite">
    <w:name w:val="HTML Cite"/>
    <w:basedOn w:val="DefaultParagraphFont"/>
    <w:uiPriority w:val="99"/>
    <w:semiHidden/>
    <w:unhideWhenUsed/>
    <w:rsid w:val="004478DA"/>
    <w:rPr>
      <w:i w:val="0"/>
      <w:iCs w:val="0"/>
      <w:color w:val="006D21"/>
    </w:rPr>
  </w:style>
  <w:style w:type="character" w:customStyle="1" w:styleId="Heading5Char">
    <w:name w:val="Heading 5 Char"/>
    <w:basedOn w:val="DefaultParagraphFont"/>
    <w:link w:val="Heading5"/>
    <w:uiPriority w:val="9"/>
    <w:semiHidden/>
    <w:rsid w:val="00DF259A"/>
    <w:rPr>
      <w:rFonts w:asciiTheme="majorHAnsi" w:eastAsiaTheme="majorEastAsia" w:hAnsiTheme="majorHAnsi" w:cstheme="majorBidi"/>
      <w:color w:val="365F91" w:themeColor="accent1" w:themeShade="BF"/>
    </w:rPr>
  </w:style>
  <w:style w:type="paragraph" w:customStyle="1" w:styleId="Default">
    <w:name w:val="Default"/>
    <w:rsid w:val="00551089"/>
    <w:pPr>
      <w:autoSpaceDE w:val="0"/>
      <w:autoSpaceDN w:val="0"/>
      <w:adjustRightInd w:val="0"/>
      <w:spacing w:before="0" w:after="0"/>
    </w:pPr>
    <w:rPr>
      <w:rFonts w:ascii="Arial" w:eastAsiaTheme="minorEastAsia" w:hAnsi="Arial" w:cs="Arial"/>
      <w:color w:val="000000"/>
      <w:lang w:eastAsia="ko-KR"/>
    </w:rPr>
  </w:style>
  <w:style w:type="character" w:customStyle="1" w:styleId="ListParagraphChar">
    <w:name w:val="List Paragraph Char"/>
    <w:basedOn w:val="DefaultParagraphFont"/>
    <w:link w:val="ListParagraph"/>
    <w:uiPriority w:val="34"/>
    <w:rsid w:val="00CF5FC7"/>
    <w:rPr>
      <w:rFonts w:ascii="Arial" w:hAnsi="Arial" w:cs="Arial"/>
    </w:rPr>
  </w:style>
  <w:style w:type="character" w:styleId="CommentReference">
    <w:name w:val="annotation reference"/>
    <w:basedOn w:val="DefaultParagraphFont"/>
    <w:uiPriority w:val="99"/>
    <w:semiHidden/>
    <w:unhideWhenUsed/>
    <w:rsid w:val="003E4791"/>
    <w:rPr>
      <w:sz w:val="16"/>
      <w:szCs w:val="16"/>
    </w:rPr>
  </w:style>
  <w:style w:type="paragraph" w:styleId="CommentText">
    <w:name w:val="annotation text"/>
    <w:basedOn w:val="Normal"/>
    <w:link w:val="CommentTextChar"/>
    <w:uiPriority w:val="99"/>
    <w:semiHidden/>
    <w:unhideWhenUsed/>
    <w:rsid w:val="003E4791"/>
    <w:rPr>
      <w:sz w:val="20"/>
      <w:szCs w:val="20"/>
    </w:rPr>
  </w:style>
  <w:style w:type="character" w:customStyle="1" w:styleId="CommentTextChar">
    <w:name w:val="Comment Text Char"/>
    <w:basedOn w:val="DefaultParagraphFont"/>
    <w:link w:val="CommentText"/>
    <w:uiPriority w:val="99"/>
    <w:semiHidden/>
    <w:rsid w:val="003E4791"/>
    <w:rPr>
      <w:sz w:val="20"/>
      <w:szCs w:val="20"/>
    </w:rPr>
  </w:style>
  <w:style w:type="paragraph" w:styleId="CommentSubject">
    <w:name w:val="annotation subject"/>
    <w:basedOn w:val="CommentText"/>
    <w:next w:val="CommentText"/>
    <w:link w:val="CommentSubjectChar"/>
    <w:uiPriority w:val="99"/>
    <w:semiHidden/>
    <w:unhideWhenUsed/>
    <w:rsid w:val="003E4791"/>
    <w:rPr>
      <w:b/>
      <w:bCs/>
    </w:rPr>
  </w:style>
  <w:style w:type="character" w:customStyle="1" w:styleId="CommentSubjectChar">
    <w:name w:val="Comment Subject Char"/>
    <w:basedOn w:val="CommentTextChar"/>
    <w:link w:val="CommentSubject"/>
    <w:uiPriority w:val="99"/>
    <w:semiHidden/>
    <w:rsid w:val="003E4791"/>
    <w:rPr>
      <w:b/>
      <w:bCs/>
      <w:sz w:val="20"/>
      <w:szCs w:val="20"/>
    </w:rPr>
  </w:style>
  <w:style w:type="character" w:customStyle="1" w:styleId="entry-author">
    <w:name w:val="entry-author"/>
    <w:basedOn w:val="DefaultParagraphFont"/>
    <w:rsid w:val="009403E7"/>
  </w:style>
  <w:style w:type="character" w:styleId="Emphasis">
    <w:name w:val="Emphasis"/>
    <w:basedOn w:val="DefaultParagraphFont"/>
    <w:uiPriority w:val="20"/>
    <w:qFormat/>
    <w:rsid w:val="009403E7"/>
    <w:rPr>
      <w:i/>
      <w:iCs/>
    </w:rPr>
  </w:style>
  <w:style w:type="character" w:customStyle="1" w:styleId="Heading2Char">
    <w:name w:val="Heading 2 Char"/>
    <w:basedOn w:val="DefaultParagraphFont"/>
    <w:link w:val="Heading2"/>
    <w:uiPriority w:val="9"/>
    <w:semiHidden/>
    <w:rsid w:val="0082062A"/>
    <w:rPr>
      <w:rFonts w:asciiTheme="majorHAnsi" w:eastAsiaTheme="majorEastAsia" w:hAnsiTheme="majorHAnsi" w:cstheme="majorBidi"/>
      <w:color w:val="365F91" w:themeColor="accent1" w:themeShade="BF"/>
      <w:sz w:val="26"/>
      <w:szCs w:val="26"/>
    </w:rPr>
  </w:style>
  <w:style w:type="character" w:customStyle="1" w:styleId="byline">
    <w:name w:val="byline"/>
    <w:basedOn w:val="DefaultParagraphFont"/>
    <w:rsid w:val="00820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3595">
      <w:bodyDiv w:val="1"/>
      <w:marLeft w:val="0"/>
      <w:marRight w:val="0"/>
      <w:marTop w:val="0"/>
      <w:marBottom w:val="0"/>
      <w:divBdr>
        <w:top w:val="none" w:sz="0" w:space="0" w:color="auto"/>
        <w:left w:val="none" w:sz="0" w:space="0" w:color="auto"/>
        <w:bottom w:val="none" w:sz="0" w:space="0" w:color="auto"/>
        <w:right w:val="none" w:sz="0" w:space="0" w:color="auto"/>
      </w:divBdr>
    </w:div>
    <w:div w:id="22637205">
      <w:bodyDiv w:val="1"/>
      <w:marLeft w:val="0"/>
      <w:marRight w:val="0"/>
      <w:marTop w:val="0"/>
      <w:marBottom w:val="0"/>
      <w:divBdr>
        <w:top w:val="none" w:sz="0" w:space="0" w:color="auto"/>
        <w:left w:val="none" w:sz="0" w:space="0" w:color="auto"/>
        <w:bottom w:val="none" w:sz="0" w:space="0" w:color="auto"/>
        <w:right w:val="none" w:sz="0" w:space="0" w:color="auto"/>
      </w:divBdr>
    </w:div>
    <w:div w:id="121845027">
      <w:bodyDiv w:val="1"/>
      <w:marLeft w:val="0"/>
      <w:marRight w:val="0"/>
      <w:marTop w:val="0"/>
      <w:marBottom w:val="0"/>
      <w:divBdr>
        <w:top w:val="none" w:sz="0" w:space="0" w:color="auto"/>
        <w:left w:val="none" w:sz="0" w:space="0" w:color="auto"/>
        <w:bottom w:val="none" w:sz="0" w:space="0" w:color="auto"/>
        <w:right w:val="none" w:sz="0" w:space="0" w:color="auto"/>
      </w:divBdr>
    </w:div>
    <w:div w:id="150605694">
      <w:bodyDiv w:val="1"/>
      <w:marLeft w:val="0"/>
      <w:marRight w:val="0"/>
      <w:marTop w:val="0"/>
      <w:marBottom w:val="0"/>
      <w:divBdr>
        <w:top w:val="none" w:sz="0" w:space="0" w:color="auto"/>
        <w:left w:val="none" w:sz="0" w:space="0" w:color="auto"/>
        <w:bottom w:val="none" w:sz="0" w:space="0" w:color="auto"/>
        <w:right w:val="none" w:sz="0" w:space="0" w:color="auto"/>
      </w:divBdr>
      <w:divsChild>
        <w:div w:id="795024214">
          <w:marLeft w:val="1166"/>
          <w:marRight w:val="0"/>
          <w:marTop w:val="120"/>
          <w:marBottom w:val="120"/>
          <w:divBdr>
            <w:top w:val="none" w:sz="0" w:space="0" w:color="auto"/>
            <w:left w:val="none" w:sz="0" w:space="0" w:color="auto"/>
            <w:bottom w:val="none" w:sz="0" w:space="0" w:color="auto"/>
            <w:right w:val="none" w:sz="0" w:space="0" w:color="auto"/>
          </w:divBdr>
        </w:div>
        <w:div w:id="1723866131">
          <w:marLeft w:val="1166"/>
          <w:marRight w:val="0"/>
          <w:marTop w:val="120"/>
          <w:marBottom w:val="120"/>
          <w:divBdr>
            <w:top w:val="none" w:sz="0" w:space="0" w:color="auto"/>
            <w:left w:val="none" w:sz="0" w:space="0" w:color="auto"/>
            <w:bottom w:val="none" w:sz="0" w:space="0" w:color="auto"/>
            <w:right w:val="none" w:sz="0" w:space="0" w:color="auto"/>
          </w:divBdr>
        </w:div>
        <w:div w:id="207231841">
          <w:marLeft w:val="1166"/>
          <w:marRight w:val="0"/>
          <w:marTop w:val="120"/>
          <w:marBottom w:val="120"/>
          <w:divBdr>
            <w:top w:val="none" w:sz="0" w:space="0" w:color="auto"/>
            <w:left w:val="none" w:sz="0" w:space="0" w:color="auto"/>
            <w:bottom w:val="none" w:sz="0" w:space="0" w:color="auto"/>
            <w:right w:val="none" w:sz="0" w:space="0" w:color="auto"/>
          </w:divBdr>
        </w:div>
        <w:div w:id="664936871">
          <w:marLeft w:val="1166"/>
          <w:marRight w:val="0"/>
          <w:marTop w:val="120"/>
          <w:marBottom w:val="120"/>
          <w:divBdr>
            <w:top w:val="none" w:sz="0" w:space="0" w:color="auto"/>
            <w:left w:val="none" w:sz="0" w:space="0" w:color="auto"/>
            <w:bottom w:val="none" w:sz="0" w:space="0" w:color="auto"/>
            <w:right w:val="none" w:sz="0" w:space="0" w:color="auto"/>
          </w:divBdr>
        </w:div>
        <w:div w:id="1236667443">
          <w:marLeft w:val="1166"/>
          <w:marRight w:val="0"/>
          <w:marTop w:val="120"/>
          <w:marBottom w:val="120"/>
          <w:divBdr>
            <w:top w:val="none" w:sz="0" w:space="0" w:color="auto"/>
            <w:left w:val="none" w:sz="0" w:space="0" w:color="auto"/>
            <w:bottom w:val="none" w:sz="0" w:space="0" w:color="auto"/>
            <w:right w:val="none" w:sz="0" w:space="0" w:color="auto"/>
          </w:divBdr>
        </w:div>
        <w:div w:id="205259516">
          <w:marLeft w:val="1166"/>
          <w:marRight w:val="0"/>
          <w:marTop w:val="120"/>
          <w:marBottom w:val="120"/>
          <w:divBdr>
            <w:top w:val="none" w:sz="0" w:space="0" w:color="auto"/>
            <w:left w:val="none" w:sz="0" w:space="0" w:color="auto"/>
            <w:bottom w:val="none" w:sz="0" w:space="0" w:color="auto"/>
            <w:right w:val="none" w:sz="0" w:space="0" w:color="auto"/>
          </w:divBdr>
        </w:div>
      </w:divsChild>
    </w:div>
    <w:div w:id="151868930">
      <w:bodyDiv w:val="1"/>
      <w:marLeft w:val="0"/>
      <w:marRight w:val="0"/>
      <w:marTop w:val="0"/>
      <w:marBottom w:val="0"/>
      <w:divBdr>
        <w:top w:val="none" w:sz="0" w:space="0" w:color="auto"/>
        <w:left w:val="none" w:sz="0" w:space="0" w:color="auto"/>
        <w:bottom w:val="none" w:sz="0" w:space="0" w:color="auto"/>
        <w:right w:val="none" w:sz="0" w:space="0" w:color="auto"/>
      </w:divBdr>
      <w:divsChild>
        <w:div w:id="1796480677">
          <w:marLeft w:val="1166"/>
          <w:marRight w:val="0"/>
          <w:marTop w:val="120"/>
          <w:marBottom w:val="120"/>
          <w:divBdr>
            <w:top w:val="none" w:sz="0" w:space="0" w:color="auto"/>
            <w:left w:val="none" w:sz="0" w:space="0" w:color="auto"/>
            <w:bottom w:val="none" w:sz="0" w:space="0" w:color="auto"/>
            <w:right w:val="none" w:sz="0" w:space="0" w:color="auto"/>
          </w:divBdr>
        </w:div>
        <w:div w:id="767891926">
          <w:marLeft w:val="1166"/>
          <w:marRight w:val="0"/>
          <w:marTop w:val="120"/>
          <w:marBottom w:val="120"/>
          <w:divBdr>
            <w:top w:val="none" w:sz="0" w:space="0" w:color="auto"/>
            <w:left w:val="none" w:sz="0" w:space="0" w:color="auto"/>
            <w:bottom w:val="none" w:sz="0" w:space="0" w:color="auto"/>
            <w:right w:val="none" w:sz="0" w:space="0" w:color="auto"/>
          </w:divBdr>
        </w:div>
        <w:div w:id="173541662">
          <w:marLeft w:val="1166"/>
          <w:marRight w:val="0"/>
          <w:marTop w:val="120"/>
          <w:marBottom w:val="120"/>
          <w:divBdr>
            <w:top w:val="none" w:sz="0" w:space="0" w:color="auto"/>
            <w:left w:val="none" w:sz="0" w:space="0" w:color="auto"/>
            <w:bottom w:val="none" w:sz="0" w:space="0" w:color="auto"/>
            <w:right w:val="none" w:sz="0" w:space="0" w:color="auto"/>
          </w:divBdr>
        </w:div>
        <w:div w:id="113604326">
          <w:marLeft w:val="1166"/>
          <w:marRight w:val="0"/>
          <w:marTop w:val="120"/>
          <w:marBottom w:val="120"/>
          <w:divBdr>
            <w:top w:val="none" w:sz="0" w:space="0" w:color="auto"/>
            <w:left w:val="none" w:sz="0" w:space="0" w:color="auto"/>
            <w:bottom w:val="none" w:sz="0" w:space="0" w:color="auto"/>
            <w:right w:val="none" w:sz="0" w:space="0" w:color="auto"/>
          </w:divBdr>
        </w:div>
        <w:div w:id="1647541785">
          <w:marLeft w:val="1166"/>
          <w:marRight w:val="0"/>
          <w:marTop w:val="120"/>
          <w:marBottom w:val="120"/>
          <w:divBdr>
            <w:top w:val="none" w:sz="0" w:space="0" w:color="auto"/>
            <w:left w:val="none" w:sz="0" w:space="0" w:color="auto"/>
            <w:bottom w:val="none" w:sz="0" w:space="0" w:color="auto"/>
            <w:right w:val="none" w:sz="0" w:space="0" w:color="auto"/>
          </w:divBdr>
        </w:div>
        <w:div w:id="676736970">
          <w:marLeft w:val="1166"/>
          <w:marRight w:val="0"/>
          <w:marTop w:val="120"/>
          <w:marBottom w:val="120"/>
          <w:divBdr>
            <w:top w:val="none" w:sz="0" w:space="0" w:color="auto"/>
            <w:left w:val="none" w:sz="0" w:space="0" w:color="auto"/>
            <w:bottom w:val="none" w:sz="0" w:space="0" w:color="auto"/>
            <w:right w:val="none" w:sz="0" w:space="0" w:color="auto"/>
          </w:divBdr>
        </w:div>
        <w:div w:id="817913761">
          <w:marLeft w:val="1166"/>
          <w:marRight w:val="0"/>
          <w:marTop w:val="120"/>
          <w:marBottom w:val="120"/>
          <w:divBdr>
            <w:top w:val="none" w:sz="0" w:space="0" w:color="auto"/>
            <w:left w:val="none" w:sz="0" w:space="0" w:color="auto"/>
            <w:bottom w:val="none" w:sz="0" w:space="0" w:color="auto"/>
            <w:right w:val="none" w:sz="0" w:space="0" w:color="auto"/>
          </w:divBdr>
        </w:div>
        <w:div w:id="1917666938">
          <w:marLeft w:val="1166"/>
          <w:marRight w:val="0"/>
          <w:marTop w:val="120"/>
          <w:marBottom w:val="120"/>
          <w:divBdr>
            <w:top w:val="none" w:sz="0" w:space="0" w:color="auto"/>
            <w:left w:val="none" w:sz="0" w:space="0" w:color="auto"/>
            <w:bottom w:val="none" w:sz="0" w:space="0" w:color="auto"/>
            <w:right w:val="none" w:sz="0" w:space="0" w:color="auto"/>
          </w:divBdr>
        </w:div>
        <w:div w:id="296495843">
          <w:marLeft w:val="1166"/>
          <w:marRight w:val="0"/>
          <w:marTop w:val="120"/>
          <w:marBottom w:val="120"/>
          <w:divBdr>
            <w:top w:val="none" w:sz="0" w:space="0" w:color="auto"/>
            <w:left w:val="none" w:sz="0" w:space="0" w:color="auto"/>
            <w:bottom w:val="none" w:sz="0" w:space="0" w:color="auto"/>
            <w:right w:val="none" w:sz="0" w:space="0" w:color="auto"/>
          </w:divBdr>
        </w:div>
        <w:div w:id="858393534">
          <w:marLeft w:val="1166"/>
          <w:marRight w:val="0"/>
          <w:marTop w:val="120"/>
          <w:marBottom w:val="120"/>
          <w:divBdr>
            <w:top w:val="none" w:sz="0" w:space="0" w:color="auto"/>
            <w:left w:val="none" w:sz="0" w:space="0" w:color="auto"/>
            <w:bottom w:val="none" w:sz="0" w:space="0" w:color="auto"/>
            <w:right w:val="none" w:sz="0" w:space="0" w:color="auto"/>
          </w:divBdr>
        </w:div>
      </w:divsChild>
    </w:div>
    <w:div w:id="219366286">
      <w:bodyDiv w:val="1"/>
      <w:marLeft w:val="0"/>
      <w:marRight w:val="0"/>
      <w:marTop w:val="0"/>
      <w:marBottom w:val="0"/>
      <w:divBdr>
        <w:top w:val="none" w:sz="0" w:space="0" w:color="auto"/>
        <w:left w:val="none" w:sz="0" w:space="0" w:color="auto"/>
        <w:bottom w:val="none" w:sz="0" w:space="0" w:color="auto"/>
        <w:right w:val="none" w:sz="0" w:space="0" w:color="auto"/>
      </w:divBdr>
    </w:div>
    <w:div w:id="229927525">
      <w:bodyDiv w:val="1"/>
      <w:marLeft w:val="0"/>
      <w:marRight w:val="0"/>
      <w:marTop w:val="0"/>
      <w:marBottom w:val="0"/>
      <w:divBdr>
        <w:top w:val="none" w:sz="0" w:space="0" w:color="auto"/>
        <w:left w:val="none" w:sz="0" w:space="0" w:color="auto"/>
        <w:bottom w:val="none" w:sz="0" w:space="0" w:color="auto"/>
        <w:right w:val="none" w:sz="0" w:space="0" w:color="auto"/>
      </w:divBdr>
    </w:div>
    <w:div w:id="250428885">
      <w:bodyDiv w:val="1"/>
      <w:marLeft w:val="0"/>
      <w:marRight w:val="0"/>
      <w:marTop w:val="0"/>
      <w:marBottom w:val="0"/>
      <w:divBdr>
        <w:top w:val="none" w:sz="0" w:space="0" w:color="auto"/>
        <w:left w:val="none" w:sz="0" w:space="0" w:color="auto"/>
        <w:bottom w:val="none" w:sz="0" w:space="0" w:color="auto"/>
        <w:right w:val="none" w:sz="0" w:space="0" w:color="auto"/>
      </w:divBdr>
      <w:divsChild>
        <w:div w:id="1462843979">
          <w:marLeft w:val="547"/>
          <w:marRight w:val="0"/>
          <w:marTop w:val="200"/>
          <w:marBottom w:val="0"/>
          <w:divBdr>
            <w:top w:val="none" w:sz="0" w:space="0" w:color="auto"/>
            <w:left w:val="none" w:sz="0" w:space="0" w:color="auto"/>
            <w:bottom w:val="none" w:sz="0" w:space="0" w:color="auto"/>
            <w:right w:val="none" w:sz="0" w:space="0" w:color="auto"/>
          </w:divBdr>
        </w:div>
        <w:div w:id="296303676">
          <w:marLeft w:val="547"/>
          <w:marRight w:val="0"/>
          <w:marTop w:val="200"/>
          <w:marBottom w:val="0"/>
          <w:divBdr>
            <w:top w:val="none" w:sz="0" w:space="0" w:color="auto"/>
            <w:left w:val="none" w:sz="0" w:space="0" w:color="auto"/>
            <w:bottom w:val="none" w:sz="0" w:space="0" w:color="auto"/>
            <w:right w:val="none" w:sz="0" w:space="0" w:color="auto"/>
          </w:divBdr>
        </w:div>
        <w:div w:id="574050827">
          <w:marLeft w:val="547"/>
          <w:marRight w:val="0"/>
          <w:marTop w:val="200"/>
          <w:marBottom w:val="0"/>
          <w:divBdr>
            <w:top w:val="none" w:sz="0" w:space="0" w:color="auto"/>
            <w:left w:val="none" w:sz="0" w:space="0" w:color="auto"/>
            <w:bottom w:val="none" w:sz="0" w:space="0" w:color="auto"/>
            <w:right w:val="none" w:sz="0" w:space="0" w:color="auto"/>
          </w:divBdr>
        </w:div>
      </w:divsChild>
    </w:div>
    <w:div w:id="321200342">
      <w:bodyDiv w:val="1"/>
      <w:marLeft w:val="0"/>
      <w:marRight w:val="0"/>
      <w:marTop w:val="0"/>
      <w:marBottom w:val="0"/>
      <w:divBdr>
        <w:top w:val="none" w:sz="0" w:space="0" w:color="auto"/>
        <w:left w:val="none" w:sz="0" w:space="0" w:color="auto"/>
        <w:bottom w:val="none" w:sz="0" w:space="0" w:color="auto"/>
        <w:right w:val="none" w:sz="0" w:space="0" w:color="auto"/>
      </w:divBdr>
    </w:div>
    <w:div w:id="345059144">
      <w:bodyDiv w:val="1"/>
      <w:marLeft w:val="0"/>
      <w:marRight w:val="0"/>
      <w:marTop w:val="0"/>
      <w:marBottom w:val="0"/>
      <w:divBdr>
        <w:top w:val="none" w:sz="0" w:space="0" w:color="auto"/>
        <w:left w:val="none" w:sz="0" w:space="0" w:color="auto"/>
        <w:bottom w:val="none" w:sz="0" w:space="0" w:color="auto"/>
        <w:right w:val="none" w:sz="0" w:space="0" w:color="auto"/>
      </w:divBdr>
    </w:div>
    <w:div w:id="392116953">
      <w:bodyDiv w:val="1"/>
      <w:marLeft w:val="0"/>
      <w:marRight w:val="0"/>
      <w:marTop w:val="0"/>
      <w:marBottom w:val="0"/>
      <w:divBdr>
        <w:top w:val="none" w:sz="0" w:space="0" w:color="auto"/>
        <w:left w:val="none" w:sz="0" w:space="0" w:color="auto"/>
        <w:bottom w:val="none" w:sz="0" w:space="0" w:color="auto"/>
        <w:right w:val="none" w:sz="0" w:space="0" w:color="auto"/>
      </w:divBdr>
    </w:div>
    <w:div w:id="594828370">
      <w:bodyDiv w:val="1"/>
      <w:marLeft w:val="0"/>
      <w:marRight w:val="0"/>
      <w:marTop w:val="0"/>
      <w:marBottom w:val="0"/>
      <w:divBdr>
        <w:top w:val="none" w:sz="0" w:space="0" w:color="auto"/>
        <w:left w:val="none" w:sz="0" w:space="0" w:color="auto"/>
        <w:bottom w:val="none" w:sz="0" w:space="0" w:color="auto"/>
        <w:right w:val="none" w:sz="0" w:space="0" w:color="auto"/>
      </w:divBdr>
      <w:divsChild>
        <w:div w:id="1484201670">
          <w:marLeft w:val="547"/>
          <w:marRight w:val="0"/>
          <w:marTop w:val="240"/>
          <w:marBottom w:val="240"/>
          <w:divBdr>
            <w:top w:val="none" w:sz="0" w:space="0" w:color="auto"/>
            <w:left w:val="none" w:sz="0" w:space="0" w:color="auto"/>
            <w:bottom w:val="none" w:sz="0" w:space="0" w:color="auto"/>
            <w:right w:val="none" w:sz="0" w:space="0" w:color="auto"/>
          </w:divBdr>
        </w:div>
        <w:div w:id="466237446">
          <w:marLeft w:val="547"/>
          <w:marRight w:val="0"/>
          <w:marTop w:val="240"/>
          <w:marBottom w:val="240"/>
          <w:divBdr>
            <w:top w:val="none" w:sz="0" w:space="0" w:color="auto"/>
            <w:left w:val="none" w:sz="0" w:space="0" w:color="auto"/>
            <w:bottom w:val="none" w:sz="0" w:space="0" w:color="auto"/>
            <w:right w:val="none" w:sz="0" w:space="0" w:color="auto"/>
          </w:divBdr>
        </w:div>
        <w:div w:id="1117719270">
          <w:marLeft w:val="547"/>
          <w:marRight w:val="0"/>
          <w:marTop w:val="240"/>
          <w:marBottom w:val="240"/>
          <w:divBdr>
            <w:top w:val="none" w:sz="0" w:space="0" w:color="auto"/>
            <w:left w:val="none" w:sz="0" w:space="0" w:color="auto"/>
            <w:bottom w:val="none" w:sz="0" w:space="0" w:color="auto"/>
            <w:right w:val="none" w:sz="0" w:space="0" w:color="auto"/>
          </w:divBdr>
        </w:div>
        <w:div w:id="1485851964">
          <w:marLeft w:val="547"/>
          <w:marRight w:val="0"/>
          <w:marTop w:val="240"/>
          <w:marBottom w:val="240"/>
          <w:divBdr>
            <w:top w:val="none" w:sz="0" w:space="0" w:color="auto"/>
            <w:left w:val="none" w:sz="0" w:space="0" w:color="auto"/>
            <w:bottom w:val="none" w:sz="0" w:space="0" w:color="auto"/>
            <w:right w:val="none" w:sz="0" w:space="0" w:color="auto"/>
          </w:divBdr>
        </w:div>
      </w:divsChild>
    </w:div>
    <w:div w:id="617758254">
      <w:bodyDiv w:val="1"/>
      <w:marLeft w:val="0"/>
      <w:marRight w:val="0"/>
      <w:marTop w:val="0"/>
      <w:marBottom w:val="0"/>
      <w:divBdr>
        <w:top w:val="none" w:sz="0" w:space="0" w:color="auto"/>
        <w:left w:val="none" w:sz="0" w:space="0" w:color="auto"/>
        <w:bottom w:val="none" w:sz="0" w:space="0" w:color="auto"/>
        <w:right w:val="none" w:sz="0" w:space="0" w:color="auto"/>
      </w:divBdr>
      <w:divsChild>
        <w:div w:id="206795399">
          <w:marLeft w:val="0"/>
          <w:marRight w:val="0"/>
          <w:marTop w:val="0"/>
          <w:marBottom w:val="0"/>
          <w:divBdr>
            <w:top w:val="none" w:sz="0" w:space="0" w:color="auto"/>
            <w:left w:val="none" w:sz="0" w:space="0" w:color="auto"/>
            <w:bottom w:val="none" w:sz="0" w:space="0" w:color="auto"/>
            <w:right w:val="none" w:sz="0" w:space="0" w:color="auto"/>
          </w:divBdr>
          <w:divsChild>
            <w:div w:id="1424689840">
              <w:marLeft w:val="0"/>
              <w:marRight w:val="0"/>
              <w:marTop w:val="0"/>
              <w:marBottom w:val="0"/>
              <w:divBdr>
                <w:top w:val="none" w:sz="0" w:space="0" w:color="auto"/>
                <w:left w:val="none" w:sz="0" w:space="0" w:color="auto"/>
                <w:bottom w:val="none" w:sz="0" w:space="0" w:color="auto"/>
                <w:right w:val="none" w:sz="0" w:space="0" w:color="auto"/>
              </w:divBdr>
            </w:div>
          </w:divsChild>
        </w:div>
        <w:div w:id="1540390004">
          <w:marLeft w:val="0"/>
          <w:marRight w:val="0"/>
          <w:marTop w:val="0"/>
          <w:marBottom w:val="0"/>
          <w:divBdr>
            <w:top w:val="none" w:sz="0" w:space="0" w:color="auto"/>
            <w:left w:val="none" w:sz="0" w:space="0" w:color="auto"/>
            <w:bottom w:val="none" w:sz="0" w:space="0" w:color="auto"/>
            <w:right w:val="none" w:sz="0" w:space="0" w:color="auto"/>
          </w:divBdr>
          <w:divsChild>
            <w:div w:id="1444886110">
              <w:marLeft w:val="0"/>
              <w:marRight w:val="0"/>
              <w:marTop w:val="0"/>
              <w:marBottom w:val="0"/>
              <w:divBdr>
                <w:top w:val="none" w:sz="0" w:space="0" w:color="auto"/>
                <w:left w:val="none" w:sz="0" w:space="0" w:color="auto"/>
                <w:bottom w:val="none" w:sz="0" w:space="0" w:color="auto"/>
                <w:right w:val="none" w:sz="0" w:space="0" w:color="auto"/>
              </w:divBdr>
            </w:div>
          </w:divsChild>
        </w:div>
        <w:div w:id="1927380274">
          <w:marLeft w:val="0"/>
          <w:marRight w:val="0"/>
          <w:marTop w:val="0"/>
          <w:marBottom w:val="0"/>
          <w:divBdr>
            <w:top w:val="none" w:sz="0" w:space="0" w:color="auto"/>
            <w:left w:val="none" w:sz="0" w:space="0" w:color="auto"/>
            <w:bottom w:val="none" w:sz="0" w:space="0" w:color="auto"/>
            <w:right w:val="none" w:sz="0" w:space="0" w:color="auto"/>
          </w:divBdr>
          <w:divsChild>
            <w:div w:id="1258639876">
              <w:marLeft w:val="0"/>
              <w:marRight w:val="0"/>
              <w:marTop w:val="0"/>
              <w:marBottom w:val="0"/>
              <w:divBdr>
                <w:top w:val="none" w:sz="0" w:space="0" w:color="auto"/>
                <w:left w:val="none" w:sz="0" w:space="0" w:color="auto"/>
                <w:bottom w:val="none" w:sz="0" w:space="0" w:color="auto"/>
                <w:right w:val="none" w:sz="0" w:space="0" w:color="auto"/>
              </w:divBdr>
              <w:divsChild>
                <w:div w:id="1304846174">
                  <w:marLeft w:val="-255"/>
                  <w:marRight w:val="-255"/>
                  <w:marTop w:val="0"/>
                  <w:marBottom w:val="0"/>
                  <w:divBdr>
                    <w:top w:val="none" w:sz="0" w:space="0" w:color="auto"/>
                    <w:left w:val="none" w:sz="0" w:space="0" w:color="auto"/>
                    <w:bottom w:val="none" w:sz="0" w:space="0" w:color="auto"/>
                    <w:right w:val="none" w:sz="0" w:space="0" w:color="auto"/>
                  </w:divBdr>
                  <w:divsChild>
                    <w:div w:id="1642542346">
                      <w:marLeft w:val="0"/>
                      <w:marRight w:val="0"/>
                      <w:marTop w:val="0"/>
                      <w:marBottom w:val="0"/>
                      <w:divBdr>
                        <w:top w:val="none" w:sz="0" w:space="0" w:color="auto"/>
                        <w:left w:val="none" w:sz="0" w:space="0" w:color="auto"/>
                        <w:bottom w:val="none" w:sz="0" w:space="0" w:color="auto"/>
                        <w:right w:val="none" w:sz="0" w:space="0" w:color="auto"/>
                      </w:divBdr>
                      <w:divsChild>
                        <w:div w:id="1100181985">
                          <w:marLeft w:val="0"/>
                          <w:marRight w:val="0"/>
                          <w:marTop w:val="0"/>
                          <w:marBottom w:val="0"/>
                          <w:divBdr>
                            <w:top w:val="none" w:sz="0" w:space="0" w:color="auto"/>
                            <w:left w:val="none" w:sz="0" w:space="0" w:color="auto"/>
                            <w:bottom w:val="none" w:sz="0" w:space="0" w:color="auto"/>
                            <w:right w:val="none" w:sz="0" w:space="0" w:color="auto"/>
                          </w:divBdr>
                          <w:divsChild>
                            <w:div w:id="31610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21197">
      <w:bodyDiv w:val="1"/>
      <w:marLeft w:val="0"/>
      <w:marRight w:val="0"/>
      <w:marTop w:val="0"/>
      <w:marBottom w:val="0"/>
      <w:divBdr>
        <w:top w:val="none" w:sz="0" w:space="0" w:color="auto"/>
        <w:left w:val="none" w:sz="0" w:space="0" w:color="auto"/>
        <w:bottom w:val="none" w:sz="0" w:space="0" w:color="auto"/>
        <w:right w:val="none" w:sz="0" w:space="0" w:color="auto"/>
      </w:divBdr>
    </w:div>
    <w:div w:id="829903619">
      <w:bodyDiv w:val="1"/>
      <w:marLeft w:val="0"/>
      <w:marRight w:val="0"/>
      <w:marTop w:val="0"/>
      <w:marBottom w:val="0"/>
      <w:divBdr>
        <w:top w:val="none" w:sz="0" w:space="0" w:color="auto"/>
        <w:left w:val="none" w:sz="0" w:space="0" w:color="auto"/>
        <w:bottom w:val="none" w:sz="0" w:space="0" w:color="auto"/>
        <w:right w:val="none" w:sz="0" w:space="0" w:color="auto"/>
      </w:divBdr>
    </w:div>
    <w:div w:id="882903779">
      <w:bodyDiv w:val="1"/>
      <w:marLeft w:val="0"/>
      <w:marRight w:val="0"/>
      <w:marTop w:val="0"/>
      <w:marBottom w:val="0"/>
      <w:divBdr>
        <w:top w:val="none" w:sz="0" w:space="0" w:color="auto"/>
        <w:left w:val="none" w:sz="0" w:space="0" w:color="auto"/>
        <w:bottom w:val="none" w:sz="0" w:space="0" w:color="auto"/>
        <w:right w:val="none" w:sz="0" w:space="0" w:color="auto"/>
      </w:divBdr>
    </w:div>
    <w:div w:id="891617563">
      <w:bodyDiv w:val="1"/>
      <w:marLeft w:val="0"/>
      <w:marRight w:val="0"/>
      <w:marTop w:val="0"/>
      <w:marBottom w:val="0"/>
      <w:divBdr>
        <w:top w:val="none" w:sz="0" w:space="0" w:color="auto"/>
        <w:left w:val="none" w:sz="0" w:space="0" w:color="auto"/>
        <w:bottom w:val="none" w:sz="0" w:space="0" w:color="auto"/>
        <w:right w:val="none" w:sz="0" w:space="0" w:color="auto"/>
      </w:divBdr>
    </w:div>
    <w:div w:id="899024066">
      <w:bodyDiv w:val="1"/>
      <w:marLeft w:val="0"/>
      <w:marRight w:val="0"/>
      <w:marTop w:val="0"/>
      <w:marBottom w:val="0"/>
      <w:divBdr>
        <w:top w:val="none" w:sz="0" w:space="0" w:color="auto"/>
        <w:left w:val="none" w:sz="0" w:space="0" w:color="auto"/>
        <w:bottom w:val="none" w:sz="0" w:space="0" w:color="auto"/>
        <w:right w:val="none" w:sz="0" w:space="0" w:color="auto"/>
      </w:divBdr>
    </w:div>
    <w:div w:id="904223336">
      <w:bodyDiv w:val="1"/>
      <w:marLeft w:val="0"/>
      <w:marRight w:val="0"/>
      <w:marTop w:val="0"/>
      <w:marBottom w:val="0"/>
      <w:divBdr>
        <w:top w:val="none" w:sz="0" w:space="0" w:color="auto"/>
        <w:left w:val="none" w:sz="0" w:space="0" w:color="auto"/>
        <w:bottom w:val="none" w:sz="0" w:space="0" w:color="auto"/>
        <w:right w:val="none" w:sz="0" w:space="0" w:color="auto"/>
      </w:divBdr>
    </w:div>
    <w:div w:id="90788779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8">
          <w:marLeft w:val="547"/>
          <w:marRight w:val="0"/>
          <w:marTop w:val="240"/>
          <w:marBottom w:val="240"/>
          <w:divBdr>
            <w:top w:val="none" w:sz="0" w:space="0" w:color="auto"/>
            <w:left w:val="none" w:sz="0" w:space="0" w:color="auto"/>
            <w:bottom w:val="none" w:sz="0" w:space="0" w:color="auto"/>
            <w:right w:val="none" w:sz="0" w:space="0" w:color="auto"/>
          </w:divBdr>
        </w:div>
        <w:div w:id="1150559665">
          <w:marLeft w:val="547"/>
          <w:marRight w:val="0"/>
          <w:marTop w:val="240"/>
          <w:marBottom w:val="240"/>
          <w:divBdr>
            <w:top w:val="none" w:sz="0" w:space="0" w:color="auto"/>
            <w:left w:val="none" w:sz="0" w:space="0" w:color="auto"/>
            <w:bottom w:val="none" w:sz="0" w:space="0" w:color="auto"/>
            <w:right w:val="none" w:sz="0" w:space="0" w:color="auto"/>
          </w:divBdr>
        </w:div>
        <w:div w:id="1831678328">
          <w:marLeft w:val="547"/>
          <w:marRight w:val="0"/>
          <w:marTop w:val="240"/>
          <w:marBottom w:val="240"/>
          <w:divBdr>
            <w:top w:val="none" w:sz="0" w:space="0" w:color="auto"/>
            <w:left w:val="none" w:sz="0" w:space="0" w:color="auto"/>
            <w:bottom w:val="none" w:sz="0" w:space="0" w:color="auto"/>
            <w:right w:val="none" w:sz="0" w:space="0" w:color="auto"/>
          </w:divBdr>
        </w:div>
        <w:div w:id="1527327979">
          <w:marLeft w:val="547"/>
          <w:marRight w:val="0"/>
          <w:marTop w:val="240"/>
          <w:marBottom w:val="240"/>
          <w:divBdr>
            <w:top w:val="none" w:sz="0" w:space="0" w:color="auto"/>
            <w:left w:val="none" w:sz="0" w:space="0" w:color="auto"/>
            <w:bottom w:val="none" w:sz="0" w:space="0" w:color="auto"/>
            <w:right w:val="none" w:sz="0" w:space="0" w:color="auto"/>
          </w:divBdr>
        </w:div>
      </w:divsChild>
    </w:div>
    <w:div w:id="997149466">
      <w:bodyDiv w:val="1"/>
      <w:marLeft w:val="0"/>
      <w:marRight w:val="0"/>
      <w:marTop w:val="0"/>
      <w:marBottom w:val="0"/>
      <w:divBdr>
        <w:top w:val="none" w:sz="0" w:space="0" w:color="auto"/>
        <w:left w:val="none" w:sz="0" w:space="0" w:color="auto"/>
        <w:bottom w:val="none" w:sz="0" w:space="0" w:color="auto"/>
        <w:right w:val="none" w:sz="0" w:space="0" w:color="auto"/>
      </w:divBdr>
      <w:divsChild>
        <w:div w:id="876817067">
          <w:marLeft w:val="1080"/>
          <w:marRight w:val="0"/>
          <w:marTop w:val="120"/>
          <w:marBottom w:val="120"/>
          <w:divBdr>
            <w:top w:val="none" w:sz="0" w:space="0" w:color="auto"/>
            <w:left w:val="none" w:sz="0" w:space="0" w:color="auto"/>
            <w:bottom w:val="none" w:sz="0" w:space="0" w:color="auto"/>
            <w:right w:val="none" w:sz="0" w:space="0" w:color="auto"/>
          </w:divBdr>
        </w:div>
        <w:div w:id="460655196">
          <w:marLeft w:val="1080"/>
          <w:marRight w:val="0"/>
          <w:marTop w:val="120"/>
          <w:marBottom w:val="120"/>
          <w:divBdr>
            <w:top w:val="none" w:sz="0" w:space="0" w:color="auto"/>
            <w:left w:val="none" w:sz="0" w:space="0" w:color="auto"/>
            <w:bottom w:val="none" w:sz="0" w:space="0" w:color="auto"/>
            <w:right w:val="none" w:sz="0" w:space="0" w:color="auto"/>
          </w:divBdr>
        </w:div>
        <w:div w:id="1095594194">
          <w:marLeft w:val="1080"/>
          <w:marRight w:val="0"/>
          <w:marTop w:val="120"/>
          <w:marBottom w:val="120"/>
          <w:divBdr>
            <w:top w:val="none" w:sz="0" w:space="0" w:color="auto"/>
            <w:left w:val="none" w:sz="0" w:space="0" w:color="auto"/>
            <w:bottom w:val="none" w:sz="0" w:space="0" w:color="auto"/>
            <w:right w:val="none" w:sz="0" w:space="0" w:color="auto"/>
          </w:divBdr>
        </w:div>
        <w:div w:id="1923097985">
          <w:marLeft w:val="1166"/>
          <w:marRight w:val="0"/>
          <w:marTop w:val="120"/>
          <w:marBottom w:val="120"/>
          <w:divBdr>
            <w:top w:val="none" w:sz="0" w:space="0" w:color="auto"/>
            <w:left w:val="none" w:sz="0" w:space="0" w:color="auto"/>
            <w:bottom w:val="none" w:sz="0" w:space="0" w:color="auto"/>
            <w:right w:val="none" w:sz="0" w:space="0" w:color="auto"/>
          </w:divBdr>
        </w:div>
        <w:div w:id="1286541915">
          <w:marLeft w:val="1166"/>
          <w:marRight w:val="0"/>
          <w:marTop w:val="120"/>
          <w:marBottom w:val="120"/>
          <w:divBdr>
            <w:top w:val="none" w:sz="0" w:space="0" w:color="auto"/>
            <w:left w:val="none" w:sz="0" w:space="0" w:color="auto"/>
            <w:bottom w:val="none" w:sz="0" w:space="0" w:color="auto"/>
            <w:right w:val="none" w:sz="0" w:space="0" w:color="auto"/>
          </w:divBdr>
        </w:div>
        <w:div w:id="1068067289">
          <w:marLeft w:val="1166"/>
          <w:marRight w:val="0"/>
          <w:marTop w:val="120"/>
          <w:marBottom w:val="120"/>
          <w:divBdr>
            <w:top w:val="none" w:sz="0" w:space="0" w:color="auto"/>
            <w:left w:val="none" w:sz="0" w:space="0" w:color="auto"/>
            <w:bottom w:val="none" w:sz="0" w:space="0" w:color="auto"/>
            <w:right w:val="none" w:sz="0" w:space="0" w:color="auto"/>
          </w:divBdr>
        </w:div>
        <w:div w:id="525369298">
          <w:marLeft w:val="1166"/>
          <w:marRight w:val="0"/>
          <w:marTop w:val="120"/>
          <w:marBottom w:val="120"/>
          <w:divBdr>
            <w:top w:val="none" w:sz="0" w:space="0" w:color="auto"/>
            <w:left w:val="none" w:sz="0" w:space="0" w:color="auto"/>
            <w:bottom w:val="none" w:sz="0" w:space="0" w:color="auto"/>
            <w:right w:val="none" w:sz="0" w:space="0" w:color="auto"/>
          </w:divBdr>
        </w:div>
        <w:div w:id="1702903256">
          <w:marLeft w:val="1166"/>
          <w:marRight w:val="0"/>
          <w:marTop w:val="120"/>
          <w:marBottom w:val="120"/>
          <w:divBdr>
            <w:top w:val="none" w:sz="0" w:space="0" w:color="auto"/>
            <w:left w:val="none" w:sz="0" w:space="0" w:color="auto"/>
            <w:bottom w:val="none" w:sz="0" w:space="0" w:color="auto"/>
            <w:right w:val="none" w:sz="0" w:space="0" w:color="auto"/>
          </w:divBdr>
        </w:div>
        <w:div w:id="264121569">
          <w:marLeft w:val="1166"/>
          <w:marRight w:val="0"/>
          <w:marTop w:val="120"/>
          <w:marBottom w:val="120"/>
          <w:divBdr>
            <w:top w:val="none" w:sz="0" w:space="0" w:color="auto"/>
            <w:left w:val="none" w:sz="0" w:space="0" w:color="auto"/>
            <w:bottom w:val="none" w:sz="0" w:space="0" w:color="auto"/>
            <w:right w:val="none" w:sz="0" w:space="0" w:color="auto"/>
          </w:divBdr>
        </w:div>
      </w:divsChild>
    </w:div>
    <w:div w:id="1115832321">
      <w:bodyDiv w:val="1"/>
      <w:marLeft w:val="0"/>
      <w:marRight w:val="0"/>
      <w:marTop w:val="0"/>
      <w:marBottom w:val="0"/>
      <w:divBdr>
        <w:top w:val="none" w:sz="0" w:space="0" w:color="auto"/>
        <w:left w:val="none" w:sz="0" w:space="0" w:color="auto"/>
        <w:bottom w:val="none" w:sz="0" w:space="0" w:color="auto"/>
        <w:right w:val="none" w:sz="0" w:space="0" w:color="auto"/>
      </w:divBdr>
    </w:div>
    <w:div w:id="1151017658">
      <w:bodyDiv w:val="1"/>
      <w:marLeft w:val="0"/>
      <w:marRight w:val="0"/>
      <w:marTop w:val="0"/>
      <w:marBottom w:val="0"/>
      <w:divBdr>
        <w:top w:val="none" w:sz="0" w:space="0" w:color="auto"/>
        <w:left w:val="none" w:sz="0" w:space="0" w:color="auto"/>
        <w:bottom w:val="none" w:sz="0" w:space="0" w:color="auto"/>
        <w:right w:val="none" w:sz="0" w:space="0" w:color="auto"/>
      </w:divBdr>
    </w:div>
    <w:div w:id="1167792865">
      <w:bodyDiv w:val="1"/>
      <w:marLeft w:val="0"/>
      <w:marRight w:val="0"/>
      <w:marTop w:val="0"/>
      <w:marBottom w:val="0"/>
      <w:divBdr>
        <w:top w:val="none" w:sz="0" w:space="0" w:color="auto"/>
        <w:left w:val="none" w:sz="0" w:space="0" w:color="auto"/>
        <w:bottom w:val="none" w:sz="0" w:space="0" w:color="auto"/>
        <w:right w:val="none" w:sz="0" w:space="0" w:color="auto"/>
      </w:divBdr>
      <w:divsChild>
        <w:div w:id="1227912662">
          <w:marLeft w:val="547"/>
          <w:marRight w:val="0"/>
          <w:marTop w:val="240"/>
          <w:marBottom w:val="240"/>
          <w:divBdr>
            <w:top w:val="none" w:sz="0" w:space="0" w:color="auto"/>
            <w:left w:val="none" w:sz="0" w:space="0" w:color="auto"/>
            <w:bottom w:val="none" w:sz="0" w:space="0" w:color="auto"/>
            <w:right w:val="none" w:sz="0" w:space="0" w:color="auto"/>
          </w:divBdr>
        </w:div>
        <w:div w:id="522211890">
          <w:marLeft w:val="547"/>
          <w:marRight w:val="0"/>
          <w:marTop w:val="240"/>
          <w:marBottom w:val="240"/>
          <w:divBdr>
            <w:top w:val="none" w:sz="0" w:space="0" w:color="auto"/>
            <w:left w:val="none" w:sz="0" w:space="0" w:color="auto"/>
            <w:bottom w:val="none" w:sz="0" w:space="0" w:color="auto"/>
            <w:right w:val="none" w:sz="0" w:space="0" w:color="auto"/>
          </w:divBdr>
        </w:div>
        <w:div w:id="1685472255">
          <w:marLeft w:val="547"/>
          <w:marRight w:val="0"/>
          <w:marTop w:val="240"/>
          <w:marBottom w:val="240"/>
          <w:divBdr>
            <w:top w:val="none" w:sz="0" w:space="0" w:color="auto"/>
            <w:left w:val="none" w:sz="0" w:space="0" w:color="auto"/>
            <w:bottom w:val="none" w:sz="0" w:space="0" w:color="auto"/>
            <w:right w:val="none" w:sz="0" w:space="0" w:color="auto"/>
          </w:divBdr>
        </w:div>
        <w:div w:id="1635331491">
          <w:marLeft w:val="547"/>
          <w:marRight w:val="0"/>
          <w:marTop w:val="240"/>
          <w:marBottom w:val="240"/>
          <w:divBdr>
            <w:top w:val="none" w:sz="0" w:space="0" w:color="auto"/>
            <w:left w:val="none" w:sz="0" w:space="0" w:color="auto"/>
            <w:bottom w:val="none" w:sz="0" w:space="0" w:color="auto"/>
            <w:right w:val="none" w:sz="0" w:space="0" w:color="auto"/>
          </w:divBdr>
        </w:div>
        <w:div w:id="727724822">
          <w:marLeft w:val="547"/>
          <w:marRight w:val="0"/>
          <w:marTop w:val="240"/>
          <w:marBottom w:val="240"/>
          <w:divBdr>
            <w:top w:val="none" w:sz="0" w:space="0" w:color="auto"/>
            <w:left w:val="none" w:sz="0" w:space="0" w:color="auto"/>
            <w:bottom w:val="none" w:sz="0" w:space="0" w:color="auto"/>
            <w:right w:val="none" w:sz="0" w:space="0" w:color="auto"/>
          </w:divBdr>
        </w:div>
        <w:div w:id="1495875220">
          <w:marLeft w:val="547"/>
          <w:marRight w:val="0"/>
          <w:marTop w:val="240"/>
          <w:marBottom w:val="240"/>
          <w:divBdr>
            <w:top w:val="none" w:sz="0" w:space="0" w:color="auto"/>
            <w:left w:val="none" w:sz="0" w:space="0" w:color="auto"/>
            <w:bottom w:val="none" w:sz="0" w:space="0" w:color="auto"/>
            <w:right w:val="none" w:sz="0" w:space="0" w:color="auto"/>
          </w:divBdr>
        </w:div>
      </w:divsChild>
    </w:div>
    <w:div w:id="1222474894">
      <w:bodyDiv w:val="1"/>
      <w:marLeft w:val="0"/>
      <w:marRight w:val="0"/>
      <w:marTop w:val="0"/>
      <w:marBottom w:val="0"/>
      <w:divBdr>
        <w:top w:val="none" w:sz="0" w:space="0" w:color="auto"/>
        <w:left w:val="none" w:sz="0" w:space="0" w:color="auto"/>
        <w:bottom w:val="none" w:sz="0" w:space="0" w:color="auto"/>
        <w:right w:val="none" w:sz="0" w:space="0" w:color="auto"/>
      </w:divBdr>
    </w:div>
    <w:div w:id="1227034940">
      <w:bodyDiv w:val="1"/>
      <w:marLeft w:val="0"/>
      <w:marRight w:val="0"/>
      <w:marTop w:val="0"/>
      <w:marBottom w:val="0"/>
      <w:divBdr>
        <w:top w:val="none" w:sz="0" w:space="0" w:color="auto"/>
        <w:left w:val="none" w:sz="0" w:space="0" w:color="auto"/>
        <w:bottom w:val="none" w:sz="0" w:space="0" w:color="auto"/>
        <w:right w:val="none" w:sz="0" w:space="0" w:color="auto"/>
      </w:divBdr>
    </w:div>
    <w:div w:id="1250695365">
      <w:bodyDiv w:val="1"/>
      <w:marLeft w:val="0"/>
      <w:marRight w:val="0"/>
      <w:marTop w:val="0"/>
      <w:marBottom w:val="0"/>
      <w:divBdr>
        <w:top w:val="none" w:sz="0" w:space="0" w:color="auto"/>
        <w:left w:val="none" w:sz="0" w:space="0" w:color="auto"/>
        <w:bottom w:val="none" w:sz="0" w:space="0" w:color="auto"/>
        <w:right w:val="none" w:sz="0" w:space="0" w:color="auto"/>
      </w:divBdr>
      <w:divsChild>
        <w:div w:id="1410541106">
          <w:marLeft w:val="1166"/>
          <w:marRight w:val="0"/>
          <w:marTop w:val="120"/>
          <w:marBottom w:val="120"/>
          <w:divBdr>
            <w:top w:val="none" w:sz="0" w:space="0" w:color="auto"/>
            <w:left w:val="none" w:sz="0" w:space="0" w:color="auto"/>
            <w:bottom w:val="none" w:sz="0" w:space="0" w:color="auto"/>
            <w:right w:val="none" w:sz="0" w:space="0" w:color="auto"/>
          </w:divBdr>
        </w:div>
        <w:div w:id="769934434">
          <w:marLeft w:val="1166"/>
          <w:marRight w:val="0"/>
          <w:marTop w:val="120"/>
          <w:marBottom w:val="120"/>
          <w:divBdr>
            <w:top w:val="none" w:sz="0" w:space="0" w:color="auto"/>
            <w:left w:val="none" w:sz="0" w:space="0" w:color="auto"/>
            <w:bottom w:val="none" w:sz="0" w:space="0" w:color="auto"/>
            <w:right w:val="none" w:sz="0" w:space="0" w:color="auto"/>
          </w:divBdr>
        </w:div>
        <w:div w:id="396057098">
          <w:marLeft w:val="1166"/>
          <w:marRight w:val="0"/>
          <w:marTop w:val="120"/>
          <w:marBottom w:val="120"/>
          <w:divBdr>
            <w:top w:val="none" w:sz="0" w:space="0" w:color="auto"/>
            <w:left w:val="none" w:sz="0" w:space="0" w:color="auto"/>
            <w:bottom w:val="none" w:sz="0" w:space="0" w:color="auto"/>
            <w:right w:val="none" w:sz="0" w:space="0" w:color="auto"/>
          </w:divBdr>
        </w:div>
        <w:div w:id="1028605778">
          <w:marLeft w:val="1166"/>
          <w:marRight w:val="0"/>
          <w:marTop w:val="120"/>
          <w:marBottom w:val="120"/>
          <w:divBdr>
            <w:top w:val="none" w:sz="0" w:space="0" w:color="auto"/>
            <w:left w:val="none" w:sz="0" w:space="0" w:color="auto"/>
            <w:bottom w:val="none" w:sz="0" w:space="0" w:color="auto"/>
            <w:right w:val="none" w:sz="0" w:space="0" w:color="auto"/>
          </w:divBdr>
        </w:div>
        <w:div w:id="476609979">
          <w:marLeft w:val="1166"/>
          <w:marRight w:val="0"/>
          <w:marTop w:val="120"/>
          <w:marBottom w:val="120"/>
          <w:divBdr>
            <w:top w:val="none" w:sz="0" w:space="0" w:color="auto"/>
            <w:left w:val="none" w:sz="0" w:space="0" w:color="auto"/>
            <w:bottom w:val="none" w:sz="0" w:space="0" w:color="auto"/>
            <w:right w:val="none" w:sz="0" w:space="0" w:color="auto"/>
          </w:divBdr>
        </w:div>
        <w:div w:id="699669589">
          <w:marLeft w:val="1166"/>
          <w:marRight w:val="0"/>
          <w:marTop w:val="120"/>
          <w:marBottom w:val="120"/>
          <w:divBdr>
            <w:top w:val="none" w:sz="0" w:space="0" w:color="auto"/>
            <w:left w:val="none" w:sz="0" w:space="0" w:color="auto"/>
            <w:bottom w:val="none" w:sz="0" w:space="0" w:color="auto"/>
            <w:right w:val="none" w:sz="0" w:space="0" w:color="auto"/>
          </w:divBdr>
        </w:div>
        <w:div w:id="658702449">
          <w:marLeft w:val="1166"/>
          <w:marRight w:val="0"/>
          <w:marTop w:val="120"/>
          <w:marBottom w:val="120"/>
          <w:divBdr>
            <w:top w:val="none" w:sz="0" w:space="0" w:color="auto"/>
            <w:left w:val="none" w:sz="0" w:space="0" w:color="auto"/>
            <w:bottom w:val="none" w:sz="0" w:space="0" w:color="auto"/>
            <w:right w:val="none" w:sz="0" w:space="0" w:color="auto"/>
          </w:divBdr>
        </w:div>
        <w:div w:id="1329014084">
          <w:marLeft w:val="1166"/>
          <w:marRight w:val="0"/>
          <w:marTop w:val="120"/>
          <w:marBottom w:val="120"/>
          <w:divBdr>
            <w:top w:val="none" w:sz="0" w:space="0" w:color="auto"/>
            <w:left w:val="none" w:sz="0" w:space="0" w:color="auto"/>
            <w:bottom w:val="none" w:sz="0" w:space="0" w:color="auto"/>
            <w:right w:val="none" w:sz="0" w:space="0" w:color="auto"/>
          </w:divBdr>
        </w:div>
        <w:div w:id="701514659">
          <w:marLeft w:val="1166"/>
          <w:marRight w:val="0"/>
          <w:marTop w:val="120"/>
          <w:marBottom w:val="120"/>
          <w:divBdr>
            <w:top w:val="none" w:sz="0" w:space="0" w:color="auto"/>
            <w:left w:val="none" w:sz="0" w:space="0" w:color="auto"/>
            <w:bottom w:val="none" w:sz="0" w:space="0" w:color="auto"/>
            <w:right w:val="none" w:sz="0" w:space="0" w:color="auto"/>
          </w:divBdr>
        </w:div>
        <w:div w:id="674378147">
          <w:marLeft w:val="1166"/>
          <w:marRight w:val="0"/>
          <w:marTop w:val="120"/>
          <w:marBottom w:val="120"/>
          <w:divBdr>
            <w:top w:val="none" w:sz="0" w:space="0" w:color="auto"/>
            <w:left w:val="none" w:sz="0" w:space="0" w:color="auto"/>
            <w:bottom w:val="none" w:sz="0" w:space="0" w:color="auto"/>
            <w:right w:val="none" w:sz="0" w:space="0" w:color="auto"/>
          </w:divBdr>
        </w:div>
        <w:div w:id="1810705083">
          <w:marLeft w:val="1166"/>
          <w:marRight w:val="0"/>
          <w:marTop w:val="120"/>
          <w:marBottom w:val="120"/>
          <w:divBdr>
            <w:top w:val="none" w:sz="0" w:space="0" w:color="auto"/>
            <w:left w:val="none" w:sz="0" w:space="0" w:color="auto"/>
            <w:bottom w:val="none" w:sz="0" w:space="0" w:color="auto"/>
            <w:right w:val="none" w:sz="0" w:space="0" w:color="auto"/>
          </w:divBdr>
        </w:div>
      </w:divsChild>
    </w:div>
    <w:div w:id="1452212505">
      <w:bodyDiv w:val="1"/>
      <w:marLeft w:val="0"/>
      <w:marRight w:val="0"/>
      <w:marTop w:val="0"/>
      <w:marBottom w:val="0"/>
      <w:divBdr>
        <w:top w:val="none" w:sz="0" w:space="0" w:color="auto"/>
        <w:left w:val="none" w:sz="0" w:space="0" w:color="auto"/>
        <w:bottom w:val="none" w:sz="0" w:space="0" w:color="auto"/>
        <w:right w:val="none" w:sz="0" w:space="0" w:color="auto"/>
      </w:divBdr>
      <w:divsChild>
        <w:div w:id="2102026552">
          <w:marLeft w:val="1166"/>
          <w:marRight w:val="0"/>
          <w:marTop w:val="120"/>
          <w:marBottom w:val="120"/>
          <w:divBdr>
            <w:top w:val="none" w:sz="0" w:space="0" w:color="auto"/>
            <w:left w:val="none" w:sz="0" w:space="0" w:color="auto"/>
            <w:bottom w:val="none" w:sz="0" w:space="0" w:color="auto"/>
            <w:right w:val="none" w:sz="0" w:space="0" w:color="auto"/>
          </w:divBdr>
        </w:div>
        <w:div w:id="129632296">
          <w:marLeft w:val="1166"/>
          <w:marRight w:val="0"/>
          <w:marTop w:val="120"/>
          <w:marBottom w:val="120"/>
          <w:divBdr>
            <w:top w:val="none" w:sz="0" w:space="0" w:color="auto"/>
            <w:left w:val="none" w:sz="0" w:space="0" w:color="auto"/>
            <w:bottom w:val="none" w:sz="0" w:space="0" w:color="auto"/>
            <w:right w:val="none" w:sz="0" w:space="0" w:color="auto"/>
          </w:divBdr>
        </w:div>
        <w:div w:id="404687750">
          <w:marLeft w:val="1166"/>
          <w:marRight w:val="0"/>
          <w:marTop w:val="120"/>
          <w:marBottom w:val="120"/>
          <w:divBdr>
            <w:top w:val="none" w:sz="0" w:space="0" w:color="auto"/>
            <w:left w:val="none" w:sz="0" w:space="0" w:color="auto"/>
            <w:bottom w:val="none" w:sz="0" w:space="0" w:color="auto"/>
            <w:right w:val="none" w:sz="0" w:space="0" w:color="auto"/>
          </w:divBdr>
        </w:div>
        <w:div w:id="793450063">
          <w:marLeft w:val="1166"/>
          <w:marRight w:val="0"/>
          <w:marTop w:val="120"/>
          <w:marBottom w:val="120"/>
          <w:divBdr>
            <w:top w:val="none" w:sz="0" w:space="0" w:color="auto"/>
            <w:left w:val="none" w:sz="0" w:space="0" w:color="auto"/>
            <w:bottom w:val="none" w:sz="0" w:space="0" w:color="auto"/>
            <w:right w:val="none" w:sz="0" w:space="0" w:color="auto"/>
          </w:divBdr>
        </w:div>
        <w:div w:id="1856798515">
          <w:marLeft w:val="1166"/>
          <w:marRight w:val="0"/>
          <w:marTop w:val="120"/>
          <w:marBottom w:val="120"/>
          <w:divBdr>
            <w:top w:val="none" w:sz="0" w:space="0" w:color="auto"/>
            <w:left w:val="none" w:sz="0" w:space="0" w:color="auto"/>
            <w:bottom w:val="none" w:sz="0" w:space="0" w:color="auto"/>
            <w:right w:val="none" w:sz="0" w:space="0" w:color="auto"/>
          </w:divBdr>
        </w:div>
        <w:div w:id="29191695">
          <w:marLeft w:val="1166"/>
          <w:marRight w:val="0"/>
          <w:marTop w:val="120"/>
          <w:marBottom w:val="120"/>
          <w:divBdr>
            <w:top w:val="none" w:sz="0" w:space="0" w:color="auto"/>
            <w:left w:val="none" w:sz="0" w:space="0" w:color="auto"/>
            <w:bottom w:val="none" w:sz="0" w:space="0" w:color="auto"/>
            <w:right w:val="none" w:sz="0" w:space="0" w:color="auto"/>
          </w:divBdr>
        </w:div>
        <w:div w:id="664939316">
          <w:marLeft w:val="1166"/>
          <w:marRight w:val="0"/>
          <w:marTop w:val="120"/>
          <w:marBottom w:val="120"/>
          <w:divBdr>
            <w:top w:val="none" w:sz="0" w:space="0" w:color="auto"/>
            <w:left w:val="none" w:sz="0" w:space="0" w:color="auto"/>
            <w:bottom w:val="none" w:sz="0" w:space="0" w:color="auto"/>
            <w:right w:val="none" w:sz="0" w:space="0" w:color="auto"/>
          </w:divBdr>
        </w:div>
        <w:div w:id="817770501">
          <w:marLeft w:val="1166"/>
          <w:marRight w:val="0"/>
          <w:marTop w:val="120"/>
          <w:marBottom w:val="120"/>
          <w:divBdr>
            <w:top w:val="none" w:sz="0" w:space="0" w:color="auto"/>
            <w:left w:val="none" w:sz="0" w:space="0" w:color="auto"/>
            <w:bottom w:val="none" w:sz="0" w:space="0" w:color="auto"/>
            <w:right w:val="none" w:sz="0" w:space="0" w:color="auto"/>
          </w:divBdr>
        </w:div>
      </w:divsChild>
    </w:div>
    <w:div w:id="1456876077">
      <w:bodyDiv w:val="1"/>
      <w:marLeft w:val="0"/>
      <w:marRight w:val="0"/>
      <w:marTop w:val="0"/>
      <w:marBottom w:val="0"/>
      <w:divBdr>
        <w:top w:val="none" w:sz="0" w:space="0" w:color="auto"/>
        <w:left w:val="none" w:sz="0" w:space="0" w:color="auto"/>
        <w:bottom w:val="none" w:sz="0" w:space="0" w:color="auto"/>
        <w:right w:val="none" w:sz="0" w:space="0" w:color="auto"/>
      </w:divBdr>
    </w:div>
    <w:div w:id="1530139967">
      <w:bodyDiv w:val="1"/>
      <w:marLeft w:val="0"/>
      <w:marRight w:val="0"/>
      <w:marTop w:val="0"/>
      <w:marBottom w:val="0"/>
      <w:divBdr>
        <w:top w:val="none" w:sz="0" w:space="0" w:color="auto"/>
        <w:left w:val="none" w:sz="0" w:space="0" w:color="auto"/>
        <w:bottom w:val="none" w:sz="0" w:space="0" w:color="auto"/>
        <w:right w:val="none" w:sz="0" w:space="0" w:color="auto"/>
      </w:divBdr>
    </w:div>
    <w:div w:id="1568421944">
      <w:bodyDiv w:val="1"/>
      <w:marLeft w:val="0"/>
      <w:marRight w:val="0"/>
      <w:marTop w:val="0"/>
      <w:marBottom w:val="0"/>
      <w:divBdr>
        <w:top w:val="none" w:sz="0" w:space="0" w:color="auto"/>
        <w:left w:val="none" w:sz="0" w:space="0" w:color="auto"/>
        <w:bottom w:val="none" w:sz="0" w:space="0" w:color="auto"/>
        <w:right w:val="none" w:sz="0" w:space="0" w:color="auto"/>
      </w:divBdr>
    </w:div>
    <w:div w:id="1595626104">
      <w:bodyDiv w:val="1"/>
      <w:marLeft w:val="0"/>
      <w:marRight w:val="0"/>
      <w:marTop w:val="0"/>
      <w:marBottom w:val="0"/>
      <w:divBdr>
        <w:top w:val="none" w:sz="0" w:space="0" w:color="auto"/>
        <w:left w:val="none" w:sz="0" w:space="0" w:color="auto"/>
        <w:bottom w:val="none" w:sz="0" w:space="0" w:color="auto"/>
        <w:right w:val="none" w:sz="0" w:space="0" w:color="auto"/>
      </w:divBdr>
      <w:divsChild>
        <w:div w:id="1103036427">
          <w:marLeft w:val="547"/>
          <w:marRight w:val="0"/>
          <w:marTop w:val="120"/>
          <w:marBottom w:val="120"/>
          <w:divBdr>
            <w:top w:val="none" w:sz="0" w:space="0" w:color="auto"/>
            <w:left w:val="none" w:sz="0" w:space="0" w:color="auto"/>
            <w:bottom w:val="none" w:sz="0" w:space="0" w:color="auto"/>
            <w:right w:val="none" w:sz="0" w:space="0" w:color="auto"/>
          </w:divBdr>
        </w:div>
        <w:div w:id="137111694">
          <w:marLeft w:val="547"/>
          <w:marRight w:val="0"/>
          <w:marTop w:val="120"/>
          <w:marBottom w:val="120"/>
          <w:divBdr>
            <w:top w:val="none" w:sz="0" w:space="0" w:color="auto"/>
            <w:left w:val="none" w:sz="0" w:space="0" w:color="auto"/>
            <w:bottom w:val="none" w:sz="0" w:space="0" w:color="auto"/>
            <w:right w:val="none" w:sz="0" w:space="0" w:color="auto"/>
          </w:divBdr>
        </w:div>
        <w:div w:id="596016951">
          <w:marLeft w:val="547"/>
          <w:marRight w:val="0"/>
          <w:marTop w:val="120"/>
          <w:marBottom w:val="120"/>
          <w:divBdr>
            <w:top w:val="none" w:sz="0" w:space="0" w:color="auto"/>
            <w:left w:val="none" w:sz="0" w:space="0" w:color="auto"/>
            <w:bottom w:val="none" w:sz="0" w:space="0" w:color="auto"/>
            <w:right w:val="none" w:sz="0" w:space="0" w:color="auto"/>
          </w:divBdr>
        </w:div>
        <w:div w:id="2128230195">
          <w:marLeft w:val="547"/>
          <w:marRight w:val="0"/>
          <w:marTop w:val="120"/>
          <w:marBottom w:val="120"/>
          <w:divBdr>
            <w:top w:val="none" w:sz="0" w:space="0" w:color="auto"/>
            <w:left w:val="none" w:sz="0" w:space="0" w:color="auto"/>
            <w:bottom w:val="none" w:sz="0" w:space="0" w:color="auto"/>
            <w:right w:val="none" w:sz="0" w:space="0" w:color="auto"/>
          </w:divBdr>
        </w:div>
        <w:div w:id="162554082">
          <w:marLeft w:val="547"/>
          <w:marRight w:val="0"/>
          <w:marTop w:val="120"/>
          <w:marBottom w:val="120"/>
          <w:divBdr>
            <w:top w:val="none" w:sz="0" w:space="0" w:color="auto"/>
            <w:left w:val="none" w:sz="0" w:space="0" w:color="auto"/>
            <w:bottom w:val="none" w:sz="0" w:space="0" w:color="auto"/>
            <w:right w:val="none" w:sz="0" w:space="0" w:color="auto"/>
          </w:divBdr>
        </w:div>
        <w:div w:id="1212418920">
          <w:marLeft w:val="547"/>
          <w:marRight w:val="0"/>
          <w:marTop w:val="120"/>
          <w:marBottom w:val="120"/>
          <w:divBdr>
            <w:top w:val="none" w:sz="0" w:space="0" w:color="auto"/>
            <w:left w:val="none" w:sz="0" w:space="0" w:color="auto"/>
            <w:bottom w:val="none" w:sz="0" w:space="0" w:color="auto"/>
            <w:right w:val="none" w:sz="0" w:space="0" w:color="auto"/>
          </w:divBdr>
        </w:div>
        <w:div w:id="430660464">
          <w:marLeft w:val="547"/>
          <w:marRight w:val="0"/>
          <w:marTop w:val="120"/>
          <w:marBottom w:val="120"/>
          <w:divBdr>
            <w:top w:val="none" w:sz="0" w:space="0" w:color="auto"/>
            <w:left w:val="none" w:sz="0" w:space="0" w:color="auto"/>
            <w:bottom w:val="none" w:sz="0" w:space="0" w:color="auto"/>
            <w:right w:val="none" w:sz="0" w:space="0" w:color="auto"/>
          </w:divBdr>
        </w:div>
        <w:div w:id="746652229">
          <w:marLeft w:val="547"/>
          <w:marRight w:val="0"/>
          <w:marTop w:val="120"/>
          <w:marBottom w:val="120"/>
          <w:divBdr>
            <w:top w:val="none" w:sz="0" w:space="0" w:color="auto"/>
            <w:left w:val="none" w:sz="0" w:space="0" w:color="auto"/>
            <w:bottom w:val="none" w:sz="0" w:space="0" w:color="auto"/>
            <w:right w:val="none" w:sz="0" w:space="0" w:color="auto"/>
          </w:divBdr>
        </w:div>
        <w:div w:id="1351370339">
          <w:marLeft w:val="547"/>
          <w:marRight w:val="0"/>
          <w:marTop w:val="120"/>
          <w:marBottom w:val="120"/>
          <w:divBdr>
            <w:top w:val="none" w:sz="0" w:space="0" w:color="auto"/>
            <w:left w:val="none" w:sz="0" w:space="0" w:color="auto"/>
            <w:bottom w:val="none" w:sz="0" w:space="0" w:color="auto"/>
            <w:right w:val="none" w:sz="0" w:space="0" w:color="auto"/>
          </w:divBdr>
        </w:div>
      </w:divsChild>
    </w:div>
    <w:div w:id="1623803178">
      <w:bodyDiv w:val="1"/>
      <w:marLeft w:val="0"/>
      <w:marRight w:val="0"/>
      <w:marTop w:val="0"/>
      <w:marBottom w:val="0"/>
      <w:divBdr>
        <w:top w:val="none" w:sz="0" w:space="0" w:color="auto"/>
        <w:left w:val="none" w:sz="0" w:space="0" w:color="auto"/>
        <w:bottom w:val="none" w:sz="0" w:space="0" w:color="auto"/>
        <w:right w:val="none" w:sz="0" w:space="0" w:color="auto"/>
      </w:divBdr>
    </w:div>
    <w:div w:id="1657411812">
      <w:bodyDiv w:val="1"/>
      <w:marLeft w:val="0"/>
      <w:marRight w:val="0"/>
      <w:marTop w:val="0"/>
      <w:marBottom w:val="0"/>
      <w:divBdr>
        <w:top w:val="none" w:sz="0" w:space="0" w:color="auto"/>
        <w:left w:val="none" w:sz="0" w:space="0" w:color="auto"/>
        <w:bottom w:val="none" w:sz="0" w:space="0" w:color="auto"/>
        <w:right w:val="none" w:sz="0" w:space="0" w:color="auto"/>
      </w:divBdr>
      <w:divsChild>
        <w:div w:id="432629654">
          <w:marLeft w:val="547"/>
          <w:marRight w:val="0"/>
          <w:marTop w:val="240"/>
          <w:marBottom w:val="240"/>
          <w:divBdr>
            <w:top w:val="none" w:sz="0" w:space="0" w:color="auto"/>
            <w:left w:val="none" w:sz="0" w:space="0" w:color="auto"/>
            <w:bottom w:val="none" w:sz="0" w:space="0" w:color="auto"/>
            <w:right w:val="none" w:sz="0" w:space="0" w:color="auto"/>
          </w:divBdr>
        </w:div>
        <w:div w:id="525603836">
          <w:marLeft w:val="547"/>
          <w:marRight w:val="0"/>
          <w:marTop w:val="240"/>
          <w:marBottom w:val="240"/>
          <w:divBdr>
            <w:top w:val="none" w:sz="0" w:space="0" w:color="auto"/>
            <w:left w:val="none" w:sz="0" w:space="0" w:color="auto"/>
            <w:bottom w:val="none" w:sz="0" w:space="0" w:color="auto"/>
            <w:right w:val="none" w:sz="0" w:space="0" w:color="auto"/>
          </w:divBdr>
        </w:div>
        <w:div w:id="1744332066">
          <w:marLeft w:val="547"/>
          <w:marRight w:val="0"/>
          <w:marTop w:val="240"/>
          <w:marBottom w:val="240"/>
          <w:divBdr>
            <w:top w:val="none" w:sz="0" w:space="0" w:color="auto"/>
            <w:left w:val="none" w:sz="0" w:space="0" w:color="auto"/>
            <w:bottom w:val="none" w:sz="0" w:space="0" w:color="auto"/>
            <w:right w:val="none" w:sz="0" w:space="0" w:color="auto"/>
          </w:divBdr>
        </w:div>
        <w:div w:id="482628719">
          <w:marLeft w:val="547"/>
          <w:marRight w:val="0"/>
          <w:marTop w:val="240"/>
          <w:marBottom w:val="240"/>
          <w:divBdr>
            <w:top w:val="none" w:sz="0" w:space="0" w:color="auto"/>
            <w:left w:val="none" w:sz="0" w:space="0" w:color="auto"/>
            <w:bottom w:val="none" w:sz="0" w:space="0" w:color="auto"/>
            <w:right w:val="none" w:sz="0" w:space="0" w:color="auto"/>
          </w:divBdr>
        </w:div>
        <w:div w:id="416563340">
          <w:marLeft w:val="547"/>
          <w:marRight w:val="0"/>
          <w:marTop w:val="240"/>
          <w:marBottom w:val="240"/>
          <w:divBdr>
            <w:top w:val="none" w:sz="0" w:space="0" w:color="auto"/>
            <w:left w:val="none" w:sz="0" w:space="0" w:color="auto"/>
            <w:bottom w:val="none" w:sz="0" w:space="0" w:color="auto"/>
            <w:right w:val="none" w:sz="0" w:space="0" w:color="auto"/>
          </w:divBdr>
        </w:div>
      </w:divsChild>
    </w:div>
    <w:div w:id="1679044995">
      <w:bodyDiv w:val="1"/>
      <w:marLeft w:val="0"/>
      <w:marRight w:val="0"/>
      <w:marTop w:val="0"/>
      <w:marBottom w:val="0"/>
      <w:divBdr>
        <w:top w:val="none" w:sz="0" w:space="0" w:color="auto"/>
        <w:left w:val="none" w:sz="0" w:space="0" w:color="auto"/>
        <w:bottom w:val="none" w:sz="0" w:space="0" w:color="auto"/>
        <w:right w:val="none" w:sz="0" w:space="0" w:color="auto"/>
      </w:divBdr>
      <w:divsChild>
        <w:div w:id="719865897">
          <w:marLeft w:val="288"/>
          <w:marRight w:val="0"/>
          <w:marTop w:val="120"/>
          <w:marBottom w:val="120"/>
          <w:divBdr>
            <w:top w:val="none" w:sz="0" w:space="0" w:color="auto"/>
            <w:left w:val="none" w:sz="0" w:space="0" w:color="auto"/>
            <w:bottom w:val="none" w:sz="0" w:space="0" w:color="auto"/>
            <w:right w:val="none" w:sz="0" w:space="0" w:color="auto"/>
          </w:divBdr>
        </w:div>
        <w:div w:id="1175068584">
          <w:marLeft w:val="720"/>
          <w:marRight w:val="0"/>
          <w:marTop w:val="120"/>
          <w:marBottom w:val="120"/>
          <w:divBdr>
            <w:top w:val="none" w:sz="0" w:space="0" w:color="auto"/>
            <w:left w:val="none" w:sz="0" w:space="0" w:color="auto"/>
            <w:bottom w:val="none" w:sz="0" w:space="0" w:color="auto"/>
            <w:right w:val="none" w:sz="0" w:space="0" w:color="auto"/>
          </w:divBdr>
        </w:div>
        <w:div w:id="1099375065">
          <w:marLeft w:val="288"/>
          <w:marRight w:val="0"/>
          <w:marTop w:val="120"/>
          <w:marBottom w:val="120"/>
          <w:divBdr>
            <w:top w:val="none" w:sz="0" w:space="0" w:color="auto"/>
            <w:left w:val="none" w:sz="0" w:space="0" w:color="auto"/>
            <w:bottom w:val="none" w:sz="0" w:space="0" w:color="auto"/>
            <w:right w:val="none" w:sz="0" w:space="0" w:color="auto"/>
          </w:divBdr>
        </w:div>
        <w:div w:id="49885716">
          <w:marLeft w:val="720"/>
          <w:marRight w:val="0"/>
          <w:marTop w:val="120"/>
          <w:marBottom w:val="120"/>
          <w:divBdr>
            <w:top w:val="none" w:sz="0" w:space="0" w:color="auto"/>
            <w:left w:val="none" w:sz="0" w:space="0" w:color="auto"/>
            <w:bottom w:val="none" w:sz="0" w:space="0" w:color="auto"/>
            <w:right w:val="none" w:sz="0" w:space="0" w:color="auto"/>
          </w:divBdr>
        </w:div>
        <w:div w:id="101804929">
          <w:marLeft w:val="720"/>
          <w:marRight w:val="0"/>
          <w:marTop w:val="120"/>
          <w:marBottom w:val="120"/>
          <w:divBdr>
            <w:top w:val="none" w:sz="0" w:space="0" w:color="auto"/>
            <w:left w:val="none" w:sz="0" w:space="0" w:color="auto"/>
            <w:bottom w:val="none" w:sz="0" w:space="0" w:color="auto"/>
            <w:right w:val="none" w:sz="0" w:space="0" w:color="auto"/>
          </w:divBdr>
        </w:div>
        <w:div w:id="778451495">
          <w:marLeft w:val="720"/>
          <w:marRight w:val="0"/>
          <w:marTop w:val="120"/>
          <w:marBottom w:val="120"/>
          <w:divBdr>
            <w:top w:val="none" w:sz="0" w:space="0" w:color="auto"/>
            <w:left w:val="none" w:sz="0" w:space="0" w:color="auto"/>
            <w:bottom w:val="none" w:sz="0" w:space="0" w:color="auto"/>
            <w:right w:val="none" w:sz="0" w:space="0" w:color="auto"/>
          </w:divBdr>
        </w:div>
        <w:div w:id="1336566846">
          <w:marLeft w:val="720"/>
          <w:marRight w:val="0"/>
          <w:marTop w:val="120"/>
          <w:marBottom w:val="120"/>
          <w:divBdr>
            <w:top w:val="none" w:sz="0" w:space="0" w:color="auto"/>
            <w:left w:val="none" w:sz="0" w:space="0" w:color="auto"/>
            <w:bottom w:val="none" w:sz="0" w:space="0" w:color="auto"/>
            <w:right w:val="none" w:sz="0" w:space="0" w:color="auto"/>
          </w:divBdr>
        </w:div>
        <w:div w:id="668288330">
          <w:marLeft w:val="288"/>
          <w:marRight w:val="0"/>
          <w:marTop w:val="120"/>
          <w:marBottom w:val="120"/>
          <w:divBdr>
            <w:top w:val="none" w:sz="0" w:space="0" w:color="auto"/>
            <w:left w:val="none" w:sz="0" w:space="0" w:color="auto"/>
            <w:bottom w:val="none" w:sz="0" w:space="0" w:color="auto"/>
            <w:right w:val="none" w:sz="0" w:space="0" w:color="auto"/>
          </w:divBdr>
        </w:div>
        <w:div w:id="2063795318">
          <w:marLeft w:val="720"/>
          <w:marRight w:val="0"/>
          <w:marTop w:val="120"/>
          <w:marBottom w:val="120"/>
          <w:divBdr>
            <w:top w:val="none" w:sz="0" w:space="0" w:color="auto"/>
            <w:left w:val="none" w:sz="0" w:space="0" w:color="auto"/>
            <w:bottom w:val="none" w:sz="0" w:space="0" w:color="auto"/>
            <w:right w:val="none" w:sz="0" w:space="0" w:color="auto"/>
          </w:divBdr>
        </w:div>
        <w:div w:id="133186108">
          <w:marLeft w:val="720"/>
          <w:marRight w:val="0"/>
          <w:marTop w:val="120"/>
          <w:marBottom w:val="120"/>
          <w:divBdr>
            <w:top w:val="none" w:sz="0" w:space="0" w:color="auto"/>
            <w:left w:val="none" w:sz="0" w:space="0" w:color="auto"/>
            <w:bottom w:val="none" w:sz="0" w:space="0" w:color="auto"/>
            <w:right w:val="none" w:sz="0" w:space="0" w:color="auto"/>
          </w:divBdr>
        </w:div>
        <w:div w:id="914121746">
          <w:marLeft w:val="720"/>
          <w:marRight w:val="0"/>
          <w:marTop w:val="120"/>
          <w:marBottom w:val="120"/>
          <w:divBdr>
            <w:top w:val="none" w:sz="0" w:space="0" w:color="auto"/>
            <w:left w:val="none" w:sz="0" w:space="0" w:color="auto"/>
            <w:bottom w:val="none" w:sz="0" w:space="0" w:color="auto"/>
            <w:right w:val="none" w:sz="0" w:space="0" w:color="auto"/>
          </w:divBdr>
        </w:div>
        <w:div w:id="1945723404">
          <w:marLeft w:val="720"/>
          <w:marRight w:val="0"/>
          <w:marTop w:val="120"/>
          <w:marBottom w:val="120"/>
          <w:divBdr>
            <w:top w:val="none" w:sz="0" w:space="0" w:color="auto"/>
            <w:left w:val="none" w:sz="0" w:space="0" w:color="auto"/>
            <w:bottom w:val="none" w:sz="0" w:space="0" w:color="auto"/>
            <w:right w:val="none" w:sz="0" w:space="0" w:color="auto"/>
          </w:divBdr>
        </w:div>
        <w:div w:id="849678219">
          <w:marLeft w:val="720"/>
          <w:marRight w:val="0"/>
          <w:marTop w:val="120"/>
          <w:marBottom w:val="120"/>
          <w:divBdr>
            <w:top w:val="none" w:sz="0" w:space="0" w:color="auto"/>
            <w:left w:val="none" w:sz="0" w:space="0" w:color="auto"/>
            <w:bottom w:val="none" w:sz="0" w:space="0" w:color="auto"/>
            <w:right w:val="none" w:sz="0" w:space="0" w:color="auto"/>
          </w:divBdr>
        </w:div>
      </w:divsChild>
    </w:div>
    <w:div w:id="1735202460">
      <w:bodyDiv w:val="1"/>
      <w:marLeft w:val="0"/>
      <w:marRight w:val="0"/>
      <w:marTop w:val="0"/>
      <w:marBottom w:val="0"/>
      <w:divBdr>
        <w:top w:val="none" w:sz="0" w:space="0" w:color="auto"/>
        <w:left w:val="none" w:sz="0" w:space="0" w:color="auto"/>
        <w:bottom w:val="none" w:sz="0" w:space="0" w:color="auto"/>
        <w:right w:val="none" w:sz="0" w:space="0" w:color="auto"/>
      </w:divBdr>
    </w:div>
    <w:div w:id="1758400023">
      <w:bodyDiv w:val="1"/>
      <w:marLeft w:val="0"/>
      <w:marRight w:val="0"/>
      <w:marTop w:val="0"/>
      <w:marBottom w:val="0"/>
      <w:divBdr>
        <w:top w:val="none" w:sz="0" w:space="0" w:color="auto"/>
        <w:left w:val="none" w:sz="0" w:space="0" w:color="auto"/>
        <w:bottom w:val="none" w:sz="0" w:space="0" w:color="auto"/>
        <w:right w:val="none" w:sz="0" w:space="0" w:color="auto"/>
      </w:divBdr>
      <w:divsChild>
        <w:div w:id="1978602585">
          <w:marLeft w:val="288"/>
          <w:marRight w:val="0"/>
          <w:marTop w:val="120"/>
          <w:marBottom w:val="120"/>
          <w:divBdr>
            <w:top w:val="none" w:sz="0" w:space="0" w:color="auto"/>
            <w:left w:val="none" w:sz="0" w:space="0" w:color="auto"/>
            <w:bottom w:val="none" w:sz="0" w:space="0" w:color="auto"/>
            <w:right w:val="none" w:sz="0" w:space="0" w:color="auto"/>
          </w:divBdr>
        </w:div>
        <w:div w:id="1782067743">
          <w:marLeft w:val="288"/>
          <w:marRight w:val="0"/>
          <w:marTop w:val="120"/>
          <w:marBottom w:val="120"/>
          <w:divBdr>
            <w:top w:val="none" w:sz="0" w:space="0" w:color="auto"/>
            <w:left w:val="none" w:sz="0" w:space="0" w:color="auto"/>
            <w:bottom w:val="none" w:sz="0" w:space="0" w:color="auto"/>
            <w:right w:val="none" w:sz="0" w:space="0" w:color="auto"/>
          </w:divBdr>
        </w:div>
        <w:div w:id="2065368286">
          <w:marLeft w:val="1440"/>
          <w:marRight w:val="0"/>
          <w:marTop w:val="120"/>
          <w:marBottom w:val="120"/>
          <w:divBdr>
            <w:top w:val="none" w:sz="0" w:space="0" w:color="auto"/>
            <w:left w:val="none" w:sz="0" w:space="0" w:color="auto"/>
            <w:bottom w:val="none" w:sz="0" w:space="0" w:color="auto"/>
            <w:right w:val="none" w:sz="0" w:space="0" w:color="auto"/>
          </w:divBdr>
        </w:div>
        <w:div w:id="1874078991">
          <w:marLeft w:val="1440"/>
          <w:marRight w:val="0"/>
          <w:marTop w:val="120"/>
          <w:marBottom w:val="120"/>
          <w:divBdr>
            <w:top w:val="none" w:sz="0" w:space="0" w:color="auto"/>
            <w:left w:val="none" w:sz="0" w:space="0" w:color="auto"/>
            <w:bottom w:val="none" w:sz="0" w:space="0" w:color="auto"/>
            <w:right w:val="none" w:sz="0" w:space="0" w:color="auto"/>
          </w:divBdr>
        </w:div>
        <w:div w:id="1302030863">
          <w:marLeft w:val="1440"/>
          <w:marRight w:val="0"/>
          <w:marTop w:val="120"/>
          <w:marBottom w:val="120"/>
          <w:divBdr>
            <w:top w:val="none" w:sz="0" w:space="0" w:color="auto"/>
            <w:left w:val="none" w:sz="0" w:space="0" w:color="auto"/>
            <w:bottom w:val="none" w:sz="0" w:space="0" w:color="auto"/>
            <w:right w:val="none" w:sz="0" w:space="0" w:color="auto"/>
          </w:divBdr>
        </w:div>
        <w:div w:id="219099537">
          <w:marLeft w:val="1440"/>
          <w:marRight w:val="0"/>
          <w:marTop w:val="120"/>
          <w:marBottom w:val="120"/>
          <w:divBdr>
            <w:top w:val="none" w:sz="0" w:space="0" w:color="auto"/>
            <w:left w:val="none" w:sz="0" w:space="0" w:color="auto"/>
            <w:bottom w:val="none" w:sz="0" w:space="0" w:color="auto"/>
            <w:right w:val="none" w:sz="0" w:space="0" w:color="auto"/>
          </w:divBdr>
        </w:div>
        <w:div w:id="1666396580">
          <w:marLeft w:val="1440"/>
          <w:marRight w:val="0"/>
          <w:marTop w:val="120"/>
          <w:marBottom w:val="120"/>
          <w:divBdr>
            <w:top w:val="none" w:sz="0" w:space="0" w:color="auto"/>
            <w:left w:val="none" w:sz="0" w:space="0" w:color="auto"/>
            <w:bottom w:val="none" w:sz="0" w:space="0" w:color="auto"/>
            <w:right w:val="none" w:sz="0" w:space="0" w:color="auto"/>
          </w:divBdr>
        </w:div>
        <w:div w:id="1798377127">
          <w:marLeft w:val="1440"/>
          <w:marRight w:val="0"/>
          <w:marTop w:val="120"/>
          <w:marBottom w:val="120"/>
          <w:divBdr>
            <w:top w:val="none" w:sz="0" w:space="0" w:color="auto"/>
            <w:left w:val="none" w:sz="0" w:space="0" w:color="auto"/>
            <w:bottom w:val="none" w:sz="0" w:space="0" w:color="auto"/>
            <w:right w:val="none" w:sz="0" w:space="0" w:color="auto"/>
          </w:divBdr>
        </w:div>
        <w:div w:id="1972706135">
          <w:marLeft w:val="1440"/>
          <w:marRight w:val="0"/>
          <w:marTop w:val="120"/>
          <w:marBottom w:val="120"/>
          <w:divBdr>
            <w:top w:val="none" w:sz="0" w:space="0" w:color="auto"/>
            <w:left w:val="none" w:sz="0" w:space="0" w:color="auto"/>
            <w:bottom w:val="none" w:sz="0" w:space="0" w:color="auto"/>
            <w:right w:val="none" w:sz="0" w:space="0" w:color="auto"/>
          </w:divBdr>
        </w:div>
        <w:div w:id="368334135">
          <w:marLeft w:val="1440"/>
          <w:marRight w:val="0"/>
          <w:marTop w:val="120"/>
          <w:marBottom w:val="120"/>
          <w:divBdr>
            <w:top w:val="none" w:sz="0" w:space="0" w:color="auto"/>
            <w:left w:val="none" w:sz="0" w:space="0" w:color="auto"/>
            <w:bottom w:val="none" w:sz="0" w:space="0" w:color="auto"/>
            <w:right w:val="none" w:sz="0" w:space="0" w:color="auto"/>
          </w:divBdr>
        </w:div>
        <w:div w:id="32117086">
          <w:marLeft w:val="1440"/>
          <w:marRight w:val="0"/>
          <w:marTop w:val="120"/>
          <w:marBottom w:val="120"/>
          <w:divBdr>
            <w:top w:val="none" w:sz="0" w:space="0" w:color="auto"/>
            <w:left w:val="none" w:sz="0" w:space="0" w:color="auto"/>
            <w:bottom w:val="none" w:sz="0" w:space="0" w:color="auto"/>
            <w:right w:val="none" w:sz="0" w:space="0" w:color="auto"/>
          </w:divBdr>
        </w:div>
        <w:div w:id="1226064666">
          <w:marLeft w:val="1440"/>
          <w:marRight w:val="0"/>
          <w:marTop w:val="120"/>
          <w:marBottom w:val="120"/>
          <w:divBdr>
            <w:top w:val="none" w:sz="0" w:space="0" w:color="auto"/>
            <w:left w:val="none" w:sz="0" w:space="0" w:color="auto"/>
            <w:bottom w:val="none" w:sz="0" w:space="0" w:color="auto"/>
            <w:right w:val="none" w:sz="0" w:space="0" w:color="auto"/>
          </w:divBdr>
        </w:div>
        <w:div w:id="808668982">
          <w:marLeft w:val="1440"/>
          <w:marRight w:val="0"/>
          <w:marTop w:val="120"/>
          <w:marBottom w:val="120"/>
          <w:divBdr>
            <w:top w:val="none" w:sz="0" w:space="0" w:color="auto"/>
            <w:left w:val="none" w:sz="0" w:space="0" w:color="auto"/>
            <w:bottom w:val="none" w:sz="0" w:space="0" w:color="auto"/>
            <w:right w:val="none" w:sz="0" w:space="0" w:color="auto"/>
          </w:divBdr>
        </w:div>
      </w:divsChild>
    </w:div>
    <w:div w:id="1832866617">
      <w:bodyDiv w:val="1"/>
      <w:marLeft w:val="0"/>
      <w:marRight w:val="0"/>
      <w:marTop w:val="0"/>
      <w:marBottom w:val="0"/>
      <w:divBdr>
        <w:top w:val="none" w:sz="0" w:space="0" w:color="auto"/>
        <w:left w:val="none" w:sz="0" w:space="0" w:color="auto"/>
        <w:bottom w:val="none" w:sz="0" w:space="0" w:color="auto"/>
        <w:right w:val="none" w:sz="0" w:space="0" w:color="auto"/>
      </w:divBdr>
    </w:div>
    <w:div w:id="1833989174">
      <w:bodyDiv w:val="1"/>
      <w:marLeft w:val="0"/>
      <w:marRight w:val="0"/>
      <w:marTop w:val="0"/>
      <w:marBottom w:val="0"/>
      <w:divBdr>
        <w:top w:val="none" w:sz="0" w:space="0" w:color="auto"/>
        <w:left w:val="none" w:sz="0" w:space="0" w:color="auto"/>
        <w:bottom w:val="none" w:sz="0" w:space="0" w:color="auto"/>
        <w:right w:val="none" w:sz="0" w:space="0" w:color="auto"/>
      </w:divBdr>
    </w:div>
    <w:div w:id="1843230880">
      <w:bodyDiv w:val="1"/>
      <w:marLeft w:val="0"/>
      <w:marRight w:val="0"/>
      <w:marTop w:val="0"/>
      <w:marBottom w:val="0"/>
      <w:divBdr>
        <w:top w:val="none" w:sz="0" w:space="0" w:color="auto"/>
        <w:left w:val="none" w:sz="0" w:space="0" w:color="auto"/>
        <w:bottom w:val="none" w:sz="0" w:space="0" w:color="auto"/>
        <w:right w:val="none" w:sz="0" w:space="0" w:color="auto"/>
      </w:divBdr>
    </w:div>
    <w:div w:id="1849057145">
      <w:bodyDiv w:val="1"/>
      <w:marLeft w:val="0"/>
      <w:marRight w:val="0"/>
      <w:marTop w:val="0"/>
      <w:marBottom w:val="0"/>
      <w:divBdr>
        <w:top w:val="none" w:sz="0" w:space="0" w:color="auto"/>
        <w:left w:val="none" w:sz="0" w:space="0" w:color="auto"/>
        <w:bottom w:val="none" w:sz="0" w:space="0" w:color="auto"/>
        <w:right w:val="none" w:sz="0" w:space="0" w:color="auto"/>
      </w:divBdr>
    </w:div>
    <w:div w:id="1906452619">
      <w:bodyDiv w:val="1"/>
      <w:marLeft w:val="0"/>
      <w:marRight w:val="0"/>
      <w:marTop w:val="0"/>
      <w:marBottom w:val="0"/>
      <w:divBdr>
        <w:top w:val="none" w:sz="0" w:space="0" w:color="auto"/>
        <w:left w:val="none" w:sz="0" w:space="0" w:color="auto"/>
        <w:bottom w:val="none" w:sz="0" w:space="0" w:color="auto"/>
        <w:right w:val="none" w:sz="0" w:space="0" w:color="auto"/>
      </w:divBdr>
    </w:div>
    <w:div w:id="1911427914">
      <w:bodyDiv w:val="1"/>
      <w:marLeft w:val="0"/>
      <w:marRight w:val="0"/>
      <w:marTop w:val="0"/>
      <w:marBottom w:val="0"/>
      <w:divBdr>
        <w:top w:val="none" w:sz="0" w:space="0" w:color="auto"/>
        <w:left w:val="none" w:sz="0" w:space="0" w:color="auto"/>
        <w:bottom w:val="none" w:sz="0" w:space="0" w:color="auto"/>
        <w:right w:val="none" w:sz="0" w:space="0" w:color="auto"/>
      </w:divBdr>
    </w:div>
    <w:div w:id="1925140868">
      <w:bodyDiv w:val="1"/>
      <w:marLeft w:val="0"/>
      <w:marRight w:val="0"/>
      <w:marTop w:val="0"/>
      <w:marBottom w:val="0"/>
      <w:divBdr>
        <w:top w:val="none" w:sz="0" w:space="0" w:color="auto"/>
        <w:left w:val="none" w:sz="0" w:space="0" w:color="auto"/>
        <w:bottom w:val="none" w:sz="0" w:space="0" w:color="auto"/>
        <w:right w:val="none" w:sz="0" w:space="0" w:color="auto"/>
      </w:divBdr>
      <w:divsChild>
        <w:div w:id="2045476365">
          <w:marLeft w:val="446"/>
          <w:marRight w:val="0"/>
          <w:marTop w:val="0"/>
          <w:marBottom w:val="120"/>
          <w:divBdr>
            <w:top w:val="none" w:sz="0" w:space="0" w:color="auto"/>
            <w:left w:val="none" w:sz="0" w:space="0" w:color="auto"/>
            <w:bottom w:val="none" w:sz="0" w:space="0" w:color="auto"/>
            <w:right w:val="none" w:sz="0" w:space="0" w:color="auto"/>
          </w:divBdr>
        </w:div>
      </w:divsChild>
    </w:div>
    <w:div w:id="1931814031">
      <w:bodyDiv w:val="1"/>
      <w:marLeft w:val="0"/>
      <w:marRight w:val="0"/>
      <w:marTop w:val="0"/>
      <w:marBottom w:val="0"/>
      <w:divBdr>
        <w:top w:val="none" w:sz="0" w:space="0" w:color="auto"/>
        <w:left w:val="none" w:sz="0" w:space="0" w:color="auto"/>
        <w:bottom w:val="none" w:sz="0" w:space="0" w:color="auto"/>
        <w:right w:val="none" w:sz="0" w:space="0" w:color="auto"/>
      </w:divBdr>
    </w:div>
    <w:div w:id="1983078646">
      <w:bodyDiv w:val="1"/>
      <w:marLeft w:val="0"/>
      <w:marRight w:val="0"/>
      <w:marTop w:val="0"/>
      <w:marBottom w:val="0"/>
      <w:divBdr>
        <w:top w:val="none" w:sz="0" w:space="0" w:color="auto"/>
        <w:left w:val="none" w:sz="0" w:space="0" w:color="auto"/>
        <w:bottom w:val="none" w:sz="0" w:space="0" w:color="auto"/>
        <w:right w:val="none" w:sz="0" w:space="0" w:color="auto"/>
      </w:divBdr>
    </w:div>
    <w:div w:id="2122532100">
      <w:bodyDiv w:val="1"/>
      <w:marLeft w:val="0"/>
      <w:marRight w:val="0"/>
      <w:marTop w:val="0"/>
      <w:marBottom w:val="0"/>
      <w:divBdr>
        <w:top w:val="none" w:sz="0" w:space="0" w:color="auto"/>
        <w:left w:val="none" w:sz="0" w:space="0" w:color="auto"/>
        <w:bottom w:val="none" w:sz="0" w:space="0" w:color="auto"/>
        <w:right w:val="none" w:sz="0" w:space="0" w:color="auto"/>
      </w:divBdr>
      <w:divsChild>
        <w:div w:id="1578321225">
          <w:marLeft w:val="547"/>
          <w:marRight w:val="0"/>
          <w:marTop w:val="120"/>
          <w:marBottom w:val="120"/>
          <w:divBdr>
            <w:top w:val="none" w:sz="0" w:space="0" w:color="auto"/>
            <w:left w:val="none" w:sz="0" w:space="0" w:color="auto"/>
            <w:bottom w:val="none" w:sz="0" w:space="0" w:color="auto"/>
            <w:right w:val="none" w:sz="0" w:space="0" w:color="auto"/>
          </w:divBdr>
        </w:div>
        <w:div w:id="44842702">
          <w:marLeft w:val="547"/>
          <w:marRight w:val="0"/>
          <w:marTop w:val="120"/>
          <w:marBottom w:val="120"/>
          <w:divBdr>
            <w:top w:val="none" w:sz="0" w:space="0" w:color="auto"/>
            <w:left w:val="none" w:sz="0" w:space="0" w:color="auto"/>
            <w:bottom w:val="none" w:sz="0" w:space="0" w:color="auto"/>
            <w:right w:val="none" w:sz="0" w:space="0" w:color="auto"/>
          </w:divBdr>
        </w:div>
        <w:div w:id="148711163">
          <w:marLeft w:val="547"/>
          <w:marRight w:val="0"/>
          <w:marTop w:val="120"/>
          <w:marBottom w:val="120"/>
          <w:divBdr>
            <w:top w:val="none" w:sz="0" w:space="0" w:color="auto"/>
            <w:left w:val="none" w:sz="0" w:space="0" w:color="auto"/>
            <w:bottom w:val="none" w:sz="0" w:space="0" w:color="auto"/>
            <w:right w:val="none" w:sz="0" w:space="0" w:color="auto"/>
          </w:divBdr>
        </w:div>
        <w:div w:id="934047191">
          <w:marLeft w:val="547"/>
          <w:marRight w:val="0"/>
          <w:marTop w:val="120"/>
          <w:marBottom w:val="120"/>
          <w:divBdr>
            <w:top w:val="none" w:sz="0" w:space="0" w:color="auto"/>
            <w:left w:val="none" w:sz="0" w:space="0" w:color="auto"/>
            <w:bottom w:val="none" w:sz="0" w:space="0" w:color="auto"/>
            <w:right w:val="none" w:sz="0" w:space="0" w:color="auto"/>
          </w:divBdr>
        </w:div>
        <w:div w:id="1297881198">
          <w:marLeft w:val="547"/>
          <w:marRight w:val="0"/>
          <w:marTop w:val="120"/>
          <w:marBottom w:val="120"/>
          <w:divBdr>
            <w:top w:val="none" w:sz="0" w:space="0" w:color="auto"/>
            <w:left w:val="none" w:sz="0" w:space="0" w:color="auto"/>
            <w:bottom w:val="none" w:sz="0" w:space="0" w:color="auto"/>
            <w:right w:val="none" w:sz="0" w:space="0" w:color="auto"/>
          </w:divBdr>
        </w:div>
        <w:div w:id="137722587">
          <w:marLeft w:val="547"/>
          <w:marRight w:val="0"/>
          <w:marTop w:val="120"/>
          <w:marBottom w:val="120"/>
          <w:divBdr>
            <w:top w:val="none" w:sz="0" w:space="0" w:color="auto"/>
            <w:left w:val="none" w:sz="0" w:space="0" w:color="auto"/>
            <w:bottom w:val="none" w:sz="0" w:space="0" w:color="auto"/>
            <w:right w:val="none" w:sz="0" w:space="0" w:color="auto"/>
          </w:divBdr>
        </w:div>
        <w:div w:id="91822632">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4.xml"/><Relationship Id="rId21" Type="http://schemas.openxmlformats.org/officeDocument/2006/relationships/footer" Target="footer4.xml"/><Relationship Id="rId42" Type="http://schemas.openxmlformats.org/officeDocument/2006/relationships/chart" Target="charts/chart4.xml"/><Relationship Id="rId63" Type="http://schemas.openxmlformats.org/officeDocument/2006/relationships/chart" Target="charts/chart18.xml"/><Relationship Id="rId84" Type="http://schemas.openxmlformats.org/officeDocument/2006/relationships/hyperlink" Target="https://en.wikipedia.org/wiki/Democracy_Index" TargetMode="External"/><Relationship Id="rId138" Type="http://schemas.openxmlformats.org/officeDocument/2006/relationships/hyperlink" Target="https://www.bb.org.bd/pub/halfyearly/fdisurvey/fdisurveyjanjun2016.pdf" TargetMode="External"/><Relationship Id="rId159" Type="http://schemas.openxmlformats.org/officeDocument/2006/relationships/hyperlink" Target="https://www.eiu.com/public/topical_report.aspx?campaignid=DemocracyIndex2016" TargetMode="External"/><Relationship Id="rId170" Type="http://schemas.openxmlformats.org/officeDocument/2006/relationships/hyperlink" Target="https://data.worldbank.org/indicator/BX.KLT.DINV.WD.GD.ZS" TargetMode="External"/><Relationship Id="rId191" Type="http://schemas.openxmlformats.org/officeDocument/2006/relationships/image" Target="media/image54.emf"/><Relationship Id="rId205" Type="http://schemas.openxmlformats.org/officeDocument/2006/relationships/image" Target="media/image58.png"/><Relationship Id="rId226" Type="http://schemas.openxmlformats.org/officeDocument/2006/relationships/hyperlink" Target="http://info.worldbank.org/governance/wgi/" TargetMode="External"/><Relationship Id="rId247" Type="http://schemas.openxmlformats.org/officeDocument/2006/relationships/theme" Target="theme/theme1.xml"/><Relationship Id="rId107" Type="http://schemas.openxmlformats.org/officeDocument/2006/relationships/hyperlink" Target="http://www3.weforum.org/docs/GCR2016-2017/05FullReport/TheGlobalCompetitivenessReport2016-2017_FINAL.pdf" TargetMode="External"/><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image" Target="media/image29.emf"/><Relationship Id="rId74" Type="http://schemas.openxmlformats.org/officeDocument/2006/relationships/hyperlink" Target="http://www.heritage.org/index/download" TargetMode="External"/><Relationship Id="rId128" Type="http://schemas.openxmlformats.org/officeDocument/2006/relationships/chart" Target="charts/chart34.xml"/><Relationship Id="rId149" Type="http://schemas.openxmlformats.org/officeDocument/2006/relationships/hyperlink" Target="http://www.heritage.org/index/country/" TargetMode="External"/><Relationship Id="rId5" Type="http://schemas.openxmlformats.org/officeDocument/2006/relationships/webSettings" Target="webSettings.xml"/><Relationship Id="rId95" Type="http://schemas.openxmlformats.org/officeDocument/2006/relationships/image" Target="media/image41.png"/><Relationship Id="rId160" Type="http://schemas.openxmlformats.org/officeDocument/2006/relationships/hyperlink" Target="https://infographics.economist.com/2017/DemocracyIndex/" TargetMode="External"/><Relationship Id="rId181" Type="http://schemas.openxmlformats.org/officeDocument/2006/relationships/hyperlink" Target="http://www.worldbank.org/en/country/bangladesh/brief/bangladesh-governance" TargetMode="External"/><Relationship Id="rId216" Type="http://schemas.openxmlformats.org/officeDocument/2006/relationships/hyperlink" Target="http://www3.weforum.org/docs/GCR2016-2017/05FullReport/TheGlobalCompetitivenessReport2016-2017_FINAL.pdf" TargetMode="External"/><Relationship Id="rId237" Type="http://schemas.openxmlformats.org/officeDocument/2006/relationships/hyperlink" Target="http://info.worldbank.org/governance/wgi/" TargetMode="External"/><Relationship Id="rId22" Type="http://schemas.openxmlformats.org/officeDocument/2006/relationships/footer" Target="footer5.xml"/><Relationship Id="rId43" Type="http://schemas.openxmlformats.org/officeDocument/2006/relationships/chart" Target="charts/chart5.xml"/><Relationship Id="rId64" Type="http://schemas.openxmlformats.org/officeDocument/2006/relationships/image" Target="media/image32.emf"/><Relationship Id="rId118" Type="http://schemas.openxmlformats.org/officeDocument/2006/relationships/chart" Target="charts/chart25.xml"/><Relationship Id="rId139" Type="http://schemas.openxmlformats.org/officeDocument/2006/relationships/hyperlink" Target="http://cri.org.bd/2014/07/02/poverty-reduction-in-bangladesh-recent-drifts/" TargetMode="External"/><Relationship Id="rId85" Type="http://schemas.openxmlformats.org/officeDocument/2006/relationships/hyperlink" Target="https://www.eiu.com/public/topical_report.aspx?campaignid=DemocracyIndex2016" TargetMode="External"/><Relationship Id="rId150" Type="http://schemas.openxmlformats.org/officeDocument/2006/relationships/hyperlink" Target="http://www.imf.org/external/pubs/ft/scr/2016/" TargetMode="External"/><Relationship Id="rId171" Type="http://schemas.openxmlformats.org/officeDocument/2006/relationships/hyperlink" Target="http://siteresources.worldbank.org/EXTCDD/Resources/430160-1435154813801/Cambodia_Country_Brief.pdf" TargetMode="External"/><Relationship Id="rId192" Type="http://schemas.openxmlformats.org/officeDocument/2006/relationships/hyperlink" Target="http://info.worldbank.org/governance/wgi/" TargetMode="External"/><Relationship Id="rId206" Type="http://schemas.openxmlformats.org/officeDocument/2006/relationships/image" Target="media/image59.png"/><Relationship Id="rId227" Type="http://schemas.openxmlformats.org/officeDocument/2006/relationships/image" Target="media/image68.png"/><Relationship Id="rId12" Type="http://schemas.openxmlformats.org/officeDocument/2006/relationships/image" Target="media/image3.jpeg"/><Relationship Id="rId33" Type="http://schemas.openxmlformats.org/officeDocument/2006/relationships/image" Target="media/image21.png"/><Relationship Id="rId108" Type="http://schemas.openxmlformats.org/officeDocument/2006/relationships/hyperlink" Target="https://www.transparency.org/news/feature/corruption_perceptions_index_2016" TargetMode="External"/><Relationship Id="rId129" Type="http://schemas.openxmlformats.org/officeDocument/2006/relationships/chart" Target="charts/chart35.xml"/><Relationship Id="rId54" Type="http://schemas.openxmlformats.org/officeDocument/2006/relationships/image" Target="media/image30.emf"/><Relationship Id="rId75" Type="http://schemas.openxmlformats.org/officeDocument/2006/relationships/hyperlink" Target="http://www.heritage.org/index/country/" TargetMode="External"/><Relationship Id="rId96" Type="http://schemas.openxmlformats.org/officeDocument/2006/relationships/image" Target="media/image42.png"/><Relationship Id="rId140" Type="http://schemas.openxmlformats.org/officeDocument/2006/relationships/hyperlink" Target="https://www.religiousfreedominstitute.org/cornerstone/2016/7/5/religious-freedom-economic-freedom-and-growth" TargetMode="External"/><Relationship Id="rId161" Type="http://schemas.openxmlformats.org/officeDocument/2006/relationships/hyperlink" Target="https://www.transparency.org/news/feature/corruption_perceptions_index_2016" TargetMode="External"/><Relationship Id="rId182" Type="http://schemas.openxmlformats.org/officeDocument/2006/relationships/hyperlink" Target="http://siteresources.worldbank.org/EXTCDD/Resources/430160-1435154813801/Website_CDD_Institutionalization_Study_Table_Final.pdf" TargetMode="External"/><Relationship Id="rId217" Type="http://schemas.openxmlformats.org/officeDocument/2006/relationships/hyperlink" Target="https://www.transparency.org/news/feature/corruption_perceptions_index_2016" TargetMode="External"/><Relationship Id="rId6" Type="http://schemas.openxmlformats.org/officeDocument/2006/relationships/footnotes" Target="footnotes.xml"/><Relationship Id="rId238" Type="http://schemas.openxmlformats.org/officeDocument/2006/relationships/hyperlink" Target="http://data.worldbank.org/data-catalog/CPIA" TargetMode="External"/><Relationship Id="rId23" Type="http://schemas.openxmlformats.org/officeDocument/2006/relationships/image" Target="media/image11.png"/><Relationship Id="rId119" Type="http://schemas.openxmlformats.org/officeDocument/2006/relationships/chart" Target="charts/chart26.xml"/><Relationship Id="rId44" Type="http://schemas.openxmlformats.org/officeDocument/2006/relationships/chart" Target="charts/chart6.xml"/><Relationship Id="rId65" Type="http://schemas.openxmlformats.org/officeDocument/2006/relationships/chart" Target="charts/chart19.xml"/><Relationship Id="rId86" Type="http://schemas.openxmlformats.org/officeDocument/2006/relationships/hyperlink" Target="https://freedomhouse.org/report/freedom-world/freedom-world-2017" TargetMode="External"/><Relationship Id="rId130" Type="http://schemas.openxmlformats.org/officeDocument/2006/relationships/image" Target="media/image45.png"/><Relationship Id="rId151" Type="http://schemas.openxmlformats.org/officeDocument/2006/relationships/hyperlink" Target="http://www.ituc-csi.org/ituc-global-rights-index-2017" TargetMode="External"/><Relationship Id="rId172" Type="http://schemas.openxmlformats.org/officeDocument/2006/relationships/hyperlink" Target="http://siteresources.worldbank.org/EXTCDD/Resources/430160-1435154813801/India_Country_Brief.pdf" TargetMode="External"/><Relationship Id="rId193" Type="http://schemas.openxmlformats.org/officeDocument/2006/relationships/hyperlink" Target="http://data.worldbank.org/data-catalog/CPIA" TargetMode="External"/><Relationship Id="rId207" Type="http://schemas.openxmlformats.org/officeDocument/2006/relationships/image" Target="media/image60.png"/><Relationship Id="rId228" Type="http://schemas.openxmlformats.org/officeDocument/2006/relationships/image" Target="media/image69.png"/><Relationship Id="rId13" Type="http://schemas.openxmlformats.org/officeDocument/2006/relationships/image" Target="media/image4.jpeg"/><Relationship Id="rId109" Type="http://schemas.openxmlformats.org/officeDocument/2006/relationships/hyperlink" Target="https://infographics.economist.com/2017/DemocracyIndex/" TargetMode="External"/><Relationship Id="rId34" Type="http://schemas.openxmlformats.org/officeDocument/2006/relationships/image" Target="media/image22.emf"/><Relationship Id="rId55" Type="http://schemas.openxmlformats.org/officeDocument/2006/relationships/image" Target="media/image31.emf"/><Relationship Id="rId76" Type="http://schemas.openxmlformats.org/officeDocument/2006/relationships/hyperlink" Target="http://www.genderindex.org/sites/default/files/docs/BrochureSIGI2015.pdf" TargetMode="External"/><Relationship Id="rId97" Type="http://schemas.openxmlformats.org/officeDocument/2006/relationships/image" Target="media/image43.emf"/><Relationship Id="rId120" Type="http://schemas.openxmlformats.org/officeDocument/2006/relationships/chart" Target="charts/chart27.xml"/><Relationship Id="rId141" Type="http://schemas.openxmlformats.org/officeDocument/2006/relationships/hyperlink" Target="https://www.religiousfreedominstitute.org/cornerstone/2016/7/5/religious-freedom-economic-freedom-and-growth" TargetMode="External"/><Relationship Id="rId7" Type="http://schemas.openxmlformats.org/officeDocument/2006/relationships/endnotes" Target="endnotes.xml"/><Relationship Id="rId162" Type="http://schemas.openxmlformats.org/officeDocument/2006/relationships/hyperlink" Target="http://www.sscnet.ucla.edu/polisci/faculty/treisman/Papers/defin.pdf" TargetMode="External"/><Relationship Id="rId183" Type="http://schemas.openxmlformats.org/officeDocument/2006/relationships/hyperlink" Target="https://data.worldbank.org/indicator/FB.AST.NPER.ZS" TargetMode="External"/><Relationship Id="rId218" Type="http://schemas.openxmlformats.org/officeDocument/2006/relationships/hyperlink" Target="https://en.wikipedia.org/wiki/Global_Peace_Index" TargetMode="External"/><Relationship Id="rId239" Type="http://schemas.openxmlformats.org/officeDocument/2006/relationships/hyperlink" Target="http://www.heritage.org/index/download" TargetMode="External"/><Relationship Id="rId24" Type="http://schemas.openxmlformats.org/officeDocument/2006/relationships/image" Target="media/image12.png"/><Relationship Id="rId45" Type="http://schemas.openxmlformats.org/officeDocument/2006/relationships/chart" Target="charts/chart7.xml"/><Relationship Id="rId66" Type="http://schemas.openxmlformats.org/officeDocument/2006/relationships/chart" Target="charts/chart20.xml"/><Relationship Id="rId87" Type="http://schemas.openxmlformats.org/officeDocument/2006/relationships/hyperlink" Target="https://en.wikipedia.org/wiki/Global_Peace_Index" TargetMode="External"/><Relationship Id="rId110" Type="http://schemas.openxmlformats.org/officeDocument/2006/relationships/hyperlink" Target="https://en.wikipedia.org/wiki/Democracy_Index" TargetMode="External"/><Relationship Id="rId131" Type="http://schemas.openxmlformats.org/officeDocument/2006/relationships/image" Target="media/image46.png"/><Relationship Id="rId152" Type="http://schemas.openxmlformats.org/officeDocument/2006/relationships/hyperlink" Target="http://www.mamaye.org.gh/en/evidence/2013-ibrahim-index-african-governance-summary" TargetMode="External"/><Relationship Id="rId173" Type="http://schemas.openxmlformats.org/officeDocument/2006/relationships/hyperlink" Target="http://creativecommons.org/licenses/by/3.0/igo" TargetMode="External"/><Relationship Id="rId194" Type="http://schemas.openxmlformats.org/officeDocument/2006/relationships/hyperlink" Target="http://www.heritage.org/index/download" TargetMode="External"/><Relationship Id="rId208" Type="http://schemas.openxmlformats.org/officeDocument/2006/relationships/hyperlink" Target="http://info.worldbank.org/governance/wgi/" TargetMode="External"/><Relationship Id="rId229" Type="http://schemas.openxmlformats.org/officeDocument/2006/relationships/image" Target="media/image70.png"/><Relationship Id="rId240" Type="http://schemas.openxmlformats.org/officeDocument/2006/relationships/hyperlink" Target="http://www.coface.com/Economic-Studies-and-Country-Risks" TargetMode="External"/><Relationship Id="rId14" Type="http://schemas.openxmlformats.org/officeDocument/2006/relationships/image" Target="media/image5.jpeg"/><Relationship Id="rId35" Type="http://schemas.openxmlformats.org/officeDocument/2006/relationships/image" Target="media/image23.emf"/><Relationship Id="rId56" Type="http://schemas.openxmlformats.org/officeDocument/2006/relationships/chart" Target="charts/chart13.xml"/><Relationship Id="rId77" Type="http://schemas.openxmlformats.org/officeDocument/2006/relationships/hyperlink" Target="http://www.coface.com/Economic-Studies-and-Country-Risks" TargetMode="External"/><Relationship Id="rId100" Type="http://schemas.openxmlformats.org/officeDocument/2006/relationships/hyperlink" Target="http://www.heritage.org/index/download" TargetMode="External"/><Relationship Id="rId8" Type="http://schemas.openxmlformats.org/officeDocument/2006/relationships/footer" Target="footer1.xml"/><Relationship Id="rId98" Type="http://schemas.openxmlformats.org/officeDocument/2006/relationships/hyperlink" Target="http://info.worldbank.org/governance/wgi/" TargetMode="External"/><Relationship Id="rId121" Type="http://schemas.openxmlformats.org/officeDocument/2006/relationships/image" Target="media/image44.emf"/><Relationship Id="rId142" Type="http://schemas.openxmlformats.org/officeDocument/2006/relationships/hyperlink" Target="http://archive.newagebd.net/186396/local-government-elections-in-bangladesh-and-democracy/" TargetMode="External"/><Relationship Id="rId163" Type="http://schemas.openxmlformats.org/officeDocument/2006/relationships/hyperlink" Target="http://visionofhumanity.org/app/uploads/2017/06/GPI-2017-Report-1.pdf" TargetMode="External"/><Relationship Id="rId184" Type="http://schemas.openxmlformats.org/officeDocument/2006/relationships/hyperlink" Target="http://www3.weforum.org/docs/GCR2016-2017/05FullReport/TheGlobalCompetitivenessReport2016-2017_FINAL.pdf" TargetMode="External"/><Relationship Id="rId219" Type="http://schemas.openxmlformats.org/officeDocument/2006/relationships/image" Target="media/image61.png"/><Relationship Id="rId230" Type="http://schemas.openxmlformats.org/officeDocument/2006/relationships/hyperlink" Target="http://data.worldbank.org/data-catalog/CPIA" TargetMode="External"/><Relationship Id="rId25" Type="http://schemas.openxmlformats.org/officeDocument/2006/relationships/image" Target="media/image13.png"/><Relationship Id="rId46" Type="http://schemas.openxmlformats.org/officeDocument/2006/relationships/chart" Target="charts/chart8.xml"/><Relationship Id="rId67" Type="http://schemas.openxmlformats.org/officeDocument/2006/relationships/hyperlink" Target="https://en.wikipedia.org/wiki/Judiciary_of_India" TargetMode="External"/><Relationship Id="rId88" Type="http://schemas.openxmlformats.org/officeDocument/2006/relationships/hyperlink" Target="http://visionofhumanity.org/app/uploads/2017/06/GPI-2017-Report-1.pdf" TargetMode="External"/><Relationship Id="rId111" Type="http://schemas.openxmlformats.org/officeDocument/2006/relationships/hyperlink" Target="https://www.eiu.com/public/topical_report.aspx?campaignid=DemocracyIndex2016" TargetMode="External"/><Relationship Id="rId132" Type="http://schemas.openxmlformats.org/officeDocument/2006/relationships/image" Target="media/image47.png"/><Relationship Id="rId153" Type="http://schemas.openxmlformats.org/officeDocument/2006/relationships/hyperlink" Target="http://www.genderindex.org/sites/default/files/docs/BrochureSIGI2015.pdf" TargetMode="External"/><Relationship Id="rId174" Type="http://schemas.openxmlformats.org/officeDocument/2006/relationships/hyperlink" Target="http://www.worldbank.org/en/country/guineabissau/overview" TargetMode="External"/><Relationship Id="rId195" Type="http://schemas.openxmlformats.org/officeDocument/2006/relationships/hyperlink" Target="http://www.coface.com/Economic-Studies-and-Country-Risks" TargetMode="External"/><Relationship Id="rId209" Type="http://schemas.openxmlformats.org/officeDocument/2006/relationships/hyperlink" Target="http://data.worldbank.org/data-catalog/CPIA" TargetMode="External"/><Relationship Id="rId220" Type="http://schemas.openxmlformats.org/officeDocument/2006/relationships/image" Target="media/image62.png"/><Relationship Id="rId241" Type="http://schemas.openxmlformats.org/officeDocument/2006/relationships/hyperlink" Target="http://www.genderindex.org/sites/default/files/docs/BrochureSIGI2015.pdf" TargetMode="External"/><Relationship Id="rId15" Type="http://schemas.openxmlformats.org/officeDocument/2006/relationships/image" Target="media/image6.jpeg"/><Relationship Id="rId36" Type="http://schemas.openxmlformats.org/officeDocument/2006/relationships/image" Target="media/image24.emf"/><Relationship Id="rId57" Type="http://schemas.openxmlformats.org/officeDocument/2006/relationships/hyperlink" Target="http://www.doingbusiness.org/data/exploreeconomies/bangladesh" TargetMode="External"/><Relationship Id="rId10" Type="http://schemas.openxmlformats.org/officeDocument/2006/relationships/image" Target="media/image1.png"/><Relationship Id="rId31" Type="http://schemas.openxmlformats.org/officeDocument/2006/relationships/image" Target="media/image19.png"/><Relationship Id="rId52" Type="http://schemas.openxmlformats.org/officeDocument/2006/relationships/image" Target="media/image28.emf"/><Relationship Id="rId73" Type="http://schemas.openxmlformats.org/officeDocument/2006/relationships/hyperlink" Target="http://data.worldbank.org/data-catalog/CPIA" TargetMode="External"/><Relationship Id="rId78" Type="http://schemas.openxmlformats.org/officeDocument/2006/relationships/hyperlink" Target="https://globaledge.msu.edu/countries/chad/government/" TargetMode="External"/><Relationship Id="rId94" Type="http://schemas.openxmlformats.org/officeDocument/2006/relationships/image" Target="media/image40.png"/><Relationship Id="rId99" Type="http://schemas.openxmlformats.org/officeDocument/2006/relationships/hyperlink" Target="http://data.worldbank.org/data-catalog/CPIA" TargetMode="External"/><Relationship Id="rId101" Type="http://schemas.openxmlformats.org/officeDocument/2006/relationships/hyperlink" Target="http://www.heritage.org/index/country/" TargetMode="External"/><Relationship Id="rId122" Type="http://schemas.openxmlformats.org/officeDocument/2006/relationships/chart" Target="charts/chart28.xml"/><Relationship Id="rId143" Type="http://schemas.openxmlformats.org/officeDocument/2006/relationships/hyperlink" Target="http://www.coface.com/Economic-Studies-and-Country-Risks" TargetMode="External"/><Relationship Id="rId148" Type="http://schemas.openxmlformats.org/officeDocument/2006/relationships/hyperlink" Target="http://www.heritage.org/index/download" TargetMode="External"/><Relationship Id="rId164" Type="http://schemas.openxmlformats.org/officeDocument/2006/relationships/hyperlink" Target="http://napsipag.org/pdf/Decentralization_bangladesh.pdf" TargetMode="External"/><Relationship Id="rId169" Type="http://schemas.openxmlformats.org/officeDocument/2006/relationships/hyperlink" Target="https://data.worldbank.org/indicator/GC.TAX.TOTL.GD.ZS" TargetMode="External"/><Relationship Id="rId18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www.worldbank.org/en/country/" TargetMode="External"/><Relationship Id="rId210" Type="http://schemas.openxmlformats.org/officeDocument/2006/relationships/hyperlink" Target="http://www.heritage.org/index/download" TargetMode="External"/><Relationship Id="rId215" Type="http://schemas.openxmlformats.org/officeDocument/2006/relationships/hyperlink" Target="http://www.ituc-csi.org/ituc-global-rights-index-2017" TargetMode="External"/><Relationship Id="rId236" Type="http://schemas.openxmlformats.org/officeDocument/2006/relationships/image" Target="media/image76.emf"/><Relationship Id="rId26" Type="http://schemas.openxmlformats.org/officeDocument/2006/relationships/image" Target="media/image14.png"/><Relationship Id="rId231" Type="http://schemas.openxmlformats.org/officeDocument/2006/relationships/image" Target="media/image71.emf"/><Relationship Id="rId47" Type="http://schemas.openxmlformats.org/officeDocument/2006/relationships/chart" Target="charts/chart9.xml"/><Relationship Id="rId68" Type="http://schemas.openxmlformats.org/officeDocument/2006/relationships/chart" Target="charts/chart21.xml"/><Relationship Id="rId89" Type="http://schemas.openxmlformats.org/officeDocument/2006/relationships/image" Target="media/image35.emf"/><Relationship Id="rId112" Type="http://schemas.openxmlformats.org/officeDocument/2006/relationships/hyperlink" Target="https://freedomhouse.org/report/freedom-world/freedom-world-2017" TargetMode="External"/><Relationship Id="rId133" Type="http://schemas.openxmlformats.org/officeDocument/2006/relationships/hyperlink" Target="http://www.religjournal.com/pdf/ijrr10004.pdf" TargetMode="External"/><Relationship Id="rId154" Type="http://schemas.openxmlformats.org/officeDocument/2006/relationships/hyperlink" Target="https://kawshercu.wordpress.com/2011/03/08/local-government-in-bangladesh/" TargetMode="External"/><Relationship Id="rId175" Type="http://schemas.openxmlformats.org/officeDocument/2006/relationships/hyperlink" Target="http://data.worldbank.org/" TargetMode="External"/><Relationship Id="rId196" Type="http://schemas.openxmlformats.org/officeDocument/2006/relationships/hyperlink" Target="http://www.genderindex.org/sites/default/files/docs/BrochureSIGI2015.pdf" TargetMode="External"/><Relationship Id="rId200" Type="http://schemas.openxmlformats.org/officeDocument/2006/relationships/hyperlink" Target="https://en.wikipedia.org/wiki/Global_Peace_Index" TargetMode="External"/><Relationship Id="rId16" Type="http://schemas.openxmlformats.org/officeDocument/2006/relationships/image" Target="media/image7.jpeg"/><Relationship Id="rId221" Type="http://schemas.openxmlformats.org/officeDocument/2006/relationships/image" Target="media/image63.png"/><Relationship Id="rId242" Type="http://schemas.openxmlformats.org/officeDocument/2006/relationships/hyperlink" Target="https://en.wikipedia.org/wiki/Corruption_Perceptions_Index" TargetMode="External"/><Relationship Id="rId37" Type="http://schemas.openxmlformats.org/officeDocument/2006/relationships/image" Target="media/image25.emf"/><Relationship Id="rId58" Type="http://schemas.openxmlformats.org/officeDocument/2006/relationships/chart" Target="charts/chart14.xml"/><Relationship Id="rId79" Type="http://schemas.openxmlformats.org/officeDocument/2006/relationships/hyperlink" Target="http://www.worldbank.org/en/country/guineabissau/overview" TargetMode="External"/><Relationship Id="rId102" Type="http://schemas.openxmlformats.org/officeDocument/2006/relationships/hyperlink" Target="http://www.genderindex.org/sites/default/files/docs/BrochureSIGI2015.pdf" TargetMode="External"/><Relationship Id="rId123" Type="http://schemas.openxmlformats.org/officeDocument/2006/relationships/chart" Target="charts/chart29.xml"/><Relationship Id="rId144" Type="http://schemas.openxmlformats.org/officeDocument/2006/relationships/hyperlink" Target="http://www.fao.org/docrep/007/ad506e/ad506e07.htm" TargetMode="External"/><Relationship Id="rId90" Type="http://schemas.openxmlformats.org/officeDocument/2006/relationships/image" Target="media/image36.png"/><Relationship Id="rId165" Type="http://schemas.openxmlformats.org/officeDocument/2006/relationships/hyperlink" Target="https://en.wikipedia.org/wiki/Democracy_Index" TargetMode="External"/><Relationship Id="rId186" Type="http://schemas.openxmlformats.org/officeDocument/2006/relationships/image" Target="media/image49.png"/><Relationship Id="rId211" Type="http://schemas.openxmlformats.org/officeDocument/2006/relationships/hyperlink" Target="http://www.coface.com/Economic-Studies-and-Country-Risks" TargetMode="External"/><Relationship Id="rId232" Type="http://schemas.openxmlformats.org/officeDocument/2006/relationships/image" Target="media/image72.emf"/><Relationship Id="rId27" Type="http://schemas.openxmlformats.org/officeDocument/2006/relationships/image" Target="media/image15.png"/><Relationship Id="rId48" Type="http://schemas.openxmlformats.org/officeDocument/2006/relationships/chart" Target="charts/chart10.xml"/><Relationship Id="rId69" Type="http://schemas.openxmlformats.org/officeDocument/2006/relationships/hyperlink" Target="https://www.thoughtco.com/political-institutions-44026" TargetMode="External"/><Relationship Id="rId113" Type="http://schemas.openxmlformats.org/officeDocument/2006/relationships/hyperlink" Target="https://en.wikipedia.org/wiki/Global_Peace_Index" TargetMode="External"/><Relationship Id="rId134" Type="http://schemas.openxmlformats.org/officeDocument/2006/relationships/chart" Target="charts/chart36.xml"/><Relationship Id="rId80" Type="http://schemas.openxmlformats.org/officeDocument/2006/relationships/hyperlink" Target="http://www.ituc-csi.org/ituc-global-rights-index-2017" TargetMode="External"/><Relationship Id="rId155" Type="http://schemas.openxmlformats.org/officeDocument/2006/relationships/hyperlink" Target="http://publicadministrationbd.blogspot.com/2011/03/local-government-in-bangladesh-overview.html" TargetMode="External"/><Relationship Id="rId176" Type="http://schemas.openxmlformats.org/officeDocument/2006/relationships/hyperlink" Target="http://data.worldbank.org/data-catalog/CPIA" TargetMode="External"/><Relationship Id="rId197" Type="http://schemas.openxmlformats.org/officeDocument/2006/relationships/hyperlink" Target="https://en.wikipedia.org/wiki/Corruption_Perceptions_Index" TargetMode="External"/><Relationship Id="rId201" Type="http://schemas.openxmlformats.org/officeDocument/2006/relationships/hyperlink" Target="http://visionofhumanity.org/app/uploads/2017/06/GPI-2017-Report-1.pdf" TargetMode="External"/><Relationship Id="rId222" Type="http://schemas.openxmlformats.org/officeDocument/2006/relationships/image" Target="media/image64.png"/><Relationship Id="rId243" Type="http://schemas.openxmlformats.org/officeDocument/2006/relationships/hyperlink" Target="http://www.ituc-csi.org/ituc-global-rights-index-2017" TargetMode="External"/><Relationship Id="rId17" Type="http://schemas.openxmlformats.org/officeDocument/2006/relationships/image" Target="media/image8.jpeg"/><Relationship Id="rId38" Type="http://schemas.openxmlformats.org/officeDocument/2006/relationships/image" Target="media/image26.png"/><Relationship Id="rId59" Type="http://schemas.openxmlformats.org/officeDocument/2006/relationships/chart" Target="charts/chart15.xml"/><Relationship Id="rId103" Type="http://schemas.openxmlformats.org/officeDocument/2006/relationships/hyperlink" Target="http://www.coface.com/Economic-Studies-and-Country-Risks" TargetMode="External"/><Relationship Id="rId124" Type="http://schemas.openxmlformats.org/officeDocument/2006/relationships/chart" Target="charts/chart30.xml"/><Relationship Id="rId70" Type="http://schemas.openxmlformats.org/officeDocument/2006/relationships/image" Target="media/image33.emf"/><Relationship Id="rId91" Type="http://schemas.openxmlformats.org/officeDocument/2006/relationships/image" Target="media/image37.emf"/><Relationship Id="rId145" Type="http://schemas.openxmlformats.org/officeDocument/2006/relationships/hyperlink" Target="https://freedomhouse.org/report/freedom-world/freedom-world-2017" TargetMode="External"/><Relationship Id="rId166" Type="http://schemas.openxmlformats.org/officeDocument/2006/relationships/hyperlink" Target="https://en.wikipedia.org/wiki/Democracy_Index" TargetMode="External"/><Relationship Id="rId187" Type="http://schemas.openxmlformats.org/officeDocument/2006/relationships/image" Target="media/image50.png"/><Relationship Id="rId1" Type="http://schemas.openxmlformats.org/officeDocument/2006/relationships/customXml" Target="../customXml/item1.xml"/><Relationship Id="rId212" Type="http://schemas.openxmlformats.org/officeDocument/2006/relationships/hyperlink" Target="https://globaledge.msu.edu/countries/chad/government/" TargetMode="External"/><Relationship Id="rId233" Type="http://schemas.openxmlformats.org/officeDocument/2006/relationships/image" Target="media/image73.emf"/><Relationship Id="rId28" Type="http://schemas.openxmlformats.org/officeDocument/2006/relationships/image" Target="media/image16.png"/><Relationship Id="rId49" Type="http://schemas.openxmlformats.org/officeDocument/2006/relationships/chart" Target="charts/chart11.xml"/><Relationship Id="rId114" Type="http://schemas.openxmlformats.org/officeDocument/2006/relationships/hyperlink" Target="http://visionofhumanity.org/app/uploads/2017/06/GPI-2017-Report-1.pdf" TargetMode="External"/><Relationship Id="rId60" Type="http://schemas.openxmlformats.org/officeDocument/2006/relationships/chart" Target="charts/chart16.xml"/><Relationship Id="rId81" Type="http://schemas.openxmlformats.org/officeDocument/2006/relationships/hyperlink" Target="http://www3.weforum.org/docs/GCR2016-2017/05FullReport/TheGlobalCompetitivenessReport2016-2017_FINAL.pdf" TargetMode="External"/><Relationship Id="rId135" Type="http://schemas.openxmlformats.org/officeDocument/2006/relationships/hyperlink" Target="http://siteresources.worldbank.org/EXTCDD/Resources/430160-1435154813801/Website_CDD_Institutionalization_Study_Table_Final.pdf" TargetMode="External"/><Relationship Id="rId156" Type="http://schemas.openxmlformats.org/officeDocument/2006/relationships/hyperlink" Target="https://ideas.repec.org/p/dij/wpfarg/1120604.html" TargetMode="External"/><Relationship Id="rId177" Type="http://schemas.openxmlformats.org/officeDocument/2006/relationships/hyperlink" Target="http://data.worldbank.org/data-catalog/CPIA" TargetMode="External"/><Relationship Id="rId198" Type="http://schemas.openxmlformats.org/officeDocument/2006/relationships/hyperlink" Target="http://www.ituc-csi.org/ituc-global-rights-index-2017" TargetMode="External"/><Relationship Id="rId202" Type="http://schemas.openxmlformats.org/officeDocument/2006/relationships/image" Target="media/image55.png"/><Relationship Id="rId223" Type="http://schemas.openxmlformats.org/officeDocument/2006/relationships/image" Target="media/image65.png"/><Relationship Id="rId244" Type="http://schemas.openxmlformats.org/officeDocument/2006/relationships/hyperlink" Target="https://en.wikipedia.org/wiki/Global_Peace_Index" TargetMode="External"/><Relationship Id="rId18" Type="http://schemas.openxmlformats.org/officeDocument/2006/relationships/image" Target="media/image9.jpeg"/><Relationship Id="rId39" Type="http://schemas.openxmlformats.org/officeDocument/2006/relationships/chart" Target="charts/chart1.xml"/><Relationship Id="rId50" Type="http://schemas.openxmlformats.org/officeDocument/2006/relationships/chart" Target="charts/chart12.xml"/><Relationship Id="rId104" Type="http://schemas.openxmlformats.org/officeDocument/2006/relationships/hyperlink" Target="https://globaledge.msu.edu/countries/chad/government/" TargetMode="External"/><Relationship Id="rId125" Type="http://schemas.openxmlformats.org/officeDocument/2006/relationships/chart" Target="charts/chart31.xml"/><Relationship Id="rId146" Type="http://schemas.openxmlformats.org/officeDocument/2006/relationships/hyperlink" Target="https://globaledge.msu.edu/countries/chad/government/" TargetMode="External"/><Relationship Id="rId167" Type="http://schemas.openxmlformats.org/officeDocument/2006/relationships/hyperlink" Target="https://en.wikipedia.org/wiki/Global_Peace_Index" TargetMode="External"/><Relationship Id="rId188" Type="http://schemas.openxmlformats.org/officeDocument/2006/relationships/image" Target="media/image51.png"/><Relationship Id="rId71" Type="http://schemas.openxmlformats.org/officeDocument/2006/relationships/image" Target="media/image34.emf"/><Relationship Id="rId92" Type="http://schemas.openxmlformats.org/officeDocument/2006/relationships/image" Target="media/image38.emf"/><Relationship Id="rId213" Type="http://schemas.openxmlformats.org/officeDocument/2006/relationships/hyperlink" Target="http://www.worldbank.org/en/country/guineabissau/overview" TargetMode="External"/><Relationship Id="rId234" Type="http://schemas.openxmlformats.org/officeDocument/2006/relationships/image" Target="media/image74.emf"/><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chart" Target="charts/chart2.xml"/><Relationship Id="rId115" Type="http://schemas.openxmlformats.org/officeDocument/2006/relationships/chart" Target="charts/chart22.xml"/><Relationship Id="rId136" Type="http://schemas.openxmlformats.org/officeDocument/2006/relationships/hyperlink" Target="http://www.nber.org/papers/w19933" TargetMode="External"/><Relationship Id="rId157" Type="http://schemas.openxmlformats.org/officeDocument/2006/relationships/hyperlink" Target="http://blog.acton.org/archives/72341-religious-freedom-good-economic-growth.html" TargetMode="External"/><Relationship Id="rId178" Type="http://schemas.openxmlformats.org/officeDocument/2006/relationships/hyperlink" Target="http://info.worldbank.org/governance/wgi/" TargetMode="External"/><Relationship Id="rId61" Type="http://schemas.openxmlformats.org/officeDocument/2006/relationships/hyperlink" Target="https://www.bb.org.bd/pub/halfyearly/fdisurvey/fdisurveyjanjun2016.pdf" TargetMode="External"/><Relationship Id="rId82" Type="http://schemas.openxmlformats.org/officeDocument/2006/relationships/hyperlink" Target="https://www.transparency.org/news/feature/corruption_perceptions_index_2016" TargetMode="External"/><Relationship Id="rId199" Type="http://schemas.openxmlformats.org/officeDocument/2006/relationships/hyperlink" Target="https://en.wikipedia.org/wiki/Democracy_Index" TargetMode="External"/><Relationship Id="rId203" Type="http://schemas.openxmlformats.org/officeDocument/2006/relationships/image" Target="media/image56.png"/><Relationship Id="rId19" Type="http://schemas.openxmlformats.org/officeDocument/2006/relationships/image" Target="media/image10.jpeg"/><Relationship Id="rId224" Type="http://schemas.openxmlformats.org/officeDocument/2006/relationships/image" Target="media/image66.png"/><Relationship Id="rId245" Type="http://schemas.openxmlformats.org/officeDocument/2006/relationships/hyperlink" Target="http://visionofhumanity.org/app/uploads/2017/06/GPI-2017-Report-1.pdf" TargetMode="External"/><Relationship Id="rId30" Type="http://schemas.openxmlformats.org/officeDocument/2006/relationships/image" Target="media/image18.png"/><Relationship Id="rId105" Type="http://schemas.openxmlformats.org/officeDocument/2006/relationships/hyperlink" Target="http://www.worldbank.org/en/country/guineabissau/overview" TargetMode="External"/><Relationship Id="rId126" Type="http://schemas.openxmlformats.org/officeDocument/2006/relationships/chart" Target="charts/chart32.xml"/><Relationship Id="rId147" Type="http://schemas.openxmlformats.org/officeDocument/2006/relationships/hyperlink" Target="https://www.nrcs.usda.gov/wps/portal/nrcs/detail/national/about/history/?&amp;cid=nrcs143_021436" TargetMode="External"/><Relationship Id="rId168" Type="http://schemas.openxmlformats.org/officeDocument/2006/relationships/hyperlink" Target="http://databank.worldbank.org/data/Databases.aspx" TargetMode="External"/><Relationship Id="rId51" Type="http://schemas.openxmlformats.org/officeDocument/2006/relationships/image" Target="media/image27.emf"/><Relationship Id="rId72" Type="http://schemas.openxmlformats.org/officeDocument/2006/relationships/hyperlink" Target="http://info.worldbank.org/governance/wgi/" TargetMode="External"/><Relationship Id="rId93" Type="http://schemas.openxmlformats.org/officeDocument/2006/relationships/image" Target="media/image39.jpeg"/><Relationship Id="rId189" Type="http://schemas.openxmlformats.org/officeDocument/2006/relationships/image" Target="media/image52.png"/><Relationship Id="rId3" Type="http://schemas.openxmlformats.org/officeDocument/2006/relationships/styles" Target="styles.xml"/><Relationship Id="rId214" Type="http://schemas.openxmlformats.org/officeDocument/2006/relationships/hyperlink" Target="http://www.heritage.org/index/country/" TargetMode="External"/><Relationship Id="rId235" Type="http://schemas.openxmlformats.org/officeDocument/2006/relationships/image" Target="media/image75.emf"/><Relationship Id="rId116" Type="http://schemas.openxmlformats.org/officeDocument/2006/relationships/chart" Target="charts/chart23.xml"/><Relationship Id="rId137" Type="http://schemas.openxmlformats.org/officeDocument/2006/relationships/hyperlink" Target="http://www.thedailystar.net/op-ed/politics/local-government-polls-partisan-vs-non-partisan-163177" TargetMode="External"/><Relationship Id="rId158" Type="http://schemas.openxmlformats.org/officeDocument/2006/relationships/hyperlink" Target="http://southasiajournal.net/local-government-in-bangladesh-the-quest-for-legal-reforms/" TargetMode="External"/><Relationship Id="rId20" Type="http://schemas.openxmlformats.org/officeDocument/2006/relationships/footer" Target="footer3.xml"/><Relationship Id="rId41" Type="http://schemas.openxmlformats.org/officeDocument/2006/relationships/chart" Target="charts/chart3.xml"/><Relationship Id="rId62" Type="http://schemas.openxmlformats.org/officeDocument/2006/relationships/chart" Target="charts/chart17.xml"/><Relationship Id="rId83" Type="http://schemas.openxmlformats.org/officeDocument/2006/relationships/hyperlink" Target="https://infographics.economist.com/2017/DemocracyIndex/" TargetMode="External"/><Relationship Id="rId179" Type="http://schemas.openxmlformats.org/officeDocument/2006/relationships/hyperlink" Target="http://info.worldbank.org/governance/wgi/" TargetMode="External"/><Relationship Id="rId190" Type="http://schemas.openxmlformats.org/officeDocument/2006/relationships/image" Target="media/image53.png"/><Relationship Id="rId204" Type="http://schemas.openxmlformats.org/officeDocument/2006/relationships/image" Target="media/image57.png"/><Relationship Id="rId225" Type="http://schemas.openxmlformats.org/officeDocument/2006/relationships/image" Target="media/image67.png"/><Relationship Id="rId246" Type="http://schemas.openxmlformats.org/officeDocument/2006/relationships/fontTable" Target="fontTable.xml"/><Relationship Id="rId106" Type="http://schemas.openxmlformats.org/officeDocument/2006/relationships/hyperlink" Target="http://www.ituc-csi.org/ituc-global-rights-index-2017" TargetMode="External"/><Relationship Id="rId127" Type="http://schemas.openxmlformats.org/officeDocument/2006/relationships/chart" Target="charts/chart33.xml"/></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BX.KLT.DINV.WD.GD.ZS" TargetMode="External"/><Relationship Id="rId3" Type="http://schemas.openxmlformats.org/officeDocument/2006/relationships/hyperlink" Target="http://databank.worldbank.org/data/reports.aspx?source=Worldwide-Governance-Indicators" TargetMode="External"/><Relationship Id="rId7" Type="http://schemas.openxmlformats.org/officeDocument/2006/relationships/hyperlink" Target="https://data.worldbank.org/indicator/GC.TAX.TOTL.GD.ZS" TargetMode="External"/><Relationship Id="rId2" Type="http://schemas.openxmlformats.org/officeDocument/2006/relationships/hyperlink" Target="https://en.wikipedia.org/wiki/Democracy_Index" TargetMode="External"/><Relationship Id="rId1" Type="http://schemas.openxmlformats.org/officeDocument/2006/relationships/hyperlink" Target="http://bdnews24.com/economy/2015/01/23/bangladesh-poverty-rate-has-dropped-to-24.7-says-government-minister" TargetMode="External"/><Relationship Id="rId6" Type="http://schemas.openxmlformats.org/officeDocument/2006/relationships/hyperlink" Target="http://siteresources.worldbank.org/EXTCDD/Resources/430160-1435154813801/Website_CDD_Institutionalization_Study_Table_Final.pdf" TargetMode="External"/><Relationship Id="rId5" Type="http://schemas.openxmlformats.org/officeDocument/2006/relationships/hyperlink" Target="https://www.ti-bangladesh.org/beta3/index.php/en/activities/4908-land-governance-challenges-under-scanner-a-host-of-recommendation-tabled" TargetMode="External"/><Relationship Id="rId10" Type="http://schemas.openxmlformats.org/officeDocument/2006/relationships/hyperlink" Target="http://www.worldbank.org/en/country/bangladesh/brief/bangladesh-governance" TargetMode="External"/><Relationship Id="rId4" Type="http://schemas.openxmlformats.org/officeDocument/2006/relationships/hyperlink" Target="http://www.bmet.gov.bd/BMET/stattisticalDataAction%20accessed%2010%20February%202013" TargetMode="External"/><Relationship Id="rId9" Type="http://schemas.openxmlformats.org/officeDocument/2006/relationships/hyperlink" Target="https://data.worldbank.org/indicator/FB.AST.NPER.Z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Figur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Country%20analysis%20(1)%20(Autosaved).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Country%20analysis%20(1)%20(Autosaved).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Country%20analysis%20(1)%20(Autosaved).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Country%20analysi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Country%20analysi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Country%20analysis%20(1)%20(Autosaved).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Country%20analysis%20(1)%20(Autosaved).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Country%20analysis%20(1)%20(Autosaved)%20(Autosaved).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ohiuddin%20Alamngir\Documents\Perspective%20Plan%202041\Alamgir%20contribution\Growth%20Rate%20(Annual%20%25)%20-%20%20%20Data_Extract_From_World_Development_Indicators%20(1)%20(Autosav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Figure 15: CPIA economic management cluster average </a:t>
            </a:r>
          </a:p>
          <a:p>
            <a:pPr>
              <a:defRPr/>
            </a:pPr>
            <a:r>
              <a:rPr lang="en-US" sz="800"/>
              <a:t>(1=low to 6=high) </a:t>
            </a:r>
            <a:r>
              <a:rPr lang="en-US" sz="800" b="0" i="0" u="none" strike="noStrike" baseline="0">
                <a:effectLst/>
              </a:rPr>
              <a:t>Source: http://data.worldbank.org/data-catalog/CPIA</a:t>
            </a:r>
            <a:endParaRPr lang="en-US" sz="800"/>
          </a:p>
        </c:rich>
      </c:tx>
      <c:layout>
        <c:manualLayout>
          <c:xMode val="edge"/>
          <c:yMode val="edge"/>
          <c:x val="0.10845739213015866"/>
          <c:y val="1.58227848101265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Sheet7!$B$2</c:f>
              <c:strCache>
                <c:ptCount val="1"/>
                <c:pt idx="0">
                  <c:v>CPIA economic management cluster average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2"/>
              <c:layout>
                <c:manualLayout>
                  <c:x val="-8.4741681146715514E-2"/>
                  <c:y val="-0.1109937207216187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F2-4A92-8B3C-9FF878AADF06}"/>
                </c:ext>
              </c:extLst>
            </c:dLbl>
            <c:dLbl>
              <c:idx val="3"/>
              <c:layout>
                <c:manualLayout>
                  <c:x val="-0.13122916047024938"/>
                  <c:y val="0.2506445396857038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781583552055995"/>
                      <c:h val="4.3306357538641004E-2"/>
                    </c:manualLayout>
                  </c15:layout>
                </c:ext>
                <c:ext xmlns:c16="http://schemas.microsoft.com/office/drawing/2014/chart" uri="{C3380CC4-5D6E-409C-BE32-E72D297353CC}">
                  <c16:uniqueId val="{00000001-09F2-4A92-8B3C-9FF878AADF06}"/>
                </c:ext>
              </c:extLst>
            </c:dLbl>
            <c:dLbl>
              <c:idx val="9"/>
              <c:layout>
                <c:manualLayout>
                  <c:x val="0.18801625939898667"/>
                  <c:y val="0.2790669955812484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F2-4A92-8B3C-9FF878AADF06}"/>
                </c:ext>
              </c:extLst>
            </c:dLbl>
            <c:dLbl>
              <c:idx val="11"/>
              <c:layout>
                <c:manualLayout>
                  <c:x val="-1.9444444444444445E-2"/>
                  <c:y val="-5.55555555555556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F2-4A92-8B3C-9FF878AADF06}"/>
                </c:ext>
              </c:extLst>
            </c:dLbl>
            <c:dLbl>
              <c:idx val="22"/>
              <c:layout>
                <c:manualLayout>
                  <c:x val="-0.1992655614867227"/>
                  <c:y val="0.3863101764178211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9F2-4A92-8B3C-9FF878AADF06}"/>
                </c:ext>
              </c:extLst>
            </c:dLbl>
            <c:dLbl>
              <c:idx val="24"/>
              <c:layout>
                <c:manualLayout>
                  <c:x val="-6.3888888888888939E-2"/>
                  <c:y val="0.27777796004666094"/>
                </c:manualLayout>
              </c:layout>
              <c:tx>
                <c:rich>
                  <a:bodyPr/>
                  <a:lstStyle/>
                  <a:p>
                    <a:fld id="{027E5569-789B-4CD4-B83C-46EBC1F5B280}" type="XVALUE">
                      <a:rPr lang="en-US"/>
                      <a:pPr/>
                      <a:t>[X VALUE]</a:t>
                    </a:fld>
                    <a:r>
                      <a:rPr lang="en-US"/>
                      <a:t>, </a:t>
                    </a:r>
                    <a:fld id="{D19A4C26-24DC-4D7E-93DA-E58463D6A060}" type="YVALUE">
                      <a:rPr lang="en-US"/>
                      <a:pPr/>
                      <a:t>[Y VALUE]</a:t>
                    </a:fld>
                    <a:endParaRPr lang="en-US"/>
                  </a:p>
                </c:rich>
              </c:tx>
              <c:showLegendKey val="0"/>
              <c:showVal val="1"/>
              <c:showCatName val="1"/>
              <c:showSerName val="0"/>
              <c:showPercent val="0"/>
              <c:showBubbleSize val="0"/>
              <c:extLst>
                <c:ext xmlns:c15="http://schemas.microsoft.com/office/drawing/2012/chart" uri="{CE6537A1-D6FC-4f65-9D91-7224C49458BB}">
                  <c15:layout>
                    <c:manualLayout>
                      <c:w val="0.14021719160104987"/>
                      <c:h val="4.6859142607174095E-2"/>
                    </c:manualLayout>
                  </c15:layout>
                  <c15:dlblFieldTable/>
                  <c15:showDataLabelsRange val="0"/>
                </c:ext>
                <c:ext xmlns:c16="http://schemas.microsoft.com/office/drawing/2014/chart" uri="{C3380CC4-5D6E-409C-BE32-E72D297353CC}">
                  <c16:uniqueId val="{00000004-09F2-4A92-8B3C-9FF878AADF06}"/>
                </c:ext>
              </c:extLst>
            </c:dLbl>
            <c:dLbl>
              <c:idx val="30"/>
              <c:layout>
                <c:manualLayout>
                  <c:x val="0.18922569243332665"/>
                  <c:y val="0.41402948510655579"/>
                </c:manualLayout>
              </c:layout>
              <c:showLegendKey val="0"/>
              <c:showVal val="1"/>
              <c:showCatName val="1"/>
              <c:showSerName val="0"/>
              <c:showPercent val="0"/>
              <c:showBubbleSize val="0"/>
              <c:extLst>
                <c:ext xmlns:c15="http://schemas.microsoft.com/office/drawing/2012/chart" uri="{CE6537A1-D6FC-4f65-9D91-7224C49458BB}">
                  <c15:layout>
                    <c:manualLayout>
                      <c:w val="0.20423365319891673"/>
                      <c:h val="5.9129040831921317E-2"/>
                    </c:manualLayout>
                  </c15:layout>
                </c:ext>
                <c:ext xmlns:c16="http://schemas.microsoft.com/office/drawing/2014/chart" uri="{C3380CC4-5D6E-409C-BE32-E72D297353CC}">
                  <c16:uniqueId val="{00000014-09F2-4A92-8B3C-9FF878AADF06}"/>
                </c:ext>
              </c:extLst>
            </c:dLbl>
            <c:dLbl>
              <c:idx val="31"/>
              <c:layout>
                <c:manualLayout>
                  <c:x val="8.0654915650454295E-2"/>
                  <c:y val="-0.144045898534835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F2-4A92-8B3C-9FF878AADF06}"/>
                </c:ext>
              </c:extLst>
            </c:dLbl>
            <c:dLbl>
              <c:idx val="32"/>
              <c:layout>
                <c:manualLayout>
                  <c:x val="-0.10749936079063675"/>
                  <c:y val="-0.120253164556962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F2-4A92-8B3C-9FF878AADF06}"/>
                </c:ext>
              </c:extLst>
            </c:dLbl>
            <c:dLbl>
              <c:idx val="36"/>
              <c:layout>
                <c:manualLayout>
                  <c:x val="0.17339297548045063"/>
                  <c:y val="0.32542194092826993"/>
                </c:manualLayout>
              </c:layout>
              <c:showLegendKey val="0"/>
              <c:showVal val="1"/>
              <c:showCatName val="1"/>
              <c:showSerName val="0"/>
              <c:showPercent val="0"/>
              <c:showBubbleSize val="0"/>
              <c:extLst>
                <c:ext xmlns:c15="http://schemas.microsoft.com/office/drawing/2012/chart" uri="{CE6537A1-D6FC-4f65-9D91-7224C49458BB}">
                  <c15:layout>
                    <c:manualLayout>
                      <c:w val="0.19996216924176724"/>
                      <c:h val="5.4610618292966547E-2"/>
                    </c:manualLayout>
                  </c15:layout>
                </c:ext>
                <c:ext xmlns:c16="http://schemas.microsoft.com/office/drawing/2014/chart" uri="{C3380CC4-5D6E-409C-BE32-E72D297353CC}">
                  <c16:uniqueId val="{00000007-09F2-4A92-8B3C-9FF878AADF06}"/>
                </c:ext>
              </c:extLst>
            </c:dLbl>
            <c:dLbl>
              <c:idx val="40"/>
              <c:layout>
                <c:manualLayout>
                  <c:x val="-0.12777777777777777"/>
                  <c:y val="0.1712962962962963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F2-4A92-8B3C-9FF878AADF06}"/>
                </c:ext>
              </c:extLst>
            </c:dLbl>
            <c:dLbl>
              <c:idx val="50"/>
              <c:layout>
                <c:manualLayout>
                  <c:x val="-5.5555555555555657E-2"/>
                  <c:y val="0.2129629629629629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F2-4A92-8B3C-9FF878AADF06}"/>
                </c:ext>
              </c:extLst>
            </c:dLbl>
            <c:dLbl>
              <c:idx val="53"/>
              <c:layout>
                <c:manualLayout>
                  <c:x val="0.18611111111111112"/>
                  <c:y val="0.319444444444444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9F2-4A92-8B3C-9FF878AADF06}"/>
                </c:ext>
              </c:extLst>
            </c:dLbl>
            <c:dLbl>
              <c:idx val="54"/>
              <c:layout>
                <c:manualLayout>
                  <c:x val="-7.4999999999999997E-2"/>
                  <c:y val="0.1342592592592592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F2-4A92-8B3C-9FF878AADF06}"/>
                </c:ext>
              </c:extLst>
            </c:dLbl>
            <c:dLbl>
              <c:idx val="63"/>
              <c:layout>
                <c:manualLayout>
                  <c:x val="9.7222222222222127E-2"/>
                  <c:y val="-4.62962962962963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F2-4A92-8B3C-9FF878AADF06}"/>
                </c:ext>
              </c:extLst>
            </c:dLbl>
            <c:dLbl>
              <c:idx val="68"/>
              <c:layout>
                <c:manualLayout>
                  <c:x val="-0.12777777777777777"/>
                  <c:y val="-8.79629629629630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F2-4A92-8B3C-9FF878AADF06}"/>
                </c:ext>
              </c:extLst>
            </c:dLbl>
            <c:dLbl>
              <c:idx val="74"/>
              <c:layout>
                <c:manualLayout>
                  <c:x val="2.8650407267680009E-2"/>
                  <c:y val="-0.1255274261603375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F2-4A92-8B3C-9FF878AADF06}"/>
                </c:ext>
              </c:extLst>
            </c:dLbl>
            <c:dLbl>
              <c:idx val="77"/>
              <c:layout>
                <c:manualLayout>
                  <c:x val="0"/>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F2-4A92-8B3C-9FF878AADF06}"/>
                </c:ext>
              </c:extLst>
            </c:dLbl>
            <c:dLbl>
              <c:idx val="80"/>
              <c:layout>
                <c:manualLayout>
                  <c:x val="-1.0185067526415994E-16"/>
                  <c:y val="5.09259259259259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F2-4A92-8B3C-9FF878AADF0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Sheet7!$A$3:$A$83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Congo</c:v>
                </c:pt>
                <c:pt idx="17">
                  <c:v>Côte d'Ivoire</c:v>
                </c:pt>
                <c:pt idx="18">
                  <c:v>Dem. Rep. Congo</c:v>
                </c:pt>
                <c:pt idx="19">
                  <c:v>Djibouti</c:v>
                </c:pt>
                <c:pt idx="20">
                  <c:v>Dominica</c:v>
                </c:pt>
                <c:pt idx="21">
                  <c:v>Eritrea</c:v>
                </c:pt>
                <c:pt idx="22">
                  <c:v>Ethiopia</c:v>
                </c:pt>
                <c:pt idx="23">
                  <c:v>Georgia</c:v>
                </c:pt>
                <c:pt idx="24">
                  <c:v>Ghana</c:v>
                </c:pt>
                <c:pt idx="25">
                  <c:v>Grenada</c:v>
                </c:pt>
                <c:pt idx="26">
                  <c:v>Guinea</c:v>
                </c:pt>
                <c:pt idx="27">
                  <c:v>Guinea-Bissau</c:v>
                </c:pt>
                <c:pt idx="28">
                  <c:v>Guyana</c:v>
                </c:pt>
                <c:pt idx="29">
                  <c:v>Haiti</c:v>
                </c:pt>
                <c:pt idx="30">
                  <c:v>Honduras</c:v>
                </c:pt>
                <c:pt idx="31">
                  <c:v>India</c:v>
                </c:pt>
                <c:pt idx="32">
                  <c:v>Kenya</c:v>
                </c:pt>
                <c:pt idx="33">
                  <c:v>Kiribati</c:v>
                </c:pt>
                <c:pt idx="34">
                  <c:v>Kosovo</c:v>
                </c:pt>
                <c:pt idx="35">
                  <c:v>Kyrgyz Republic</c:v>
                </c:pt>
                <c:pt idx="36">
                  <c:v>Lao PDR</c:v>
                </c:pt>
                <c:pt idx="37">
                  <c:v>Lesotho</c:v>
                </c:pt>
                <c:pt idx="38">
                  <c:v>Liberia</c:v>
                </c:pt>
                <c:pt idx="39">
                  <c:v>Madagascar</c:v>
                </c:pt>
                <c:pt idx="40">
                  <c:v>Malawi</c:v>
                </c:pt>
                <c:pt idx="41">
                  <c:v>Maldives</c:v>
                </c:pt>
                <c:pt idx="42">
                  <c:v>Mali</c:v>
                </c:pt>
                <c:pt idx="43">
                  <c:v>Marshall Islands</c:v>
                </c:pt>
                <c:pt idx="44">
                  <c:v>Mauritania</c:v>
                </c:pt>
                <c:pt idx="45">
                  <c:v>Micronesia</c:v>
                </c:pt>
                <c:pt idx="46">
                  <c:v>Moldova</c:v>
                </c:pt>
                <c:pt idx="47">
                  <c:v>Mongolia</c:v>
                </c:pt>
                <c:pt idx="48">
                  <c:v>Mozambique</c:v>
                </c:pt>
                <c:pt idx="49">
                  <c:v>Myanmar</c:v>
                </c:pt>
                <c:pt idx="50">
                  <c:v>Nepal</c:v>
                </c:pt>
                <c:pt idx="51">
                  <c:v>Nicaragua</c:v>
                </c:pt>
                <c:pt idx="52">
                  <c:v>Niger</c:v>
                </c:pt>
                <c:pt idx="53">
                  <c:v>Nigeria</c:v>
                </c:pt>
                <c:pt idx="54">
                  <c:v>Pakistan</c:v>
                </c:pt>
                <c:pt idx="55">
                  <c:v>Papua New Guinea</c:v>
                </c:pt>
                <c:pt idx="56">
                  <c:v>Rwanda</c:v>
                </c:pt>
                <c:pt idx="57">
                  <c:v>Samoa</c:v>
                </c:pt>
                <c:pt idx="58">
                  <c:v>São Tomé and Principe</c:v>
                </c:pt>
                <c:pt idx="59">
                  <c:v>Senegal</c:v>
                </c:pt>
                <c:pt idx="60">
                  <c:v>Sierra Leone</c:v>
                </c:pt>
                <c:pt idx="61">
                  <c:v>Solomon Islands</c:v>
                </c:pt>
                <c:pt idx="62">
                  <c:v>South Sudan</c:v>
                </c:pt>
                <c:pt idx="63">
                  <c:v>Sri Lanka</c:v>
                </c:pt>
                <c:pt idx="64">
                  <c:v>St. Lucia</c:v>
                </c:pt>
                <c:pt idx="65">
                  <c:v>St. Vincent and the Grenadines</c:v>
                </c:pt>
                <c:pt idx="66">
                  <c:v>Sudan</c:v>
                </c:pt>
                <c:pt idx="67">
                  <c:v>Tajikistan</c:v>
                </c:pt>
                <c:pt idx="68">
                  <c:v>Tanzania</c:v>
                </c:pt>
                <c:pt idx="69">
                  <c:v>The Gambia</c:v>
                </c:pt>
                <c:pt idx="70">
                  <c:v>Timor-Leste</c:v>
                </c:pt>
                <c:pt idx="71">
                  <c:v>Togo</c:v>
                </c:pt>
                <c:pt idx="72">
                  <c:v>Tonga</c:v>
                </c:pt>
                <c:pt idx="73">
                  <c:v>Tuvalu</c:v>
                </c:pt>
                <c:pt idx="74">
                  <c:v>Uganda</c:v>
                </c:pt>
                <c:pt idx="75">
                  <c:v>Uzbekistan</c:v>
                </c:pt>
                <c:pt idx="76">
                  <c:v>Vanuatu</c:v>
                </c:pt>
                <c:pt idx="77">
                  <c:v>Vietnam</c:v>
                </c:pt>
                <c:pt idx="78">
                  <c:v>Yemen</c:v>
                </c:pt>
                <c:pt idx="79">
                  <c:v>Zambia</c:v>
                </c:pt>
                <c:pt idx="80">
                  <c:v>Zimbabwe</c:v>
                </c:pt>
              </c:strCache>
            </c:strRef>
          </c:xVal>
          <c:yVal>
            <c:numRef>
              <c:f>Sheet7!$B$3:$B$83</c:f>
              <c:numCache>
                <c:formatCode>0.00</c:formatCode>
                <c:ptCount val="81"/>
                <c:pt idx="0">
                  <c:v>3</c:v>
                </c:pt>
                <c:pt idx="1">
                  <c:v>3</c:v>
                </c:pt>
                <c:pt idx="2">
                  <c:v>4.5</c:v>
                </c:pt>
                <c:pt idx="3">
                  <c:v>3.8333300000000001</c:v>
                </c:pt>
                <c:pt idx="4">
                  <c:v>3.8333300000000001</c:v>
                </c:pt>
                <c:pt idx="5">
                  <c:v>3.8333300000000001</c:v>
                </c:pt>
                <c:pt idx="6">
                  <c:v>3.6666699999999999</c:v>
                </c:pt>
                <c:pt idx="7">
                  <c:v>3.8333333333333299</c:v>
                </c:pt>
                <c:pt idx="8">
                  <c:v>3.8333333333333299</c:v>
                </c:pt>
                <c:pt idx="9">
                  <c:v>2.8333333333333299</c:v>
                </c:pt>
                <c:pt idx="10">
                  <c:v>3.6666699999999999</c:v>
                </c:pt>
                <c:pt idx="11">
                  <c:v>4</c:v>
                </c:pt>
                <c:pt idx="12">
                  <c:v>3.5</c:v>
                </c:pt>
                <c:pt idx="13">
                  <c:v>3</c:v>
                </c:pt>
                <c:pt idx="14">
                  <c:v>3.1666699999999999</c:v>
                </c:pt>
                <c:pt idx="15">
                  <c:v>2.8333300000000001</c:v>
                </c:pt>
                <c:pt idx="16">
                  <c:v>3.5</c:v>
                </c:pt>
                <c:pt idx="17">
                  <c:v>3.6666699999999999</c:v>
                </c:pt>
                <c:pt idx="18">
                  <c:v>3.5</c:v>
                </c:pt>
                <c:pt idx="19">
                  <c:v>3</c:v>
                </c:pt>
                <c:pt idx="20">
                  <c:v>3.6666699999999999</c:v>
                </c:pt>
                <c:pt idx="21">
                  <c:v>1.3333299999999999</c:v>
                </c:pt>
                <c:pt idx="22">
                  <c:v>3.5</c:v>
                </c:pt>
                <c:pt idx="24">
                  <c:v>3</c:v>
                </c:pt>
                <c:pt idx="25">
                  <c:v>3</c:v>
                </c:pt>
                <c:pt idx="26">
                  <c:v>3.3333300000000001</c:v>
                </c:pt>
                <c:pt idx="27">
                  <c:v>2.5</c:v>
                </c:pt>
                <c:pt idx="28">
                  <c:v>3.6666699999999999</c:v>
                </c:pt>
                <c:pt idx="29">
                  <c:v>3.5</c:v>
                </c:pt>
                <c:pt idx="30">
                  <c:v>3.5</c:v>
                </c:pt>
                <c:pt idx="31">
                  <c:v>4</c:v>
                </c:pt>
                <c:pt idx="32">
                  <c:v>4.3333300000000001</c:v>
                </c:pt>
                <c:pt idx="33">
                  <c:v>2.6666666666666701</c:v>
                </c:pt>
                <c:pt idx="34">
                  <c:v>3.6666699999999999</c:v>
                </c:pt>
                <c:pt idx="35">
                  <c:v>3.8333300000000001</c:v>
                </c:pt>
                <c:pt idx="36">
                  <c:v>3.3333333333333299</c:v>
                </c:pt>
                <c:pt idx="37">
                  <c:v>3.1666699999999999</c:v>
                </c:pt>
                <c:pt idx="38">
                  <c:v>3.5</c:v>
                </c:pt>
                <c:pt idx="39">
                  <c:v>3.6666699999999999</c:v>
                </c:pt>
                <c:pt idx="40">
                  <c:v>2.8333300000000001</c:v>
                </c:pt>
                <c:pt idx="41">
                  <c:v>2.3333300000000001</c:v>
                </c:pt>
                <c:pt idx="42">
                  <c:v>3.8333300000000001</c:v>
                </c:pt>
                <c:pt idx="43">
                  <c:v>2.3333333333333299</c:v>
                </c:pt>
                <c:pt idx="44">
                  <c:v>3.5</c:v>
                </c:pt>
                <c:pt idx="45">
                  <c:v>2.6666699999999999</c:v>
                </c:pt>
                <c:pt idx="46">
                  <c:v>4</c:v>
                </c:pt>
                <c:pt idx="47">
                  <c:v>2.8333333333333299</c:v>
                </c:pt>
                <c:pt idx="48">
                  <c:v>3.8333333333333299</c:v>
                </c:pt>
                <c:pt idx="49">
                  <c:v>3.6666699999999999</c:v>
                </c:pt>
                <c:pt idx="50">
                  <c:v>3.1666699999999999</c:v>
                </c:pt>
                <c:pt idx="51">
                  <c:v>4.1666699999999999</c:v>
                </c:pt>
                <c:pt idx="52">
                  <c:v>3.8333333333333299</c:v>
                </c:pt>
                <c:pt idx="53">
                  <c:v>3.8333300000000001</c:v>
                </c:pt>
                <c:pt idx="54">
                  <c:v>3.3333300000000001</c:v>
                </c:pt>
                <c:pt idx="55">
                  <c:v>3</c:v>
                </c:pt>
                <c:pt idx="56">
                  <c:v>4</c:v>
                </c:pt>
                <c:pt idx="57">
                  <c:v>4.1666666666666696</c:v>
                </c:pt>
                <c:pt idx="58">
                  <c:v>2.8333300000000001</c:v>
                </c:pt>
                <c:pt idx="59">
                  <c:v>4.1666699999999999</c:v>
                </c:pt>
                <c:pt idx="60">
                  <c:v>3.5</c:v>
                </c:pt>
                <c:pt idx="61">
                  <c:v>3.3333300000000001</c:v>
                </c:pt>
                <c:pt idx="62">
                  <c:v>1.5</c:v>
                </c:pt>
                <c:pt idx="63">
                  <c:v>2.8333300000000001</c:v>
                </c:pt>
                <c:pt idx="64">
                  <c:v>3</c:v>
                </c:pt>
                <c:pt idx="65">
                  <c:v>3.3333300000000001</c:v>
                </c:pt>
                <c:pt idx="66">
                  <c:v>2.3333333333333299</c:v>
                </c:pt>
                <c:pt idx="67">
                  <c:v>3.3333300000000001</c:v>
                </c:pt>
                <c:pt idx="68">
                  <c:v>4</c:v>
                </c:pt>
                <c:pt idx="69">
                  <c:v>2.1666699999999999</c:v>
                </c:pt>
                <c:pt idx="70">
                  <c:v>3.6666699999999999</c:v>
                </c:pt>
                <c:pt idx="71">
                  <c:v>2.8333333333333299</c:v>
                </c:pt>
                <c:pt idx="72">
                  <c:v>3.5</c:v>
                </c:pt>
                <c:pt idx="73">
                  <c:v>2.5</c:v>
                </c:pt>
                <c:pt idx="74">
                  <c:v>4.1666699999999999</c:v>
                </c:pt>
                <c:pt idx="75">
                  <c:v>4</c:v>
                </c:pt>
                <c:pt idx="76">
                  <c:v>3.6666699999999999</c:v>
                </c:pt>
                <c:pt idx="77">
                  <c:v>3.6666699999999999</c:v>
                </c:pt>
                <c:pt idx="78">
                  <c:v>2.8333300000000001</c:v>
                </c:pt>
                <c:pt idx="79">
                  <c:v>3</c:v>
                </c:pt>
                <c:pt idx="80">
                  <c:v>2.6666666666666701</c:v>
                </c:pt>
              </c:numCache>
            </c:numRef>
          </c:yVal>
          <c:smooth val="0"/>
          <c:extLst>
            <c:ext xmlns:c16="http://schemas.microsoft.com/office/drawing/2014/chart" uri="{C3380CC4-5D6E-409C-BE32-E72D297353CC}">
              <c16:uniqueId val="{00000010-09F2-4A92-8B3C-9FF878AADF06}"/>
            </c:ext>
          </c:extLst>
        </c:ser>
        <c:dLbls>
          <c:showLegendKey val="0"/>
          <c:showVal val="0"/>
          <c:showCatName val="0"/>
          <c:showSerName val="0"/>
          <c:showPercent val="0"/>
          <c:showBubbleSize val="0"/>
        </c:dLbls>
        <c:axId val="279241552"/>
        <c:axId val="279239472"/>
      </c:scatterChart>
      <c:valAx>
        <c:axId val="279241552"/>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9239472"/>
        <c:crosses val="autoZero"/>
        <c:crossBetween val="midCat"/>
      </c:valAx>
      <c:valAx>
        <c:axId val="279239472"/>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9241552"/>
        <c:crosses val="autoZero"/>
        <c:crossBetween val="midCat"/>
      </c:valAx>
      <c:spPr>
        <a:noFill/>
        <a:ln>
          <a:noFill/>
        </a:ln>
        <a:effectLst/>
      </c:spPr>
    </c:plotArea>
    <c:plotVisOnly val="1"/>
    <c:dispBlanksAs val="gap"/>
    <c:showDLblsOverMax val="0"/>
  </c:chart>
  <c:spPr>
    <a:gradFill flip="none" rotWithShape="1">
      <a:gsLst>
        <a:gs pos="0">
          <a:srgbClr val="009999">
            <a:tint val="66000"/>
            <a:satMod val="160000"/>
          </a:srgbClr>
        </a:gs>
        <a:gs pos="50000">
          <a:srgbClr val="009999">
            <a:tint val="44500"/>
            <a:satMod val="160000"/>
          </a:srgbClr>
        </a:gs>
        <a:gs pos="100000">
          <a:srgbClr val="009999">
            <a:tint val="23500"/>
            <a:satMod val="160000"/>
          </a:srgbClr>
        </a:gs>
      </a:gsLst>
      <a:lin ang="81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latin typeface="Times New Roman" panose="02020603050405020304" pitchFamily="18" charset="0"/>
                <a:cs typeface="Times New Roman" panose="02020603050405020304" pitchFamily="18" charset="0"/>
              </a:rPr>
              <a:t>CPIA financial sector rating </a:t>
            </a:r>
            <a:r>
              <a:rPr lang="en-US" sz="1000"/>
              <a:t>(1=low to 6=high)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'CPIA scatter'!$I$2</c:f>
              <c:strCache>
                <c:ptCount val="1"/>
                <c:pt idx="0">
                  <c:v>CPIA financial sector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2"/>
              <c:layout>
                <c:manualLayout>
                  <c:x val="-4.5995670995670992E-2"/>
                  <c:y val="-6.0185185185185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A3-4016-8883-5FBEA8742C7C}"/>
                </c:ext>
              </c:extLst>
            </c:dLbl>
            <c:dLbl>
              <c:idx val="3"/>
              <c:layout>
                <c:manualLayout>
                  <c:x val="-5.2777777777777778E-2"/>
                  <c:y val="0.20833333333333318"/>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C6A3-4016-8883-5FBEA8742C7C}"/>
                </c:ext>
              </c:extLst>
            </c:dLbl>
            <c:dLbl>
              <c:idx val="4"/>
              <c:layout>
                <c:manualLayout>
                  <c:x val="-2.7056277056277055E-3"/>
                  <c:y val="0.2222222222222222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A3-4016-8883-5FBEA8742C7C}"/>
                </c:ext>
              </c:extLst>
            </c:dLbl>
            <c:dLbl>
              <c:idx val="7"/>
              <c:layout>
                <c:manualLayout>
                  <c:x val="5.4112554112554064E-2"/>
                  <c:y val="-0.1157407407407407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A3-4016-8883-5FBEA8742C7C}"/>
                </c:ext>
              </c:extLst>
            </c:dLbl>
            <c:dLbl>
              <c:idx val="12"/>
              <c:layout>
                <c:manualLayout>
                  <c:x val="-1.0822510822510822E-2"/>
                  <c:y val="-4.6296114027413238E-2"/>
                </c:manualLayout>
              </c:layout>
              <c:showLegendKey val="0"/>
              <c:showVal val="1"/>
              <c:showCatName val="1"/>
              <c:showSerName val="0"/>
              <c:showPercent val="0"/>
              <c:showBubbleSize val="0"/>
              <c:extLst>
                <c:ext xmlns:c15="http://schemas.microsoft.com/office/drawing/2012/chart" uri="{CE6537A1-D6FC-4f65-9D91-7224C49458BB}">
                  <c15:layout>
                    <c:manualLayout>
                      <c:w val="0.1559589852404813"/>
                      <c:h val="4.2583114610673663E-2"/>
                    </c:manualLayout>
                  </c15:layout>
                </c:ext>
                <c:ext xmlns:c16="http://schemas.microsoft.com/office/drawing/2014/chart" uri="{C3380CC4-5D6E-409C-BE32-E72D297353CC}">
                  <c16:uniqueId val="{00000004-C6A3-4016-8883-5FBEA8742C7C}"/>
                </c:ext>
              </c:extLst>
            </c:dLbl>
            <c:dLbl>
              <c:idx val="2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A3-4016-8883-5FBEA8742C7C}"/>
                </c:ext>
              </c:extLst>
            </c:dLbl>
            <c:dLbl>
              <c:idx val="32"/>
              <c:layout>
                <c:manualLayout>
                  <c:x val="-6.4935064935064984E-2"/>
                  <c:y val="0.1990740740740739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A3-4016-8883-5FBEA8742C7C}"/>
                </c:ext>
              </c:extLst>
            </c:dLbl>
            <c:dLbl>
              <c:idx val="33"/>
              <c:layout>
                <c:manualLayout>
                  <c:x val="-0.21915584415584419"/>
                  <c:y val="0.2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A3-4016-8883-5FBEA8742C7C}"/>
                </c:ext>
              </c:extLst>
            </c:dLbl>
            <c:dLbl>
              <c:idx val="34"/>
              <c:layout>
                <c:manualLayout>
                  <c:x val="1.0822510822510723E-2"/>
                  <c:y val="-4.629629629629629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A3-4016-8883-5FBEA8742C7C}"/>
                </c:ext>
              </c:extLst>
            </c:dLbl>
            <c:dLbl>
              <c:idx val="37"/>
              <c:layout>
                <c:manualLayout>
                  <c:x val="-7.0346320346320296E-2"/>
                  <c:y val="-0.1712962962962963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A3-4016-8883-5FBEA8742C7C}"/>
                </c:ext>
              </c:extLst>
            </c:dLbl>
            <c:dLbl>
              <c:idx val="38"/>
              <c:layout>
                <c:manualLayout>
                  <c:x val="-2.7056277056277055E-3"/>
                  <c:y val="0.1435185185185184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A3-4016-8883-5FBEA8742C7C}"/>
                </c:ext>
              </c:extLst>
            </c:dLbl>
            <c:dLbl>
              <c:idx val="40"/>
              <c:layout>
                <c:manualLayout>
                  <c:x val="0"/>
                  <c:y val="0.1388888888888888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A3-4016-8883-5FBEA8742C7C}"/>
                </c:ext>
              </c:extLst>
            </c:dLbl>
            <c:dLbl>
              <c:idx val="42"/>
              <c:layout>
                <c:manualLayout>
                  <c:x val="0.20562770562770552"/>
                  <c:y val="0.4074074074074073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A3-4016-8883-5FBEA8742C7C}"/>
                </c:ext>
              </c:extLst>
            </c:dLbl>
            <c:dLbl>
              <c:idx val="50"/>
              <c:layout>
                <c:manualLayout>
                  <c:x val="-6.2229437229437329E-2"/>
                  <c:y val="-0.1666666666666666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6A3-4016-8883-5FBEA8742C7C}"/>
                </c:ext>
              </c:extLst>
            </c:dLbl>
            <c:dLbl>
              <c:idx val="52"/>
              <c:layout>
                <c:manualLayout>
                  <c:x val="0.24350649350649342"/>
                  <c:y val="-0.2546296296296296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6A3-4016-8883-5FBEA8742C7C}"/>
                </c:ext>
              </c:extLst>
            </c:dLbl>
            <c:dLbl>
              <c:idx val="54"/>
              <c:layout>
                <c:manualLayout>
                  <c:x val="0.23268398268398258"/>
                  <c:y val="0.4351851851851851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A3-4016-8883-5FBEA8742C7C}"/>
                </c:ext>
              </c:extLst>
            </c:dLbl>
            <c:dLbl>
              <c:idx val="57"/>
              <c:layout>
                <c:manualLayout>
                  <c:x val="-0.12445887445887446"/>
                  <c:y val="0.2083333333333333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6A3-4016-8883-5FBEA8742C7C}"/>
                </c:ext>
              </c:extLst>
            </c:dLbl>
            <c:dLbl>
              <c:idx val="60"/>
              <c:layout>
                <c:manualLayout>
                  <c:x val="-7.3051948051948146E-2"/>
                  <c:y val="0.12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6A3-4016-8883-5FBEA8742C7C}"/>
                </c:ext>
              </c:extLst>
            </c:dLbl>
            <c:dLbl>
              <c:idx val="67"/>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6A3-4016-8883-5FBEA8742C7C}"/>
                </c:ext>
              </c:extLst>
            </c:dLbl>
            <c:dLbl>
              <c:idx val="71"/>
              <c:layout>
                <c:manualLayout>
                  <c:x val="-0.20562770562770571"/>
                  <c:y val="-6.9444444444444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6A3-4016-8883-5FBEA8742C7C}"/>
                </c:ext>
              </c:extLst>
            </c:dLbl>
            <c:dLbl>
              <c:idx val="72"/>
              <c:layout>
                <c:manualLayout>
                  <c:x val="-6.764069264069264E-2"/>
                  <c:y val="-0.106481481481481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6A3-4016-8883-5FBEA8742C7C}"/>
                </c:ext>
              </c:extLst>
            </c:dLbl>
            <c:dLbl>
              <c:idx val="73"/>
              <c:layout>
                <c:manualLayout>
                  <c:x val="-0.14880952380952381"/>
                  <c:y val="0.1527777777777777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6A3-4016-8883-5FBEA8742C7C}"/>
                </c:ext>
              </c:extLst>
            </c:dLbl>
            <c:dLbl>
              <c:idx val="75"/>
              <c:layout>
                <c:manualLayout>
                  <c:x val="1.893939393939394E-2"/>
                  <c:y val="-4.16666666666666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6A3-4016-8883-5FBEA8742C7C}"/>
                </c:ext>
              </c:extLst>
            </c:dLbl>
            <c:dLbl>
              <c:idx val="7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6A3-4016-8883-5FBEA8742C7C}"/>
                </c:ext>
              </c:extLst>
            </c:dLbl>
            <c:dLbl>
              <c:idx val="79"/>
              <c:layout>
                <c:manualLayout>
                  <c:x val="0"/>
                  <c:y val="-6.018518518518518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6A3-4016-8883-5FBEA8742C7C}"/>
                </c:ext>
              </c:extLst>
            </c:dLbl>
            <c:dLbl>
              <c:idx val="80"/>
              <c:layout>
                <c:manualLayout>
                  <c:x val="0"/>
                  <c:y val="7.87037037037037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6A3-4016-8883-5FBEA8742C7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scatter'!$I$3:$I$83</c:f>
              <c:numCache>
                <c:formatCode>0.00</c:formatCode>
                <c:ptCount val="81"/>
                <c:pt idx="0">
                  <c:v>2</c:v>
                </c:pt>
                <c:pt idx="1">
                  <c:v>2.5</c:v>
                </c:pt>
                <c:pt idx="2">
                  <c:v>4</c:v>
                </c:pt>
                <c:pt idx="3">
                  <c:v>2.5</c:v>
                </c:pt>
                <c:pt idx="4">
                  <c:v>3</c:v>
                </c:pt>
                <c:pt idx="5">
                  <c:v>3</c:v>
                </c:pt>
                <c:pt idx="6">
                  <c:v>3</c:v>
                </c:pt>
                <c:pt idx="7">
                  <c:v>3.5</c:v>
                </c:pt>
                <c:pt idx="8">
                  <c:v>3</c:v>
                </c:pt>
                <c:pt idx="9">
                  <c:v>3</c:v>
                </c:pt>
                <c:pt idx="10">
                  <c:v>3.5</c:v>
                </c:pt>
                <c:pt idx="11">
                  <c:v>3</c:v>
                </c:pt>
                <c:pt idx="12">
                  <c:v>3</c:v>
                </c:pt>
                <c:pt idx="13">
                  <c:v>2.5</c:v>
                </c:pt>
                <c:pt idx="14">
                  <c:v>2.5</c:v>
                </c:pt>
                <c:pt idx="15">
                  <c:v>2.5</c:v>
                </c:pt>
                <c:pt idx="16">
                  <c:v>2.5</c:v>
                </c:pt>
                <c:pt idx="17">
                  <c:v>3</c:v>
                </c:pt>
                <c:pt idx="18">
                  <c:v>3</c:v>
                </c:pt>
                <c:pt idx="19">
                  <c:v>3</c:v>
                </c:pt>
                <c:pt idx="20">
                  <c:v>3.5</c:v>
                </c:pt>
                <c:pt idx="21">
                  <c:v>1</c:v>
                </c:pt>
                <c:pt idx="22">
                  <c:v>3</c:v>
                </c:pt>
                <c:pt idx="23">
                  <c:v>2.5</c:v>
                </c:pt>
                <c:pt idx="25">
                  <c:v>3</c:v>
                </c:pt>
                <c:pt idx="26">
                  <c:v>2.5</c:v>
                </c:pt>
                <c:pt idx="27">
                  <c:v>2.5</c:v>
                </c:pt>
                <c:pt idx="28">
                  <c:v>2.5</c:v>
                </c:pt>
                <c:pt idx="29">
                  <c:v>3.5</c:v>
                </c:pt>
                <c:pt idx="30">
                  <c:v>3.5</c:v>
                </c:pt>
                <c:pt idx="31">
                  <c:v>3.5</c:v>
                </c:pt>
                <c:pt idx="32">
                  <c:v>3</c:v>
                </c:pt>
                <c:pt idx="33">
                  <c:v>3.5</c:v>
                </c:pt>
                <c:pt idx="34">
                  <c:v>4</c:v>
                </c:pt>
                <c:pt idx="35">
                  <c:v>3</c:v>
                </c:pt>
                <c:pt idx="36">
                  <c:v>2.5</c:v>
                </c:pt>
                <c:pt idx="37">
                  <c:v>3.5</c:v>
                </c:pt>
                <c:pt idx="38">
                  <c:v>2</c:v>
                </c:pt>
                <c:pt idx="39">
                  <c:v>3</c:v>
                </c:pt>
                <c:pt idx="40">
                  <c:v>2.5</c:v>
                </c:pt>
                <c:pt idx="41">
                  <c:v>3</c:v>
                </c:pt>
                <c:pt idx="42">
                  <c:v>3.5</c:v>
                </c:pt>
                <c:pt idx="43">
                  <c:v>2.5</c:v>
                </c:pt>
                <c:pt idx="44">
                  <c:v>2.5</c:v>
                </c:pt>
                <c:pt idx="45">
                  <c:v>3</c:v>
                </c:pt>
                <c:pt idx="46">
                  <c:v>2</c:v>
                </c:pt>
                <c:pt idx="47">
                  <c:v>3</c:v>
                </c:pt>
                <c:pt idx="48">
                  <c:v>2.5</c:v>
                </c:pt>
                <c:pt idx="49">
                  <c:v>2.5</c:v>
                </c:pt>
                <c:pt idx="50">
                  <c:v>3.5</c:v>
                </c:pt>
                <c:pt idx="51">
                  <c:v>2.5</c:v>
                </c:pt>
                <c:pt idx="52">
                  <c:v>3</c:v>
                </c:pt>
                <c:pt idx="53">
                  <c:v>3</c:v>
                </c:pt>
                <c:pt idx="54">
                  <c:v>3.5</c:v>
                </c:pt>
                <c:pt idx="55">
                  <c:v>3</c:v>
                </c:pt>
                <c:pt idx="56">
                  <c:v>3.5</c:v>
                </c:pt>
                <c:pt idx="57">
                  <c:v>3.5</c:v>
                </c:pt>
                <c:pt idx="58">
                  <c:v>3.5</c:v>
                </c:pt>
                <c:pt idx="59">
                  <c:v>3.5</c:v>
                </c:pt>
                <c:pt idx="60">
                  <c:v>2.5</c:v>
                </c:pt>
                <c:pt idx="61">
                  <c:v>3.5</c:v>
                </c:pt>
                <c:pt idx="62">
                  <c:v>3</c:v>
                </c:pt>
                <c:pt idx="63">
                  <c:v>3</c:v>
                </c:pt>
                <c:pt idx="64">
                  <c:v>2.5</c:v>
                </c:pt>
                <c:pt idx="65">
                  <c:v>2.5</c:v>
                </c:pt>
                <c:pt idx="66">
                  <c:v>2.5</c:v>
                </c:pt>
                <c:pt idx="67">
                  <c:v>1.5</c:v>
                </c:pt>
                <c:pt idx="68">
                  <c:v>2.5</c:v>
                </c:pt>
                <c:pt idx="69">
                  <c:v>3</c:v>
                </c:pt>
                <c:pt idx="70">
                  <c:v>2.5</c:v>
                </c:pt>
                <c:pt idx="71">
                  <c:v>3.5</c:v>
                </c:pt>
                <c:pt idx="72">
                  <c:v>3.5</c:v>
                </c:pt>
                <c:pt idx="73">
                  <c:v>3</c:v>
                </c:pt>
                <c:pt idx="74">
                  <c:v>3.5</c:v>
                </c:pt>
                <c:pt idx="75">
                  <c:v>3</c:v>
                </c:pt>
                <c:pt idx="76">
                  <c:v>3</c:v>
                </c:pt>
                <c:pt idx="77">
                  <c:v>3.5</c:v>
                </c:pt>
                <c:pt idx="78">
                  <c:v>2</c:v>
                </c:pt>
                <c:pt idx="79">
                  <c:v>3.5</c:v>
                </c:pt>
                <c:pt idx="80">
                  <c:v>3</c:v>
                </c:pt>
              </c:numCache>
            </c:numRef>
          </c:yVal>
          <c:smooth val="0"/>
          <c:extLst>
            <c:ext xmlns:c16="http://schemas.microsoft.com/office/drawing/2014/chart" uri="{C3380CC4-5D6E-409C-BE32-E72D297353CC}">
              <c16:uniqueId val="{0000001A-C6A3-4016-8883-5FBEA8742C7C}"/>
            </c:ext>
          </c:extLst>
        </c:ser>
        <c:dLbls>
          <c:showLegendKey val="0"/>
          <c:showVal val="0"/>
          <c:showCatName val="0"/>
          <c:showSerName val="0"/>
          <c:showPercent val="0"/>
          <c:showBubbleSize val="0"/>
        </c:dLbls>
        <c:axId val="1666862688"/>
        <c:axId val="1666863936"/>
      </c:scatterChart>
      <c:valAx>
        <c:axId val="1666862688"/>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63936"/>
        <c:crosses val="autoZero"/>
        <c:crossBetween val="midCat"/>
      </c:valAx>
      <c:valAx>
        <c:axId val="1666863936"/>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62688"/>
        <c:crosses val="autoZero"/>
        <c:crossBetween val="midCat"/>
      </c:valAx>
      <c:spPr>
        <a:noFill/>
        <a:ln>
          <a:noFill/>
        </a:ln>
        <a:effectLst/>
      </c:spPr>
    </c:plotArea>
    <c:plotVisOnly val="1"/>
    <c:dispBlanksAs val="gap"/>
    <c:showDLblsOverMax val="0"/>
  </c:chart>
  <c:spPr>
    <a:gradFill flip="none" rotWithShape="1">
      <a:gsLst>
        <a:gs pos="0">
          <a:srgbClr val="DEA3A2">
            <a:tint val="66000"/>
            <a:satMod val="160000"/>
          </a:srgbClr>
        </a:gs>
        <a:gs pos="50000">
          <a:srgbClr val="DEA3A2">
            <a:tint val="44500"/>
            <a:satMod val="160000"/>
          </a:srgbClr>
        </a:gs>
        <a:gs pos="100000">
          <a:srgbClr val="DEA3A2">
            <a:tint val="23500"/>
            <a:satMod val="160000"/>
          </a:srgbClr>
        </a:gs>
      </a:gsLst>
      <a:lin ang="5400000" scaled="1"/>
      <a:tileRect/>
    </a:gra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latin typeface="Times New Roman" panose="02020603050405020304" pitchFamily="18" charset="0"/>
                <a:cs typeface="Times New Roman" panose="02020603050405020304" pitchFamily="18" charset="0"/>
              </a:rPr>
              <a:t>CPIA public sector management and institutions cluster average </a:t>
            </a:r>
            <a:r>
              <a:rPr lang="en-US" sz="1000"/>
              <a:t>(1=low to 6=high)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'CPIA scatter'!$P$2</c:f>
              <c:strCache>
                <c:ptCount val="1"/>
                <c:pt idx="0">
                  <c:v>CPIA public sector management and institutions cluster average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0"/>
              <c:layout>
                <c:manualLayout>
                  <c:x val="-2.7777777777777776E-2"/>
                  <c:y val="0.2546296296296296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A6-4CD1-A6BA-2CD2685ACCB7}"/>
                </c:ext>
              </c:extLst>
            </c:dLbl>
            <c:dLbl>
              <c:idx val="1"/>
              <c:layout>
                <c:manualLayout>
                  <c:x val="2.7777777777777752E-2"/>
                  <c:y val="0.1712962962962961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A6-4CD1-A6BA-2CD2685ACCB7}"/>
                </c:ext>
              </c:extLst>
            </c:dLbl>
            <c:dLbl>
              <c:idx val="2"/>
              <c:layout>
                <c:manualLayout>
                  <c:x val="-4.4444444444444446E-2"/>
                  <c:y val="-0.111111111111111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A6-4CD1-A6BA-2CD2685ACCB7}"/>
                </c:ext>
              </c:extLst>
            </c:dLbl>
            <c:dLbl>
              <c:idx val="3"/>
              <c:layout>
                <c:manualLayout>
                  <c:x val="-3.6111111111111101E-2"/>
                  <c:y val="0.1759259259259259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29A6-4CD1-A6BA-2CD2685ACCB7}"/>
                </c:ext>
              </c:extLst>
            </c:dLbl>
            <c:dLbl>
              <c:idx val="5"/>
              <c:layout>
                <c:manualLayout>
                  <c:x val="4.4444444444444446E-2"/>
                  <c:y val="-4.1666484397783608E-2"/>
                </c:manualLayout>
              </c:layout>
              <c:showLegendKey val="0"/>
              <c:showVal val="1"/>
              <c:showCatName val="1"/>
              <c:showSerName val="0"/>
              <c:showPercent val="0"/>
              <c:showBubbleSize val="0"/>
              <c:extLst>
                <c:ext xmlns:c15="http://schemas.microsoft.com/office/drawing/2012/chart" uri="{CE6537A1-D6FC-4f65-9D91-7224C49458BB}">
                  <c15:layout>
                    <c:manualLayout>
                      <c:w val="0.13146587926509187"/>
                      <c:h val="4.2583114610673663E-2"/>
                    </c:manualLayout>
                  </c15:layout>
                </c:ext>
                <c:ext xmlns:c16="http://schemas.microsoft.com/office/drawing/2014/chart" uri="{C3380CC4-5D6E-409C-BE32-E72D297353CC}">
                  <c16:uniqueId val="{00000004-29A6-4CD1-A6BA-2CD2685ACCB7}"/>
                </c:ext>
              </c:extLst>
            </c:dLbl>
            <c:dLbl>
              <c:idx val="13"/>
              <c:layout>
                <c:manualLayout>
                  <c:x val="7.2222222222222174E-2"/>
                  <c:y val="0.1666666666666665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A6-4CD1-A6BA-2CD2685ACCB7}"/>
                </c:ext>
              </c:extLst>
            </c:dLbl>
            <c:dLbl>
              <c:idx val="18"/>
              <c:layout>
                <c:manualLayout>
                  <c:x val="0.4722222222222221"/>
                  <c:y val="0.3518518518518518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A6-4CD1-A6BA-2CD2685ACCB7}"/>
                </c:ext>
              </c:extLst>
            </c:dLbl>
            <c:dLbl>
              <c:idx val="21"/>
              <c:layout>
                <c:manualLayout>
                  <c:x val="0.17499999999999991"/>
                  <c:y val="0.2129629629629629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A6-4CD1-A6BA-2CD2685ACCB7}"/>
                </c:ext>
              </c:extLst>
            </c:dLbl>
            <c:dLbl>
              <c:idx val="25"/>
              <c:layout>
                <c:manualLayout>
                  <c:x val="-2.500000000000005E-2"/>
                  <c:y val="-0.148148148148148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A6-4CD1-A6BA-2CD2685ACCB7}"/>
                </c:ext>
              </c:extLst>
            </c:dLbl>
            <c:dLbl>
              <c:idx val="28"/>
              <c:layout>
                <c:manualLayout>
                  <c:x val="8.3333333333333332E-3"/>
                  <c:y val="6.01851851851850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A6-4CD1-A6BA-2CD2685ACCB7}"/>
                </c:ext>
              </c:extLst>
            </c:dLbl>
            <c:dLbl>
              <c:idx val="3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A6-4CD1-A6BA-2CD2685ACCB7}"/>
                </c:ext>
              </c:extLst>
            </c:dLbl>
            <c:dLbl>
              <c:idx val="33"/>
              <c:layout>
                <c:manualLayout>
                  <c:x val="-3.6111111111111163E-2"/>
                  <c:y val="-6.9444444444444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A6-4CD1-A6BA-2CD2685ACCB7}"/>
                </c:ext>
              </c:extLst>
            </c:dLbl>
            <c:dLbl>
              <c:idx val="34"/>
              <c:layout>
                <c:manualLayout>
                  <c:x val="7.4999999999999997E-2"/>
                  <c:y val="-9.72222222222222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A6-4CD1-A6BA-2CD2685ACCB7}"/>
                </c:ext>
              </c:extLst>
            </c:dLbl>
            <c:dLbl>
              <c:idx val="42"/>
              <c:layout>
                <c:manualLayout>
                  <c:x val="-7.4999999999999997E-2"/>
                  <c:y val="-0.18981481481481488"/>
                </c:manualLayout>
              </c:layout>
              <c:showLegendKey val="0"/>
              <c:showVal val="1"/>
              <c:showCatName val="1"/>
              <c:showSerName val="0"/>
              <c:showPercent val="0"/>
              <c:showBubbleSize val="0"/>
              <c:extLst>
                <c:ext xmlns:c15="http://schemas.microsoft.com/office/drawing/2012/chart" uri="{CE6537A1-D6FC-4f65-9D91-7224C49458BB}">
                  <c15:layout>
                    <c:manualLayout>
                      <c:w val="0.15450809273840771"/>
                      <c:h val="3.7953484981044033E-2"/>
                    </c:manualLayout>
                  </c15:layout>
                </c:ext>
                <c:ext xmlns:c16="http://schemas.microsoft.com/office/drawing/2014/chart" uri="{C3380CC4-5D6E-409C-BE32-E72D297353CC}">
                  <c16:uniqueId val="{0000000D-29A6-4CD1-A6BA-2CD2685ACCB7}"/>
                </c:ext>
              </c:extLst>
            </c:dLbl>
            <c:dLbl>
              <c:idx val="53"/>
              <c:layout>
                <c:manualLayout>
                  <c:x val="-8.3333333333333332E-3"/>
                  <c:y val="0.3796296296296296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9A6-4CD1-A6BA-2CD2685ACCB7}"/>
                </c:ext>
              </c:extLst>
            </c:dLbl>
            <c:dLbl>
              <c:idx val="57"/>
              <c:layout>
                <c:manualLayout>
                  <c:x val="-0.12777777777777788"/>
                  <c:y val="0.10648148148148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A6-4CD1-A6BA-2CD2685ACCB7}"/>
                </c:ext>
              </c:extLst>
            </c:dLbl>
            <c:dLbl>
              <c:idx val="59"/>
              <c:layout>
                <c:manualLayout>
                  <c:x val="-0.51944444444444449"/>
                  <c:y val="-0.16666648439778359"/>
                </c:manualLayout>
              </c:layout>
              <c:showLegendKey val="0"/>
              <c:showVal val="1"/>
              <c:showCatName val="1"/>
              <c:showSerName val="0"/>
              <c:showPercent val="0"/>
              <c:showBubbleSize val="0"/>
              <c:extLst>
                <c:ext xmlns:c15="http://schemas.microsoft.com/office/drawing/2012/chart" uri="{CE6537A1-D6FC-4f65-9D91-7224C49458BB}">
                  <c15:layout>
                    <c:manualLayout>
                      <c:w val="0.1401609798775153"/>
                      <c:h val="4.7212744240303292E-2"/>
                    </c:manualLayout>
                  </c15:layout>
                </c:ext>
                <c:ext xmlns:c16="http://schemas.microsoft.com/office/drawing/2014/chart" uri="{C3380CC4-5D6E-409C-BE32-E72D297353CC}">
                  <c16:uniqueId val="{00000010-29A6-4CD1-A6BA-2CD2685ACCB7}"/>
                </c:ext>
              </c:extLst>
            </c:dLbl>
            <c:dLbl>
              <c:idx val="6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A6-4CD1-A6BA-2CD2685ACCB7}"/>
                </c:ext>
              </c:extLst>
            </c:dLbl>
            <c:dLbl>
              <c:idx val="61"/>
              <c:layout>
                <c:manualLayout>
                  <c:x val="-0.12222222222222222"/>
                  <c:y val="-0.15509259259259259"/>
                </c:manualLayout>
              </c:layout>
              <c:showLegendKey val="0"/>
              <c:showVal val="1"/>
              <c:showCatName val="1"/>
              <c:showSerName val="0"/>
              <c:showPercent val="0"/>
              <c:showBubbleSize val="0"/>
              <c:extLst>
                <c:ext xmlns:c15="http://schemas.microsoft.com/office/drawing/2012/chart" uri="{CE6537A1-D6FC-4f65-9D91-7224C49458BB}">
                  <c15:layout>
                    <c:manualLayout>
                      <c:w val="0.13767869641294839"/>
                      <c:h val="3.3323855351414404E-2"/>
                    </c:manualLayout>
                  </c15:layout>
                </c:ext>
                <c:ext xmlns:c16="http://schemas.microsoft.com/office/drawing/2014/chart" uri="{C3380CC4-5D6E-409C-BE32-E72D297353CC}">
                  <c16:uniqueId val="{00000012-29A6-4CD1-A6BA-2CD2685ACCB7}"/>
                </c:ext>
              </c:extLst>
            </c:dLbl>
            <c:dLbl>
              <c:idx val="64"/>
              <c:layout>
                <c:manualLayout>
                  <c:x val="-0.10555555555555556"/>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9A6-4CD1-A6BA-2CD2685ACCB7}"/>
                </c:ext>
              </c:extLst>
            </c:dLbl>
            <c:dLbl>
              <c:idx val="71"/>
              <c:layout>
                <c:manualLayout>
                  <c:x val="8.3333333333331303E-3"/>
                  <c:y val="0.2546294473607465"/>
                </c:manualLayout>
              </c:layout>
              <c:showLegendKey val="0"/>
              <c:showVal val="1"/>
              <c:showCatName val="1"/>
              <c:showSerName val="0"/>
              <c:showPercent val="0"/>
              <c:showBubbleSize val="0"/>
              <c:extLst>
                <c:ext xmlns:c15="http://schemas.microsoft.com/office/drawing/2012/chart" uri="{CE6537A1-D6FC-4f65-9D91-7224C49458BB}">
                  <c15:layout>
                    <c:manualLayout>
                      <c:w val="0.14885629921259844"/>
                      <c:h val="3.7953484981044033E-2"/>
                    </c:manualLayout>
                  </c15:layout>
                </c:ext>
                <c:ext xmlns:c16="http://schemas.microsoft.com/office/drawing/2014/chart" uri="{C3380CC4-5D6E-409C-BE32-E72D297353CC}">
                  <c16:uniqueId val="{00000014-29A6-4CD1-A6BA-2CD2685ACCB7}"/>
                </c:ext>
              </c:extLst>
            </c:dLbl>
            <c:dLbl>
              <c:idx val="73"/>
              <c:layout>
                <c:manualLayout>
                  <c:x val="-4.4444444444444446E-2"/>
                  <c:y val="-0.2222222222222222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9A6-4CD1-A6BA-2CD2685ACCB7}"/>
                </c:ext>
              </c:extLst>
            </c:dLbl>
            <c:dLbl>
              <c:idx val="75"/>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9A6-4CD1-A6BA-2CD2685ACCB7}"/>
                </c:ext>
              </c:extLst>
            </c:dLbl>
            <c:dLbl>
              <c:idx val="77"/>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9A6-4CD1-A6BA-2CD2685ACCB7}"/>
                </c:ext>
              </c:extLst>
            </c:dLbl>
            <c:dLbl>
              <c:idx val="7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9A6-4CD1-A6BA-2CD2685ACCB7}"/>
                </c:ext>
              </c:extLst>
            </c:dLbl>
            <c:dLbl>
              <c:idx val="79"/>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9A6-4CD1-A6BA-2CD2685ACCB7}"/>
                </c:ext>
              </c:extLst>
            </c:dLbl>
            <c:dLbl>
              <c:idx val="8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9A6-4CD1-A6BA-2CD2685ACCB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scatter'!$P$3:$P$83</c:f>
              <c:numCache>
                <c:formatCode>0.00</c:formatCode>
                <c:ptCount val="81"/>
                <c:pt idx="0">
                  <c:v>2.5</c:v>
                </c:pt>
                <c:pt idx="1">
                  <c:v>2.2999999999999998</c:v>
                </c:pt>
                <c:pt idx="2">
                  <c:v>3.7</c:v>
                </c:pt>
                <c:pt idx="3">
                  <c:v>2.9</c:v>
                </c:pt>
                <c:pt idx="4">
                  <c:v>3.3</c:v>
                </c:pt>
                <c:pt idx="5">
                  <c:v>3.8</c:v>
                </c:pt>
                <c:pt idx="6">
                  <c:v>3.1</c:v>
                </c:pt>
                <c:pt idx="7">
                  <c:v>3.3</c:v>
                </c:pt>
                <c:pt idx="8">
                  <c:v>3.5</c:v>
                </c:pt>
                <c:pt idx="9">
                  <c:v>2.5</c:v>
                </c:pt>
                <c:pt idx="10">
                  <c:v>4</c:v>
                </c:pt>
                <c:pt idx="11">
                  <c:v>2.7</c:v>
                </c:pt>
                <c:pt idx="12">
                  <c:v>2.9</c:v>
                </c:pt>
                <c:pt idx="13">
                  <c:v>2.2000000000000002</c:v>
                </c:pt>
                <c:pt idx="14">
                  <c:v>2.7</c:v>
                </c:pt>
                <c:pt idx="15">
                  <c:v>2.6</c:v>
                </c:pt>
                <c:pt idx="16">
                  <c:v>2.5</c:v>
                </c:pt>
                <c:pt idx="17">
                  <c:v>2.5</c:v>
                </c:pt>
                <c:pt idx="18">
                  <c:v>3.1</c:v>
                </c:pt>
                <c:pt idx="19">
                  <c:v>2.7</c:v>
                </c:pt>
                <c:pt idx="20">
                  <c:v>3.8</c:v>
                </c:pt>
                <c:pt idx="21">
                  <c:v>2.5</c:v>
                </c:pt>
                <c:pt idx="22">
                  <c:v>3.5</c:v>
                </c:pt>
                <c:pt idx="23">
                  <c:v>2.9</c:v>
                </c:pt>
                <c:pt idx="25">
                  <c:v>3.7</c:v>
                </c:pt>
                <c:pt idx="26">
                  <c:v>2.8</c:v>
                </c:pt>
                <c:pt idx="27">
                  <c:v>2.9</c:v>
                </c:pt>
                <c:pt idx="28">
                  <c:v>2.2000000000000002</c:v>
                </c:pt>
                <c:pt idx="29">
                  <c:v>3.5</c:v>
                </c:pt>
                <c:pt idx="30">
                  <c:v>3.1</c:v>
                </c:pt>
                <c:pt idx="31">
                  <c:v>3.1</c:v>
                </c:pt>
                <c:pt idx="32">
                  <c:v>2.4</c:v>
                </c:pt>
                <c:pt idx="33">
                  <c:v>3.6</c:v>
                </c:pt>
                <c:pt idx="34">
                  <c:v>3.4</c:v>
                </c:pt>
                <c:pt idx="35">
                  <c:v>3.2</c:v>
                </c:pt>
                <c:pt idx="36">
                  <c:v>3.2</c:v>
                </c:pt>
                <c:pt idx="37">
                  <c:v>3.3</c:v>
                </c:pt>
                <c:pt idx="38">
                  <c:v>3.1</c:v>
                </c:pt>
                <c:pt idx="39">
                  <c:v>3.3</c:v>
                </c:pt>
                <c:pt idx="40">
                  <c:v>2.9</c:v>
                </c:pt>
                <c:pt idx="41">
                  <c:v>3.7</c:v>
                </c:pt>
                <c:pt idx="42">
                  <c:v>3.4</c:v>
                </c:pt>
                <c:pt idx="43">
                  <c:v>3.4</c:v>
                </c:pt>
                <c:pt idx="44">
                  <c:v>2.7</c:v>
                </c:pt>
                <c:pt idx="45">
                  <c:v>3.1</c:v>
                </c:pt>
                <c:pt idx="46">
                  <c:v>2.8</c:v>
                </c:pt>
                <c:pt idx="47">
                  <c:v>3</c:v>
                </c:pt>
                <c:pt idx="48">
                  <c:v>3</c:v>
                </c:pt>
                <c:pt idx="49">
                  <c:v>3.4</c:v>
                </c:pt>
                <c:pt idx="50">
                  <c:v>3.2</c:v>
                </c:pt>
                <c:pt idx="51">
                  <c:v>3.2</c:v>
                </c:pt>
                <c:pt idx="52">
                  <c:v>3.1</c:v>
                </c:pt>
                <c:pt idx="53">
                  <c:v>3.2</c:v>
                </c:pt>
                <c:pt idx="54">
                  <c:v>2.8</c:v>
                </c:pt>
                <c:pt idx="55">
                  <c:v>3.3</c:v>
                </c:pt>
                <c:pt idx="56">
                  <c:v>3.1</c:v>
                </c:pt>
                <c:pt idx="57">
                  <c:v>3.1</c:v>
                </c:pt>
                <c:pt idx="58">
                  <c:v>2.9</c:v>
                </c:pt>
                <c:pt idx="59">
                  <c:v>3.7</c:v>
                </c:pt>
                <c:pt idx="60">
                  <c:v>2.2000000000000002</c:v>
                </c:pt>
                <c:pt idx="61">
                  <c:v>3.6</c:v>
                </c:pt>
                <c:pt idx="62">
                  <c:v>2.7</c:v>
                </c:pt>
                <c:pt idx="63">
                  <c:v>3.1</c:v>
                </c:pt>
                <c:pt idx="64">
                  <c:v>1.7</c:v>
                </c:pt>
                <c:pt idx="65">
                  <c:v>3.1</c:v>
                </c:pt>
                <c:pt idx="66">
                  <c:v>2.6</c:v>
                </c:pt>
                <c:pt idx="67">
                  <c:v>2.9</c:v>
                </c:pt>
                <c:pt idx="68">
                  <c:v>2.5</c:v>
                </c:pt>
                <c:pt idx="69">
                  <c:v>3.7</c:v>
                </c:pt>
                <c:pt idx="70">
                  <c:v>3.2</c:v>
                </c:pt>
                <c:pt idx="71">
                  <c:v>3.3</c:v>
                </c:pt>
                <c:pt idx="72">
                  <c:v>3.1</c:v>
                </c:pt>
                <c:pt idx="73">
                  <c:v>3.2</c:v>
                </c:pt>
                <c:pt idx="74">
                  <c:v>3.7</c:v>
                </c:pt>
                <c:pt idx="75">
                  <c:v>3.5</c:v>
                </c:pt>
                <c:pt idx="76">
                  <c:v>3.3</c:v>
                </c:pt>
                <c:pt idx="77">
                  <c:v>4.0999999999999996</c:v>
                </c:pt>
                <c:pt idx="78">
                  <c:v>2.4</c:v>
                </c:pt>
                <c:pt idx="79">
                  <c:v>3.2</c:v>
                </c:pt>
                <c:pt idx="80">
                  <c:v>2.8</c:v>
                </c:pt>
              </c:numCache>
            </c:numRef>
          </c:yVal>
          <c:smooth val="0"/>
          <c:extLst>
            <c:ext xmlns:c16="http://schemas.microsoft.com/office/drawing/2014/chart" uri="{C3380CC4-5D6E-409C-BE32-E72D297353CC}">
              <c16:uniqueId val="{0000001B-29A6-4CD1-A6BA-2CD2685ACCB7}"/>
            </c:ext>
          </c:extLst>
        </c:ser>
        <c:dLbls>
          <c:showLegendKey val="0"/>
          <c:showVal val="0"/>
          <c:showCatName val="0"/>
          <c:showSerName val="0"/>
          <c:showPercent val="0"/>
          <c:showBubbleSize val="0"/>
        </c:dLbls>
        <c:axId val="1666869760"/>
        <c:axId val="1666856448"/>
      </c:scatterChart>
      <c:valAx>
        <c:axId val="1666869760"/>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66856448"/>
        <c:crosses val="autoZero"/>
        <c:crossBetween val="midCat"/>
      </c:valAx>
      <c:valAx>
        <c:axId val="1666856448"/>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666869760"/>
        <c:crosses val="autoZero"/>
        <c:crossBetween val="midCat"/>
      </c:valAx>
      <c:spPr>
        <a:noFill/>
        <a:ln>
          <a:noFill/>
        </a:ln>
        <a:effectLst/>
      </c:spPr>
    </c:plotArea>
    <c:plotVisOnly val="1"/>
    <c:dispBlanksAs val="gap"/>
    <c:showDLblsOverMax val="0"/>
  </c:chart>
  <c:spPr>
    <a:gradFill flip="none" rotWithShape="1">
      <a:gsLst>
        <a:gs pos="0">
          <a:srgbClr val="DEA3A2">
            <a:tint val="66000"/>
            <a:satMod val="160000"/>
          </a:srgbClr>
        </a:gs>
        <a:gs pos="50000">
          <a:srgbClr val="DEA3A2">
            <a:tint val="44500"/>
            <a:satMod val="160000"/>
          </a:srgbClr>
        </a:gs>
        <a:gs pos="100000">
          <a:srgbClr val="DEA3A2">
            <a:tint val="23500"/>
            <a:satMod val="160000"/>
          </a:srgbClr>
        </a:gs>
      </a:gsLst>
      <a:lin ang="2700000" scaled="1"/>
      <a:tileRect/>
    </a:gra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CPIA transparency, accountability, and corruption in the public sector rating</a:t>
            </a:r>
            <a:r>
              <a:rPr lang="en-US" sz="1200"/>
              <a:t> </a:t>
            </a:r>
          </a:p>
          <a:p>
            <a:pPr>
              <a:defRPr/>
            </a:pPr>
            <a:r>
              <a:rPr lang="en-US" sz="900"/>
              <a:t>(1=low to 6=high)</a:t>
            </a:r>
          </a:p>
        </c:rich>
      </c:tx>
      <c:layout>
        <c:manualLayout>
          <c:xMode val="edge"/>
          <c:yMode val="edge"/>
          <c:x val="0.1282430008748906"/>
          <c:y val="2.30840258541089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'CPIA scatter'!$V$2</c:f>
              <c:strCache>
                <c:ptCount val="1"/>
                <c:pt idx="0">
                  <c:v>CPIA transparency, accountability, and corruption in the public sector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0"/>
              <c:layout>
                <c:manualLayout>
                  <c:x val="-5.8333333333333334E-2"/>
                  <c:y val="0.1500461680517082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700262467191604"/>
                      <c:h val="4.8362670040206196E-2"/>
                    </c:manualLayout>
                  </c15:layout>
                </c:ext>
                <c:ext xmlns:c16="http://schemas.microsoft.com/office/drawing/2014/chart" uri="{C3380CC4-5D6E-409C-BE32-E72D297353CC}">
                  <c16:uniqueId val="{00000000-5909-4ADC-A7CD-5C1FE5A3CA0F}"/>
                </c:ext>
              </c:extLst>
            </c:dLbl>
            <c:dLbl>
              <c:idx val="1"/>
              <c:layout>
                <c:manualLayout>
                  <c:x val="0.14722222222222217"/>
                  <c:y val="0.28393351800554018"/>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794466316710411"/>
                      <c:h val="3.9129059698562611E-2"/>
                    </c:manualLayout>
                  </c15:layout>
                </c:ext>
                <c:ext xmlns:c16="http://schemas.microsoft.com/office/drawing/2014/chart" uri="{C3380CC4-5D6E-409C-BE32-E72D297353CC}">
                  <c16:uniqueId val="{00000001-5909-4ADC-A7CD-5C1FE5A3CA0F}"/>
                </c:ext>
              </c:extLst>
            </c:dLbl>
            <c:dLbl>
              <c:idx val="3"/>
              <c:layout>
                <c:manualLayout>
                  <c:x val="0.23055555555555557"/>
                  <c:y val="0.2192982456140349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848906386701662"/>
                      <c:h val="4.8362670040206196E-2"/>
                    </c:manualLayout>
                  </c15:layout>
                </c:ext>
                <c:ext xmlns:c16="http://schemas.microsoft.com/office/drawing/2014/chart" uri="{C3380CC4-5D6E-409C-BE32-E72D297353CC}">
                  <c16:uniqueId val="{00000002-5909-4ADC-A7CD-5C1FE5A3CA0F}"/>
                </c:ext>
              </c:extLst>
            </c:dLbl>
            <c:dLbl>
              <c:idx val="5"/>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09-4ADC-A7CD-5C1FE5A3CA0F}"/>
                </c:ext>
              </c:extLst>
            </c:dLbl>
            <c:dLbl>
              <c:idx val="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09-4ADC-A7CD-5C1FE5A3CA0F}"/>
                </c:ext>
              </c:extLst>
            </c:dLbl>
            <c:dLbl>
              <c:idx val="9"/>
              <c:layout>
                <c:manualLayout>
                  <c:x val="-6.6666666666666666E-2"/>
                  <c:y val="8.771929824561411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63733595800525"/>
                      <c:h val="4.8362670040206196E-2"/>
                    </c:manualLayout>
                  </c15:layout>
                </c:ext>
                <c:ext xmlns:c16="http://schemas.microsoft.com/office/drawing/2014/chart" uri="{C3380CC4-5D6E-409C-BE32-E72D297353CC}">
                  <c16:uniqueId val="{00000005-5909-4ADC-A7CD-5C1FE5A3CA0F}"/>
                </c:ext>
              </c:extLst>
            </c:dLbl>
            <c:dLbl>
              <c:idx val="26"/>
              <c:layout>
                <c:manualLayout>
                  <c:x val="-6.9444444444444448E-2"/>
                  <c:y val="0.1569713758079409"/>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652821522309711"/>
                      <c:h val="3.9129059698562611E-2"/>
                    </c:manualLayout>
                  </c15:layout>
                </c:ext>
                <c:ext xmlns:c16="http://schemas.microsoft.com/office/drawing/2014/chart" uri="{C3380CC4-5D6E-409C-BE32-E72D297353CC}">
                  <c16:uniqueId val="{00000006-5909-4ADC-A7CD-5C1FE5A3CA0F}"/>
                </c:ext>
              </c:extLst>
            </c:dLbl>
            <c:dLbl>
              <c:idx val="30"/>
              <c:layout>
                <c:manualLayout>
                  <c:x val="-0.11388888888888889"/>
                  <c:y val="-0.2446906740535549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09-4ADC-A7CD-5C1FE5A3CA0F}"/>
                </c:ext>
              </c:extLst>
            </c:dLbl>
            <c:dLbl>
              <c:idx val="33"/>
              <c:layout>
                <c:manualLayout>
                  <c:x val="-2.7777777777777779E-3"/>
                  <c:y val="-7.386888273314870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549146981627296"/>
                      <c:h val="4.3745864869384407E-2"/>
                    </c:manualLayout>
                  </c15:layout>
                </c:ext>
                <c:ext xmlns:c16="http://schemas.microsoft.com/office/drawing/2014/chart" uri="{C3380CC4-5D6E-409C-BE32-E72D297353CC}">
                  <c16:uniqueId val="{00000008-5909-4ADC-A7CD-5C1FE5A3CA0F}"/>
                </c:ext>
              </c:extLst>
            </c:dLbl>
            <c:dLbl>
              <c:idx val="42"/>
              <c:layout>
                <c:manualLayout>
                  <c:x val="-0.16111111111111107"/>
                  <c:y val="0.1662049861495843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247353455818024"/>
                      <c:h val="3.4512254527740822E-2"/>
                    </c:manualLayout>
                  </c15:layout>
                </c:ext>
                <c:ext xmlns:c16="http://schemas.microsoft.com/office/drawing/2014/chart" uri="{C3380CC4-5D6E-409C-BE32-E72D297353CC}">
                  <c16:uniqueId val="{00000009-5909-4ADC-A7CD-5C1FE5A3CA0F}"/>
                </c:ext>
              </c:extLst>
            </c:dLbl>
            <c:dLbl>
              <c:idx val="48"/>
              <c:layout>
                <c:manualLayout>
                  <c:x val="2.5000000000000001E-2"/>
                  <c:y val="0.120036934441366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09-4ADC-A7CD-5C1FE5A3CA0F}"/>
                </c:ext>
              </c:extLst>
            </c:dLbl>
            <c:dLbl>
              <c:idx val="49"/>
              <c:layout>
                <c:manualLayout>
                  <c:x val="-7.5000000000000108E-2"/>
                  <c:y val="-0.1708217913204063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09-4ADC-A7CD-5C1FE5A3CA0F}"/>
                </c:ext>
              </c:extLst>
            </c:dLbl>
            <c:dLbl>
              <c:idx val="50"/>
              <c:layout>
                <c:manualLayout>
                  <c:x val="-9.5833333333333423E-2"/>
                  <c:y val="0.168513388734995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244247594050738"/>
                      <c:h val="5.042169244079947E-2"/>
                    </c:manualLayout>
                  </c15:layout>
                </c:ext>
                <c:ext xmlns:c16="http://schemas.microsoft.com/office/drawing/2014/chart" uri="{C3380CC4-5D6E-409C-BE32-E72D297353CC}">
                  <c16:uniqueId val="{0000000C-5909-4ADC-A7CD-5C1FE5A3CA0F}"/>
                </c:ext>
              </c:extLst>
            </c:dLbl>
            <c:dLbl>
              <c:idx val="56"/>
              <c:layout>
                <c:manualLayout>
                  <c:x val="0.18611122047244083"/>
                  <c:y val="0.2654662973222530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390616797900259"/>
                      <c:h val="3.9129059698562611E-2"/>
                    </c:manualLayout>
                  </c15:layout>
                </c:ext>
                <c:ext xmlns:c16="http://schemas.microsoft.com/office/drawing/2014/chart" uri="{C3380CC4-5D6E-409C-BE32-E72D297353CC}">
                  <c16:uniqueId val="{0000000D-5909-4ADC-A7CD-5C1FE5A3CA0F}"/>
                </c:ext>
              </c:extLst>
            </c:dLbl>
            <c:dLbl>
              <c:idx val="57"/>
              <c:layout>
                <c:manualLayout>
                  <c:x val="0.11666666666666667"/>
                  <c:y val="-0.3324099722991690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09-4ADC-A7CD-5C1FE5A3CA0F}"/>
                </c:ext>
              </c:extLst>
            </c:dLbl>
            <c:dLbl>
              <c:idx val="59"/>
              <c:layout>
                <c:manualLayout>
                  <c:x val="-0.10277777777777788"/>
                  <c:y val="-9.69529085872576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09-4ADC-A7CD-5C1FE5A3CA0F}"/>
                </c:ext>
              </c:extLst>
            </c:dLbl>
            <c:dLbl>
              <c:idx val="61"/>
              <c:layout>
                <c:manualLayout>
                  <c:x val="0.05"/>
                  <c:y val="-0.1569713758079409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909-4ADC-A7CD-5C1FE5A3CA0F}"/>
                </c:ext>
              </c:extLst>
            </c:dLbl>
            <c:dLbl>
              <c:idx val="63"/>
              <c:layout>
                <c:manualLayout>
                  <c:x val="-0.67361111111111116"/>
                  <c:y val="-0.28162511542012925"/>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89083552055993"/>
                      <c:h val="4.5804887269977682E-2"/>
                    </c:manualLayout>
                  </c15:layout>
                </c:ext>
                <c:ext xmlns:c16="http://schemas.microsoft.com/office/drawing/2014/chart" uri="{C3380CC4-5D6E-409C-BE32-E72D297353CC}">
                  <c16:uniqueId val="{00000011-5909-4ADC-A7CD-5C1FE5A3CA0F}"/>
                </c:ext>
              </c:extLst>
            </c:dLbl>
            <c:dLbl>
              <c:idx val="64"/>
              <c:layout>
                <c:manualLayout>
                  <c:x val="6.1111111111111012E-2"/>
                  <c:y val="0.13619575253924285"/>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03433945756783"/>
                      <c:h val="5.042169244079947E-2"/>
                    </c:manualLayout>
                  </c15:layout>
                </c:ext>
                <c:ext xmlns:c16="http://schemas.microsoft.com/office/drawing/2014/chart" uri="{C3380CC4-5D6E-409C-BE32-E72D297353CC}">
                  <c16:uniqueId val="{00000012-5909-4ADC-A7CD-5C1FE5A3CA0F}"/>
                </c:ext>
              </c:extLst>
            </c:dLbl>
            <c:dLbl>
              <c:idx val="77"/>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909-4ADC-A7CD-5C1FE5A3CA0F}"/>
                </c:ext>
              </c:extLst>
            </c:dLbl>
            <c:dLbl>
              <c:idx val="78"/>
              <c:layout>
                <c:manualLayout>
                  <c:x val="0"/>
                  <c:y val="-1.38504155124653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909-4ADC-A7CD-5C1FE5A3CA0F}"/>
                </c:ext>
              </c:extLst>
            </c:dLbl>
            <c:dLbl>
              <c:idx val="79"/>
              <c:layout>
                <c:manualLayout>
                  <c:x val="-1.0185067526415994E-16"/>
                  <c:y val="-4.61680517082179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909-4ADC-A7CD-5C1FE5A3CA0F}"/>
                </c:ext>
              </c:extLst>
            </c:dLbl>
            <c:dLbl>
              <c:idx val="80"/>
              <c:layout>
                <c:manualLayout>
                  <c:x val="0"/>
                  <c:y val="-6.925207756232687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909-4ADC-A7CD-5C1FE5A3CA0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scatter'!$V$3:$V$83</c:f>
              <c:numCache>
                <c:formatCode>0.00</c:formatCode>
                <c:ptCount val="81"/>
                <c:pt idx="0">
                  <c:v>2</c:v>
                </c:pt>
                <c:pt idx="1">
                  <c:v>2.5</c:v>
                </c:pt>
                <c:pt idx="2">
                  <c:v>3.5</c:v>
                </c:pt>
                <c:pt idx="3">
                  <c:v>2.5</c:v>
                </c:pt>
                <c:pt idx="4">
                  <c:v>3.5</c:v>
                </c:pt>
                <c:pt idx="5">
                  <c:v>4.5</c:v>
                </c:pt>
                <c:pt idx="6">
                  <c:v>3</c:v>
                </c:pt>
                <c:pt idx="7">
                  <c:v>3</c:v>
                </c:pt>
                <c:pt idx="8">
                  <c:v>3.5</c:v>
                </c:pt>
                <c:pt idx="9">
                  <c:v>2</c:v>
                </c:pt>
                <c:pt idx="10">
                  <c:v>4.5</c:v>
                </c:pt>
                <c:pt idx="11">
                  <c:v>2</c:v>
                </c:pt>
                <c:pt idx="12">
                  <c:v>2.5</c:v>
                </c:pt>
                <c:pt idx="13">
                  <c:v>2.5</c:v>
                </c:pt>
                <c:pt idx="14">
                  <c:v>2.5</c:v>
                </c:pt>
                <c:pt idx="15">
                  <c:v>2.5</c:v>
                </c:pt>
                <c:pt idx="16">
                  <c:v>2</c:v>
                </c:pt>
                <c:pt idx="17">
                  <c:v>2</c:v>
                </c:pt>
                <c:pt idx="18">
                  <c:v>3</c:v>
                </c:pt>
                <c:pt idx="19">
                  <c:v>2.5</c:v>
                </c:pt>
                <c:pt idx="20">
                  <c:v>4</c:v>
                </c:pt>
                <c:pt idx="21">
                  <c:v>2</c:v>
                </c:pt>
                <c:pt idx="22">
                  <c:v>3</c:v>
                </c:pt>
                <c:pt idx="23">
                  <c:v>3.5</c:v>
                </c:pt>
                <c:pt idx="25">
                  <c:v>3.5</c:v>
                </c:pt>
                <c:pt idx="26">
                  <c:v>2.5</c:v>
                </c:pt>
                <c:pt idx="27">
                  <c:v>2</c:v>
                </c:pt>
                <c:pt idx="28">
                  <c:v>2</c:v>
                </c:pt>
                <c:pt idx="29">
                  <c:v>4</c:v>
                </c:pt>
                <c:pt idx="30">
                  <c:v>3</c:v>
                </c:pt>
                <c:pt idx="31">
                  <c:v>3</c:v>
                </c:pt>
                <c:pt idx="32">
                  <c:v>2.5</c:v>
                </c:pt>
                <c:pt idx="33">
                  <c:v>3.5</c:v>
                </c:pt>
                <c:pt idx="34">
                  <c:v>3</c:v>
                </c:pt>
                <c:pt idx="35">
                  <c:v>3</c:v>
                </c:pt>
                <c:pt idx="36">
                  <c:v>3.5</c:v>
                </c:pt>
                <c:pt idx="37">
                  <c:v>3</c:v>
                </c:pt>
                <c:pt idx="38">
                  <c:v>2.5</c:v>
                </c:pt>
                <c:pt idx="39">
                  <c:v>3</c:v>
                </c:pt>
                <c:pt idx="40">
                  <c:v>3</c:v>
                </c:pt>
                <c:pt idx="41">
                  <c:v>4.5</c:v>
                </c:pt>
                <c:pt idx="42">
                  <c:v>3</c:v>
                </c:pt>
                <c:pt idx="43">
                  <c:v>2.5</c:v>
                </c:pt>
                <c:pt idx="44">
                  <c:v>2.5</c:v>
                </c:pt>
                <c:pt idx="45">
                  <c:v>3</c:v>
                </c:pt>
                <c:pt idx="46">
                  <c:v>3.5</c:v>
                </c:pt>
                <c:pt idx="47">
                  <c:v>3</c:v>
                </c:pt>
                <c:pt idx="48">
                  <c:v>3</c:v>
                </c:pt>
                <c:pt idx="49">
                  <c:v>3.5</c:v>
                </c:pt>
                <c:pt idx="50">
                  <c:v>2.5</c:v>
                </c:pt>
                <c:pt idx="51">
                  <c:v>3</c:v>
                </c:pt>
                <c:pt idx="52">
                  <c:v>2.5</c:v>
                </c:pt>
                <c:pt idx="53">
                  <c:v>3</c:v>
                </c:pt>
                <c:pt idx="54">
                  <c:v>3</c:v>
                </c:pt>
                <c:pt idx="55">
                  <c:v>3</c:v>
                </c:pt>
                <c:pt idx="56">
                  <c:v>3</c:v>
                </c:pt>
                <c:pt idx="57">
                  <c:v>3</c:v>
                </c:pt>
                <c:pt idx="58">
                  <c:v>3</c:v>
                </c:pt>
                <c:pt idx="59">
                  <c:v>3.5</c:v>
                </c:pt>
                <c:pt idx="60">
                  <c:v>1.5</c:v>
                </c:pt>
                <c:pt idx="61">
                  <c:v>3.5</c:v>
                </c:pt>
                <c:pt idx="62">
                  <c:v>3</c:v>
                </c:pt>
                <c:pt idx="63">
                  <c:v>3</c:v>
                </c:pt>
                <c:pt idx="64">
                  <c:v>1.5</c:v>
                </c:pt>
                <c:pt idx="65">
                  <c:v>3.5</c:v>
                </c:pt>
                <c:pt idx="66">
                  <c:v>2.5</c:v>
                </c:pt>
                <c:pt idx="67">
                  <c:v>2.5</c:v>
                </c:pt>
                <c:pt idx="68">
                  <c:v>2.5</c:v>
                </c:pt>
                <c:pt idx="69">
                  <c:v>3.5</c:v>
                </c:pt>
                <c:pt idx="70">
                  <c:v>3.5</c:v>
                </c:pt>
                <c:pt idx="71">
                  <c:v>3</c:v>
                </c:pt>
                <c:pt idx="72">
                  <c:v>2</c:v>
                </c:pt>
                <c:pt idx="73">
                  <c:v>2</c:v>
                </c:pt>
                <c:pt idx="74">
                  <c:v>4</c:v>
                </c:pt>
                <c:pt idx="75">
                  <c:v>3</c:v>
                </c:pt>
                <c:pt idx="76">
                  <c:v>3</c:v>
                </c:pt>
                <c:pt idx="77">
                  <c:v>4</c:v>
                </c:pt>
                <c:pt idx="78">
                  <c:v>1.5</c:v>
                </c:pt>
                <c:pt idx="79">
                  <c:v>3</c:v>
                </c:pt>
                <c:pt idx="80">
                  <c:v>2</c:v>
                </c:pt>
              </c:numCache>
            </c:numRef>
          </c:yVal>
          <c:smooth val="0"/>
          <c:extLst>
            <c:ext xmlns:c16="http://schemas.microsoft.com/office/drawing/2014/chart" uri="{C3380CC4-5D6E-409C-BE32-E72D297353CC}">
              <c16:uniqueId val="{00000017-5909-4ADC-A7CD-5C1FE5A3CA0F}"/>
            </c:ext>
          </c:extLst>
        </c:ser>
        <c:dLbls>
          <c:showLegendKey val="0"/>
          <c:showVal val="0"/>
          <c:showCatName val="0"/>
          <c:showSerName val="0"/>
          <c:showPercent val="0"/>
          <c:showBubbleSize val="0"/>
        </c:dLbls>
        <c:axId val="1546633392"/>
        <c:axId val="1546652112"/>
      </c:scatterChart>
      <c:valAx>
        <c:axId val="1546633392"/>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6652112"/>
        <c:crosses val="autoZero"/>
        <c:crossBetween val="midCat"/>
      </c:valAx>
      <c:valAx>
        <c:axId val="1546652112"/>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6633392"/>
        <c:crosses val="autoZero"/>
        <c:crossBetween val="midCat"/>
      </c:valAx>
      <c:spPr>
        <a:noFill/>
        <a:ln>
          <a:noFill/>
        </a:ln>
        <a:effectLst/>
      </c:spPr>
    </c:plotArea>
    <c:plotVisOnly val="1"/>
    <c:dispBlanksAs val="gap"/>
    <c:showDLblsOverMax val="0"/>
  </c:chart>
  <c:spPr>
    <a:gradFill flip="none" rotWithShape="1">
      <a:gsLst>
        <a:gs pos="0">
          <a:srgbClr val="DEA3A2">
            <a:tint val="66000"/>
            <a:satMod val="160000"/>
          </a:srgbClr>
        </a:gs>
        <a:gs pos="50000">
          <a:srgbClr val="DEA3A2">
            <a:tint val="44500"/>
            <a:satMod val="160000"/>
          </a:srgbClr>
        </a:gs>
        <a:gs pos="100000">
          <a:srgbClr val="DEA3A2">
            <a:tint val="23500"/>
            <a:satMod val="160000"/>
          </a:srgbClr>
        </a:gs>
      </a:gsLst>
      <a:lin ang="27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200">
                <a:latin typeface="Times New Roman" panose="02020603050405020304" pitchFamily="18" charset="0"/>
                <a:cs typeface="Times New Roman" panose="02020603050405020304" pitchFamily="18" charset="0"/>
              </a:rPr>
              <a:t>Figure 25: How Bangladesh and comparator economies rank on the ease of doing business 2016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'Doing business in Bangladesh'!$H$62:$H$67</c:f>
              <c:strCache>
                <c:ptCount val="6"/>
                <c:pt idx="0">
                  <c:v>United Kingdom (Rank 7)</c:v>
                </c:pt>
                <c:pt idx="1">
                  <c:v>Sri Lanka (Rank 110)</c:v>
                </c:pt>
                <c:pt idx="2">
                  <c:v>India (Rank 130)</c:v>
                </c:pt>
                <c:pt idx="3">
                  <c:v>Regional average (South Asia)</c:v>
                </c:pt>
                <c:pt idx="4">
                  <c:v>Pakistan (Rank 144)</c:v>
                </c:pt>
                <c:pt idx="5">
                  <c:v>Bangladesh (Rank 176)</c:v>
                </c:pt>
              </c:strCache>
            </c:strRef>
          </c:cat>
          <c:val>
            <c:numRef>
              <c:f>'Doing business in Bangladesh'!$I$62:$I$67</c:f>
              <c:numCache>
                <c:formatCode>General</c:formatCode>
                <c:ptCount val="6"/>
              </c:numCache>
            </c:numRef>
          </c:val>
          <c:extLst>
            <c:ext xmlns:c16="http://schemas.microsoft.com/office/drawing/2014/chart" uri="{C3380CC4-5D6E-409C-BE32-E72D297353CC}">
              <c16:uniqueId val="{00000000-52A9-4B57-B3CF-4E2A5EAA6FAB}"/>
            </c:ext>
          </c:extLst>
        </c:ser>
        <c:ser>
          <c:idx val="1"/>
          <c:order val="1"/>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'Doing business in Bangladesh'!$H$62:$H$67</c:f>
              <c:strCache>
                <c:ptCount val="6"/>
                <c:pt idx="0">
                  <c:v>United Kingdom (Rank 7)</c:v>
                </c:pt>
                <c:pt idx="1">
                  <c:v>Sri Lanka (Rank 110)</c:v>
                </c:pt>
                <c:pt idx="2">
                  <c:v>India (Rank 130)</c:v>
                </c:pt>
                <c:pt idx="3">
                  <c:v>Regional average (South Asia)</c:v>
                </c:pt>
                <c:pt idx="4">
                  <c:v>Pakistan (Rank 144)</c:v>
                </c:pt>
                <c:pt idx="5">
                  <c:v>Bangladesh (Rank 176)</c:v>
                </c:pt>
              </c:strCache>
            </c:strRef>
          </c:cat>
          <c:val>
            <c:numRef>
              <c:f>'Doing business in Bangladesh'!$J$62:$J$67</c:f>
              <c:numCache>
                <c:formatCode>General</c:formatCode>
                <c:ptCount val="6"/>
              </c:numCache>
            </c:numRef>
          </c:val>
          <c:extLst>
            <c:ext xmlns:c16="http://schemas.microsoft.com/office/drawing/2014/chart" uri="{C3380CC4-5D6E-409C-BE32-E72D297353CC}">
              <c16:uniqueId val="{00000001-52A9-4B57-B3CF-4E2A5EAA6FAB}"/>
            </c:ext>
          </c:extLst>
        </c:ser>
        <c:ser>
          <c:idx val="2"/>
          <c:order val="2"/>
          <c:spPr>
            <a:solidFill>
              <a:schemeClr val="accent5">
                <a:alpha val="85000"/>
              </a:schemeClr>
            </a:solidFill>
            <a:ln w="9525" cap="flat" cmpd="sng" algn="ctr">
              <a:solidFill>
                <a:schemeClr val="lt1">
                  <a:alpha val="50000"/>
                </a:schemeClr>
              </a:solidFill>
              <a:round/>
            </a:ln>
            <a:effectLst/>
          </c:spPr>
          <c:invertIfNegative val="0"/>
          <c:dPt>
            <c:idx val="3"/>
            <c:invertIfNegative val="0"/>
            <c:bubble3D val="0"/>
            <c:spPr>
              <a:solidFill>
                <a:schemeClr val="accent2">
                  <a:lumMod val="40000"/>
                  <a:lumOff val="6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52A9-4B57-B3CF-4E2A5EAA6FAB}"/>
              </c:ext>
            </c:extLst>
          </c:dPt>
          <c:dPt>
            <c:idx val="5"/>
            <c:invertIfNegative val="0"/>
            <c:bubble3D val="0"/>
            <c:spPr>
              <a:solidFill>
                <a:srgbClr val="FF6600"/>
              </a:solidFill>
              <a:ln w="9525" cap="flat" cmpd="sng" algn="ctr">
                <a:solidFill>
                  <a:schemeClr val="lt1">
                    <a:alpha val="50000"/>
                  </a:schemeClr>
                </a:solidFill>
                <a:round/>
              </a:ln>
              <a:effectLst/>
            </c:spPr>
            <c:extLst>
              <c:ext xmlns:c16="http://schemas.microsoft.com/office/drawing/2014/chart" uri="{C3380CC4-5D6E-409C-BE32-E72D297353CC}">
                <c16:uniqueId val="{00000005-52A9-4B57-B3CF-4E2A5EAA6FA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'Doing business in Bangladesh'!$H$62:$H$67</c:f>
              <c:strCache>
                <c:ptCount val="6"/>
                <c:pt idx="0">
                  <c:v>United Kingdom (Rank 7)</c:v>
                </c:pt>
                <c:pt idx="1">
                  <c:v>Sri Lanka (Rank 110)</c:v>
                </c:pt>
                <c:pt idx="2">
                  <c:v>India (Rank 130)</c:v>
                </c:pt>
                <c:pt idx="3">
                  <c:v>Regional average (South Asia)</c:v>
                </c:pt>
                <c:pt idx="4">
                  <c:v>Pakistan (Rank 144)</c:v>
                </c:pt>
                <c:pt idx="5">
                  <c:v>Bangladesh (Rank 176)</c:v>
                </c:pt>
              </c:strCache>
            </c:strRef>
          </c:cat>
          <c:val>
            <c:numRef>
              <c:f>'Doing business in Bangladesh'!$K$62:$K$67</c:f>
              <c:numCache>
                <c:formatCode>General</c:formatCode>
                <c:ptCount val="6"/>
                <c:pt idx="0">
                  <c:v>82.74</c:v>
                </c:pt>
                <c:pt idx="1">
                  <c:v>58.79</c:v>
                </c:pt>
                <c:pt idx="2">
                  <c:v>55.27</c:v>
                </c:pt>
                <c:pt idx="3">
                  <c:v>52.87</c:v>
                </c:pt>
                <c:pt idx="4">
                  <c:v>51.77</c:v>
                </c:pt>
                <c:pt idx="5">
                  <c:v>40.840000000000003</c:v>
                </c:pt>
              </c:numCache>
            </c:numRef>
          </c:val>
          <c:extLst>
            <c:ext xmlns:c16="http://schemas.microsoft.com/office/drawing/2014/chart" uri="{C3380CC4-5D6E-409C-BE32-E72D297353CC}">
              <c16:uniqueId val="{00000006-52A9-4B57-B3CF-4E2A5EAA6FAB}"/>
            </c:ext>
          </c:extLst>
        </c:ser>
        <c:dLbls>
          <c:dLblPos val="inEnd"/>
          <c:showLegendKey val="0"/>
          <c:showVal val="1"/>
          <c:showCatName val="0"/>
          <c:showSerName val="0"/>
          <c:showPercent val="0"/>
          <c:showBubbleSize val="0"/>
        </c:dLbls>
        <c:gapWidth val="65"/>
        <c:axId val="963754143"/>
        <c:axId val="963728767"/>
      </c:barChart>
      <c:catAx>
        <c:axId val="96375414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3728767"/>
        <c:crosses val="autoZero"/>
        <c:auto val="1"/>
        <c:lblAlgn val="ctr"/>
        <c:lblOffset val="100"/>
        <c:noMultiLvlLbl val="0"/>
      </c:catAx>
      <c:valAx>
        <c:axId val="96372876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Distance to frontier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3754143"/>
        <c:crosses val="autoZero"/>
        <c:crossBetween val="between"/>
      </c:valAx>
      <c:spPr>
        <a:noFill/>
        <a:ln>
          <a:noFill/>
        </a:ln>
        <a:effectLst/>
      </c:spPr>
    </c:plotArea>
    <c:plotVisOnly val="1"/>
    <c:dispBlanksAs val="gap"/>
    <c:showDLblsOverMax val="0"/>
  </c:chart>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Figure 26: Global competitiveness score (1-7) 2016</a:t>
            </a:r>
          </a:p>
        </c:rich>
      </c:tx>
      <c:layout>
        <c:manualLayout>
          <c:xMode val="edge"/>
          <c:yMode val="edge"/>
          <c:x val="0.10585472270511641"/>
          <c:y val="3.7453183520599252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'Competitiveness rank'!$B$2</c:f>
              <c:strCache>
                <c:ptCount val="1"/>
                <c:pt idx="0">
                  <c:v>Global competitiveness score (1-7) 2016</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('Competitiveness rank'!$A$3,'Competitiveness rank'!$A$4,'Competitiveness rank'!$A$9,'Competitiveness rank'!$A$24,'Competitiveness rank'!$A$26,'Competitiveness rank'!$A$28,'Competitiveness rank'!$A$37,'Competitiveness rank'!$A$38,'Competitiveness rank'!$A$39,'Competitiveness rank'!$A$44,'Competitiveness rank'!$A$46,'Competitiveness rank'!$A$55,'Competitiveness rank'!$A$59,'Competitiveness rank'!$A$67,'Competitiveness rank'!$A$73)</c:f>
              <c:strCache>
                <c:ptCount val="15"/>
                <c:pt idx="0">
                  <c:v>Switzerland</c:v>
                </c:pt>
                <c:pt idx="1">
                  <c:v>Singapore </c:v>
                </c:pt>
                <c:pt idx="2">
                  <c:v>United Kingdom </c:v>
                </c:pt>
                <c:pt idx="3">
                  <c:v>India</c:v>
                </c:pt>
                <c:pt idx="4">
                  <c:v>Vietnam</c:v>
                </c:pt>
                <c:pt idx="5">
                  <c:v>Sri Lanka</c:v>
                </c:pt>
                <c:pt idx="6">
                  <c:v>Kenya</c:v>
                </c:pt>
                <c:pt idx="7">
                  <c:v>Nepal</c:v>
                </c:pt>
                <c:pt idx="8">
                  <c:v>Bhutan</c:v>
                </c:pt>
                <c:pt idx="9">
                  <c:v>Bangladesh</c:v>
                </c:pt>
                <c:pt idx="10">
                  <c:v>Ethiopia</c:v>
                </c:pt>
                <c:pt idx="11">
                  <c:v>Zambia</c:v>
                </c:pt>
                <c:pt idx="12">
                  <c:v>Pakistan </c:v>
                </c:pt>
                <c:pt idx="13">
                  <c:v>Liberia</c:v>
                </c:pt>
                <c:pt idx="14">
                  <c:v>Mauritania</c:v>
                </c:pt>
              </c:strCache>
            </c:strRef>
          </c:cat>
          <c:val>
            <c:numRef>
              <c:f>('Competitiveness rank'!$B$3,'Competitiveness rank'!$B$4,'Competitiveness rank'!$B$9,'Competitiveness rank'!$B$24,'Competitiveness rank'!$B$26,'Competitiveness rank'!$B$28,'Competitiveness rank'!$B$37,'Competitiveness rank'!$B$38,'Competitiveness rank'!$B$39,'Competitiveness rank'!$B$44,'Competitiveness rank'!$B$46,'Competitiveness rank'!$B$55,'Competitiveness rank'!$B$59,'Competitiveness rank'!$B$67,'Competitiveness rank'!$B$73)</c:f>
              <c:numCache>
                <c:formatCode>0.00</c:formatCode>
                <c:ptCount val="15"/>
                <c:pt idx="0">
                  <c:v>5.81</c:v>
                </c:pt>
                <c:pt idx="1">
                  <c:v>5.72</c:v>
                </c:pt>
                <c:pt idx="2">
                  <c:v>5.49</c:v>
                </c:pt>
                <c:pt idx="3">
                  <c:v>4.5199999999999996</c:v>
                </c:pt>
                <c:pt idx="4">
                  <c:v>4.3099999999999996</c:v>
                </c:pt>
                <c:pt idx="5">
                  <c:v>4.1900000000000004</c:v>
                </c:pt>
                <c:pt idx="6">
                  <c:v>3.9</c:v>
                </c:pt>
                <c:pt idx="7">
                  <c:v>3.87</c:v>
                </c:pt>
                <c:pt idx="8">
                  <c:v>3.87</c:v>
                </c:pt>
                <c:pt idx="9">
                  <c:v>3.8</c:v>
                </c:pt>
                <c:pt idx="10">
                  <c:v>3.77</c:v>
                </c:pt>
                <c:pt idx="11">
                  <c:v>3.6</c:v>
                </c:pt>
                <c:pt idx="12">
                  <c:v>3.49</c:v>
                </c:pt>
                <c:pt idx="13">
                  <c:v>3.21</c:v>
                </c:pt>
                <c:pt idx="14">
                  <c:v>2.94</c:v>
                </c:pt>
              </c:numCache>
            </c:numRef>
          </c:val>
          <c:extLst>
            <c:ext xmlns:c16="http://schemas.microsoft.com/office/drawing/2014/chart" uri="{C3380CC4-5D6E-409C-BE32-E72D297353CC}">
              <c16:uniqueId val="{00000000-3837-4946-90A6-0A58B42A8283}"/>
            </c:ext>
          </c:extLst>
        </c:ser>
        <c:dLbls>
          <c:dLblPos val="outEnd"/>
          <c:showLegendKey val="0"/>
          <c:showVal val="1"/>
          <c:showCatName val="0"/>
          <c:showSerName val="0"/>
          <c:showPercent val="0"/>
          <c:showBubbleSize val="0"/>
        </c:dLbls>
        <c:gapWidth val="219"/>
        <c:overlap val="-27"/>
        <c:axId val="363830320"/>
        <c:axId val="363832400"/>
      </c:barChart>
      <c:catAx>
        <c:axId val="36383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32400"/>
        <c:crosses val="autoZero"/>
        <c:auto val="1"/>
        <c:lblAlgn val="ctr"/>
        <c:lblOffset val="100"/>
        <c:noMultiLvlLbl val="0"/>
      </c:catAx>
      <c:valAx>
        <c:axId val="3638324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30320"/>
        <c:crosses val="autoZero"/>
        <c:crossBetween val="between"/>
      </c:valAx>
      <c:spPr>
        <a:noFill/>
        <a:ln>
          <a:noFill/>
        </a:ln>
        <a:effectLst/>
      </c:spPr>
    </c:plotArea>
    <c:plotVisOnly val="1"/>
    <c:dispBlanksAs val="gap"/>
    <c:showDLblsOverMax val="0"/>
  </c:chart>
  <c:spPr>
    <a:solidFill>
      <a:srgbClr val="9999FF"/>
    </a:solidFill>
    <a:ln w="9525" cap="flat" cmpd="sng" algn="ctr">
      <a:solidFill>
        <a:schemeClr val="tx1"/>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'FDI trend in Bangladesh'!$E$7</c:f>
              <c:strCache>
                <c:ptCount val="1"/>
                <c:pt idx="0">
                  <c:v>Net Foreign Direct Investment (in million USD)</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'FDI trend in Bangladesh'!$D$8:$D$17</c:f>
              <c:strCache>
                <c:ptCount val="10"/>
                <c:pt idx="0">
                  <c:v>2004 – 05</c:v>
                </c:pt>
                <c:pt idx="1">
                  <c:v>2005 – 06</c:v>
                </c:pt>
                <c:pt idx="2">
                  <c:v>2006 – 07</c:v>
                </c:pt>
                <c:pt idx="3">
                  <c:v>2007 – 08</c:v>
                </c:pt>
                <c:pt idx="4">
                  <c:v>2008 – 09</c:v>
                </c:pt>
                <c:pt idx="5">
                  <c:v>2009 – 10</c:v>
                </c:pt>
                <c:pt idx="6">
                  <c:v>2010 – 11</c:v>
                </c:pt>
                <c:pt idx="7">
                  <c:v>2011 – 12</c:v>
                </c:pt>
                <c:pt idx="8">
                  <c:v>2012 – 13</c:v>
                </c:pt>
                <c:pt idx="9">
                  <c:v>2013 – 14</c:v>
                </c:pt>
              </c:strCache>
            </c:strRef>
          </c:cat>
          <c:val>
            <c:numRef>
              <c:f>'FDI trend in Bangladesh'!$E$8:$E$17</c:f>
              <c:numCache>
                <c:formatCode>General</c:formatCode>
                <c:ptCount val="10"/>
                <c:pt idx="0">
                  <c:v>800</c:v>
                </c:pt>
                <c:pt idx="1">
                  <c:v>675</c:v>
                </c:pt>
                <c:pt idx="2">
                  <c:v>793</c:v>
                </c:pt>
                <c:pt idx="3">
                  <c:v>748</c:v>
                </c:pt>
                <c:pt idx="4">
                  <c:v>961</c:v>
                </c:pt>
                <c:pt idx="5">
                  <c:v>913</c:v>
                </c:pt>
                <c:pt idx="6">
                  <c:v>1136</c:v>
                </c:pt>
                <c:pt idx="7">
                  <c:v>1292</c:v>
                </c:pt>
                <c:pt idx="8">
                  <c:v>1599</c:v>
                </c:pt>
                <c:pt idx="9">
                  <c:v>1526</c:v>
                </c:pt>
              </c:numCache>
            </c:numRef>
          </c:val>
          <c:extLst>
            <c:ext xmlns:c16="http://schemas.microsoft.com/office/drawing/2014/chart" uri="{C3380CC4-5D6E-409C-BE32-E72D297353CC}">
              <c16:uniqueId val="{00000000-2DD6-4C6D-B36D-AE02B40FACD3}"/>
            </c:ext>
          </c:extLst>
        </c:ser>
        <c:dLbls>
          <c:showLegendKey val="0"/>
          <c:showVal val="1"/>
          <c:showCatName val="0"/>
          <c:showSerName val="0"/>
          <c:showPercent val="0"/>
          <c:showBubbleSize val="0"/>
        </c:dLbls>
        <c:gapWidth val="219"/>
        <c:overlap val="-27"/>
        <c:axId val="83313232"/>
        <c:axId val="83314896"/>
      </c:barChart>
      <c:lineChart>
        <c:grouping val="standard"/>
        <c:varyColors val="0"/>
        <c:ser>
          <c:idx val="1"/>
          <c:order val="1"/>
          <c:tx>
            <c:strRef>
              <c:f>'FDI trend in Bangladesh'!$F$7</c:f>
              <c:strCache>
                <c:ptCount val="1"/>
                <c:pt idx="0">
                  <c:v>Growth rate of net FDI inflow (%)</c:v>
                </c:pt>
              </c:strCache>
            </c:strRef>
          </c:tx>
          <c:spPr>
            <a:ln w="28575" cap="rnd">
              <a:solidFill>
                <a:schemeClr val="accent2"/>
              </a:solidFill>
              <a:round/>
            </a:ln>
            <a:effectLst/>
          </c:spPr>
          <c:marker>
            <c:symbol val="none"/>
          </c:marker>
          <c:dLbls>
            <c:numFmt formatCode="0%" sourceLinked="0"/>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'FDI trend in Bangladesh'!$D$8:$D$17</c:f>
              <c:strCache>
                <c:ptCount val="10"/>
                <c:pt idx="0">
                  <c:v>2004 – 05</c:v>
                </c:pt>
                <c:pt idx="1">
                  <c:v>2005 – 06</c:v>
                </c:pt>
                <c:pt idx="2">
                  <c:v>2006 – 07</c:v>
                </c:pt>
                <c:pt idx="3">
                  <c:v>2007 – 08</c:v>
                </c:pt>
                <c:pt idx="4">
                  <c:v>2008 – 09</c:v>
                </c:pt>
                <c:pt idx="5">
                  <c:v>2009 – 10</c:v>
                </c:pt>
                <c:pt idx="6">
                  <c:v>2010 – 11</c:v>
                </c:pt>
                <c:pt idx="7">
                  <c:v>2011 – 12</c:v>
                </c:pt>
                <c:pt idx="8">
                  <c:v>2012 – 13</c:v>
                </c:pt>
                <c:pt idx="9">
                  <c:v>2013 – 14</c:v>
                </c:pt>
              </c:strCache>
            </c:strRef>
          </c:cat>
          <c:val>
            <c:numRef>
              <c:f>'FDI trend in Bangladesh'!$F$8:$F$17</c:f>
              <c:numCache>
                <c:formatCode>0.00%</c:formatCode>
                <c:ptCount val="10"/>
                <c:pt idx="1">
                  <c:v>-0.15620000000000001</c:v>
                </c:pt>
                <c:pt idx="2">
                  <c:v>0.17480000000000001</c:v>
                </c:pt>
                <c:pt idx="3">
                  <c:v>-5.67E-2</c:v>
                </c:pt>
                <c:pt idx="4">
                  <c:v>0.28470000000000001</c:v>
                </c:pt>
                <c:pt idx="5">
                  <c:v>-4.99E-2</c:v>
                </c:pt>
                <c:pt idx="6">
                  <c:v>0.2442</c:v>
                </c:pt>
                <c:pt idx="7">
                  <c:v>0.13730000000000001</c:v>
                </c:pt>
                <c:pt idx="8">
                  <c:v>0.23760000000000001</c:v>
                </c:pt>
                <c:pt idx="9">
                  <c:v>-4.5600000000000002E-2</c:v>
                </c:pt>
              </c:numCache>
            </c:numRef>
          </c:val>
          <c:smooth val="0"/>
          <c:extLst>
            <c:ext xmlns:c16="http://schemas.microsoft.com/office/drawing/2014/chart" uri="{C3380CC4-5D6E-409C-BE32-E72D297353CC}">
              <c16:uniqueId val="{00000001-2DD6-4C6D-B36D-AE02B40FACD3}"/>
            </c:ext>
          </c:extLst>
        </c:ser>
        <c:dLbls>
          <c:showLegendKey val="0"/>
          <c:showVal val="1"/>
          <c:showCatName val="0"/>
          <c:showSerName val="0"/>
          <c:showPercent val="0"/>
          <c:showBubbleSize val="0"/>
        </c:dLbls>
        <c:marker val="1"/>
        <c:smooth val="0"/>
        <c:axId val="83329456"/>
        <c:axId val="83326128"/>
      </c:lineChart>
      <c:catAx>
        <c:axId val="8331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3314896"/>
        <c:crosses val="autoZero"/>
        <c:auto val="1"/>
        <c:lblAlgn val="ctr"/>
        <c:lblOffset val="100"/>
        <c:noMultiLvlLbl val="0"/>
      </c:catAx>
      <c:valAx>
        <c:axId val="8331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3313232"/>
        <c:crosses val="autoZero"/>
        <c:crossBetween val="between"/>
      </c:valAx>
      <c:valAx>
        <c:axId val="833261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3329456"/>
        <c:crosses val="max"/>
        <c:crossBetween val="between"/>
      </c:valAx>
      <c:catAx>
        <c:axId val="83329456"/>
        <c:scaling>
          <c:orientation val="minMax"/>
        </c:scaling>
        <c:delete val="1"/>
        <c:axPos val="b"/>
        <c:numFmt formatCode="General" sourceLinked="1"/>
        <c:majorTickMark val="none"/>
        <c:minorTickMark val="none"/>
        <c:tickLblPos val="nextTo"/>
        <c:crossAx val="83326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rgbClr val="F29AFE"/>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Figure 28: Total FDI flow (in $ million) and components (%)</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'FDI trend in Bangladesh'!$T$27</c:f>
              <c:strCache>
                <c:ptCount val="1"/>
                <c:pt idx="0">
                  <c:v>Equity capital</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'FDI trend in Bangladesh'!$S$28:$S$34</c:f>
              <c:strCache>
                <c:ptCount val="7"/>
                <c:pt idx="0">
                  <c:v>1996-97</c:v>
                </c:pt>
                <c:pt idx="1">
                  <c:v>1999-00</c:v>
                </c:pt>
                <c:pt idx="2">
                  <c:v>2003-04</c:v>
                </c:pt>
                <c:pt idx="3">
                  <c:v>2009-10</c:v>
                </c:pt>
                <c:pt idx="4">
                  <c:v>2012-13</c:v>
                </c:pt>
                <c:pt idx="5">
                  <c:v>2014-15</c:v>
                </c:pt>
                <c:pt idx="6">
                  <c:v>2015-16</c:v>
                </c:pt>
              </c:strCache>
            </c:strRef>
          </c:cat>
          <c:val>
            <c:numRef>
              <c:f>'FDI trend in Bangladesh'!$T$28:$T$34</c:f>
              <c:numCache>
                <c:formatCode>0.00%</c:formatCode>
                <c:ptCount val="7"/>
                <c:pt idx="0">
                  <c:v>0.37265912498296305</c:v>
                </c:pt>
                <c:pt idx="1">
                  <c:v>0.39919628411878288</c:v>
                </c:pt>
                <c:pt idx="2">
                  <c:v>0.39143440315315314</c:v>
                </c:pt>
                <c:pt idx="3">
                  <c:v>0.56421546077851525</c:v>
                </c:pt>
                <c:pt idx="4">
                  <c:v>0.43974159699069121</c:v>
                </c:pt>
                <c:pt idx="5">
                  <c:v>0.28793207806442117</c:v>
                </c:pt>
                <c:pt idx="6">
                  <c:v>0.25232963818859716</c:v>
                </c:pt>
              </c:numCache>
            </c:numRef>
          </c:val>
          <c:extLst>
            <c:ext xmlns:c16="http://schemas.microsoft.com/office/drawing/2014/chart" uri="{C3380CC4-5D6E-409C-BE32-E72D297353CC}">
              <c16:uniqueId val="{00000000-0D09-4722-9B45-66761EA28605}"/>
            </c:ext>
          </c:extLst>
        </c:ser>
        <c:ser>
          <c:idx val="1"/>
          <c:order val="1"/>
          <c:tx>
            <c:strRef>
              <c:f>'FDI trend in Bangladesh'!$U$27</c:f>
              <c:strCache>
                <c:ptCount val="1"/>
                <c:pt idx="0">
                  <c:v>Reinvested earnings</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'FDI trend in Bangladesh'!$S$28:$S$34</c:f>
              <c:strCache>
                <c:ptCount val="7"/>
                <c:pt idx="0">
                  <c:v>1996-97</c:v>
                </c:pt>
                <c:pt idx="1">
                  <c:v>1999-00</c:v>
                </c:pt>
                <c:pt idx="2">
                  <c:v>2003-04</c:v>
                </c:pt>
                <c:pt idx="3">
                  <c:v>2009-10</c:v>
                </c:pt>
                <c:pt idx="4">
                  <c:v>2012-13</c:v>
                </c:pt>
                <c:pt idx="5">
                  <c:v>2014-15</c:v>
                </c:pt>
                <c:pt idx="6">
                  <c:v>2015-16</c:v>
                </c:pt>
              </c:strCache>
            </c:strRef>
          </c:cat>
          <c:val>
            <c:numRef>
              <c:f>'FDI trend in Bangladesh'!$U$28:$U$34</c:f>
              <c:numCache>
                <c:formatCode>0.00%</c:formatCode>
                <c:ptCount val="7"/>
                <c:pt idx="0">
                  <c:v>0.412348371268911</c:v>
                </c:pt>
                <c:pt idx="1">
                  <c:v>0.21061009341892384</c:v>
                </c:pt>
                <c:pt idx="2">
                  <c:v>0.56791948198198194</c:v>
                </c:pt>
                <c:pt idx="3">
                  <c:v>0.36264265843026444</c:v>
                </c:pt>
                <c:pt idx="4">
                  <c:v>0.37306645556820345</c:v>
                </c:pt>
                <c:pt idx="5">
                  <c:v>0.6223669071417276</c:v>
                </c:pt>
                <c:pt idx="6">
                  <c:v>0.57620799289254465</c:v>
                </c:pt>
              </c:numCache>
            </c:numRef>
          </c:val>
          <c:extLst>
            <c:ext xmlns:c16="http://schemas.microsoft.com/office/drawing/2014/chart" uri="{C3380CC4-5D6E-409C-BE32-E72D297353CC}">
              <c16:uniqueId val="{00000001-0D09-4722-9B45-66761EA28605}"/>
            </c:ext>
          </c:extLst>
        </c:ser>
        <c:ser>
          <c:idx val="2"/>
          <c:order val="2"/>
          <c:tx>
            <c:strRef>
              <c:f>'FDI trend in Bangladesh'!$V$27</c:f>
              <c:strCache>
                <c:ptCount val="1"/>
                <c:pt idx="0">
                  <c:v>Intra-company loans</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'FDI trend in Bangladesh'!$S$28:$S$34</c:f>
              <c:strCache>
                <c:ptCount val="7"/>
                <c:pt idx="0">
                  <c:v>1996-97</c:v>
                </c:pt>
                <c:pt idx="1">
                  <c:v>1999-00</c:v>
                </c:pt>
                <c:pt idx="2">
                  <c:v>2003-04</c:v>
                </c:pt>
                <c:pt idx="3">
                  <c:v>2009-10</c:v>
                </c:pt>
                <c:pt idx="4">
                  <c:v>2012-13</c:v>
                </c:pt>
                <c:pt idx="5">
                  <c:v>2014-15</c:v>
                </c:pt>
                <c:pt idx="6">
                  <c:v>2015-16</c:v>
                </c:pt>
              </c:strCache>
            </c:strRef>
          </c:cat>
          <c:val>
            <c:numRef>
              <c:f>'FDI trend in Bangladesh'!$V$28:$V$34</c:f>
              <c:numCache>
                <c:formatCode>0.00%</c:formatCode>
                <c:ptCount val="7"/>
                <c:pt idx="0">
                  <c:v>0.21499250374812592</c:v>
                </c:pt>
                <c:pt idx="1">
                  <c:v>0.39019362246229317</c:v>
                </c:pt>
                <c:pt idx="2">
                  <c:v>4.0646114864864864E-2</c:v>
                </c:pt>
                <c:pt idx="3">
                  <c:v>7.3141880791220346E-2</c:v>
                </c:pt>
                <c:pt idx="4">
                  <c:v>0.18719194744110523</c:v>
                </c:pt>
                <c:pt idx="5">
                  <c:v>8.9701014793851258E-2</c:v>
                </c:pt>
                <c:pt idx="6">
                  <c:v>0.17146236891885822</c:v>
                </c:pt>
              </c:numCache>
            </c:numRef>
          </c:val>
          <c:extLst>
            <c:ext xmlns:c16="http://schemas.microsoft.com/office/drawing/2014/chart" uri="{C3380CC4-5D6E-409C-BE32-E72D297353CC}">
              <c16:uniqueId val="{00000002-0D09-4722-9B45-66761EA28605}"/>
            </c:ext>
          </c:extLst>
        </c:ser>
        <c:dLbls>
          <c:showLegendKey val="0"/>
          <c:showVal val="0"/>
          <c:showCatName val="0"/>
          <c:showSerName val="0"/>
          <c:showPercent val="0"/>
          <c:showBubbleSize val="0"/>
        </c:dLbls>
        <c:gapWidth val="219"/>
        <c:axId val="519202512"/>
        <c:axId val="519177968"/>
      </c:barChart>
      <c:lineChart>
        <c:grouping val="standard"/>
        <c:varyColors val="0"/>
        <c:ser>
          <c:idx val="3"/>
          <c:order val="3"/>
          <c:tx>
            <c:strRef>
              <c:f>'FDI trend in Bangladesh'!$W$27</c:f>
              <c:strCache>
                <c:ptCount val="1"/>
                <c:pt idx="0">
                  <c:v>Total in $ millions</c:v>
                </c:pt>
              </c:strCache>
            </c:strRef>
          </c:tx>
          <c:spPr>
            <a:ln w="28575" cap="rnd">
              <a:solidFill>
                <a:schemeClr val="accent4"/>
              </a:solidFill>
              <a:round/>
            </a:ln>
            <a:effectLst/>
          </c:spPr>
          <c:marker>
            <c:symbol val="none"/>
          </c:marker>
          <c:dLbls>
            <c:dLbl>
              <c:idx val="0"/>
              <c:layout>
                <c:manualLayout>
                  <c:x val="1.2944444444444444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09-4722-9B45-66761EA28605}"/>
                </c:ext>
              </c:extLst>
            </c:dLbl>
            <c:dLbl>
              <c:idx val="1"/>
              <c:layout>
                <c:manualLayout>
                  <c:x val="-3.9833333333333387E-2"/>
                  <c:y val="-0.1133912948381452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09-4722-9B45-66761EA28605}"/>
                </c:ext>
              </c:extLst>
            </c:dLbl>
            <c:dLbl>
              <c:idx val="2"/>
              <c:layout>
                <c:manualLayout>
                  <c:x val="-9.4444444444449533E-4"/>
                  <c:y val="-0.1180209244677748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09-4722-9B45-66761EA28605}"/>
                </c:ext>
              </c:extLst>
            </c:dLbl>
            <c:dLbl>
              <c:idx val="3"/>
              <c:layout>
                <c:manualLayout>
                  <c:x val="-3.15E-2"/>
                  <c:y val="-0.104132035578886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09-4722-9B45-66761EA28605}"/>
                </c:ext>
              </c:extLst>
            </c:dLbl>
            <c:dLbl>
              <c:idx val="4"/>
              <c:layout>
                <c:manualLayout>
                  <c:x val="-3.5069553805774277E-2"/>
                  <c:y val="-5.635425780110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09-4722-9B45-66761EA28605}"/>
                </c:ext>
              </c:extLst>
            </c:dLbl>
            <c:dLbl>
              <c:idx val="5"/>
              <c:layout>
                <c:manualLayout>
                  <c:x val="-7.2917760279966022E-3"/>
                  <c:y val="-7.4872776319626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09-4722-9B45-66761EA28605}"/>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'FDI trend in Bangladesh'!$S$28:$S$34</c:f>
              <c:strCache>
                <c:ptCount val="7"/>
                <c:pt idx="0">
                  <c:v>1996-97</c:v>
                </c:pt>
                <c:pt idx="1">
                  <c:v>1999-00</c:v>
                </c:pt>
                <c:pt idx="2">
                  <c:v>2003-04</c:v>
                </c:pt>
                <c:pt idx="3">
                  <c:v>2009-10</c:v>
                </c:pt>
                <c:pt idx="4">
                  <c:v>2012-13</c:v>
                </c:pt>
                <c:pt idx="5">
                  <c:v>2014-15</c:v>
                </c:pt>
                <c:pt idx="6">
                  <c:v>2015-16</c:v>
                </c:pt>
              </c:strCache>
            </c:strRef>
          </c:cat>
          <c:val>
            <c:numRef>
              <c:f>'FDI trend in Bangladesh'!$W$28:$W$34</c:f>
              <c:numCache>
                <c:formatCode>General</c:formatCode>
                <c:ptCount val="7"/>
                <c:pt idx="0">
                  <c:v>366.85</c:v>
                </c:pt>
                <c:pt idx="1">
                  <c:v>383.22</c:v>
                </c:pt>
                <c:pt idx="2">
                  <c:v>284.16000000000003</c:v>
                </c:pt>
                <c:pt idx="3">
                  <c:v>913.02</c:v>
                </c:pt>
                <c:pt idx="4">
                  <c:v>1730.63</c:v>
                </c:pt>
                <c:pt idx="5">
                  <c:v>1833.87</c:v>
                </c:pt>
                <c:pt idx="6">
                  <c:v>2003.53</c:v>
                </c:pt>
              </c:numCache>
            </c:numRef>
          </c:val>
          <c:smooth val="0"/>
          <c:extLst>
            <c:ext xmlns:c16="http://schemas.microsoft.com/office/drawing/2014/chart" uri="{C3380CC4-5D6E-409C-BE32-E72D297353CC}">
              <c16:uniqueId val="{00000007-0D09-4722-9B45-66761EA28605}"/>
            </c:ext>
          </c:extLst>
        </c:ser>
        <c:dLbls>
          <c:showLegendKey val="0"/>
          <c:showVal val="0"/>
          <c:showCatName val="0"/>
          <c:showSerName val="0"/>
          <c:showPercent val="0"/>
          <c:showBubbleSize val="0"/>
        </c:dLbls>
        <c:marker val="1"/>
        <c:smooth val="0"/>
        <c:axId val="519190448"/>
        <c:axId val="519180048"/>
      </c:lineChart>
      <c:catAx>
        <c:axId val="51920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177968"/>
        <c:crosses val="autoZero"/>
        <c:auto val="1"/>
        <c:lblAlgn val="ctr"/>
        <c:lblOffset val="100"/>
        <c:noMultiLvlLbl val="0"/>
      </c:catAx>
      <c:valAx>
        <c:axId val="5191779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202512"/>
        <c:crosses val="autoZero"/>
        <c:crossBetween val="between"/>
      </c:valAx>
      <c:valAx>
        <c:axId val="5191800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190448"/>
        <c:crosses val="max"/>
        <c:crossBetween val="between"/>
      </c:valAx>
      <c:catAx>
        <c:axId val="519190448"/>
        <c:scaling>
          <c:orientation val="minMax"/>
        </c:scaling>
        <c:delete val="1"/>
        <c:axPos val="b"/>
        <c:numFmt formatCode="General" sourceLinked="1"/>
        <c:majorTickMark val="out"/>
        <c:minorTickMark val="none"/>
        <c:tickLblPos val="nextTo"/>
        <c:crossAx val="5191800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rgbClr val="ECD9FF"/>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latin typeface="Times New Roman" panose="02020603050405020304" pitchFamily="18" charset="0"/>
                <a:cs typeface="Times New Roman" panose="02020603050405020304" pitchFamily="18" charset="0"/>
              </a:rPr>
              <a:t>Figure 29: Democracy index 2016, country scatter </a:t>
            </a:r>
          </a:p>
          <a:p>
            <a:pPr>
              <a:defRPr/>
            </a:pPr>
            <a:r>
              <a:rPr lang="en-US" sz="900">
                <a:solidFill>
                  <a:schemeClr val="tx1"/>
                </a:solidFill>
                <a:latin typeface="Times New Roman" panose="02020603050405020304" pitchFamily="18" charset="0"/>
                <a:cs typeface="Times New Roman" panose="02020603050405020304" pitchFamily="18" charset="0"/>
              </a:rPr>
              <a:t>(Scores 0 to 10; 8 ≤ s ≤ 10 is full democracy; 6 ≤ s &lt; 8 is flawed democracy; 4 ≤ s &lt; 6 is hybrid regimes; and 0 ≤ s &lt; 4 is authoritarian regimes)</a:t>
            </a:r>
          </a:p>
        </c:rich>
      </c:tx>
      <c:layout>
        <c:manualLayout>
          <c:xMode val="edge"/>
          <c:yMode val="edge"/>
          <c:x val="0.11101377952755904"/>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dLbls>
            <c:dLbl>
              <c:idx val="1"/>
              <c:layout>
                <c:manualLayout>
                  <c:x val="-0.05"/>
                  <c:y val="-0.4629629629629629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B7-402F-9202-9F0F7BF1F541}"/>
                </c:ext>
              </c:extLst>
            </c:dLbl>
            <c:dLbl>
              <c:idx val="16"/>
              <c:layout>
                <c:manualLayout>
                  <c:x val="-0.13055555555555556"/>
                  <c:y val="-8.79629629629630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B7-402F-9202-9F0F7BF1F541}"/>
                </c:ext>
              </c:extLst>
            </c:dLbl>
            <c:dLbl>
              <c:idx val="19"/>
              <c:layout>
                <c:manualLayout>
                  <c:x val="-0.10833333333333336"/>
                  <c:y val="6.9444444444444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B7-402F-9202-9F0F7BF1F541}"/>
                </c:ext>
              </c:extLst>
            </c:dLbl>
            <c:dLbl>
              <c:idx val="25"/>
              <c:layout>
                <c:manualLayout>
                  <c:x val="-0.16944444444444448"/>
                  <c:y val="-8.79629629629629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B7-402F-9202-9F0F7BF1F541}"/>
                </c:ext>
              </c:extLst>
            </c:dLbl>
            <c:dLbl>
              <c:idx val="28"/>
              <c:layout>
                <c:manualLayout>
                  <c:x val="-8.3333333333333332E-3"/>
                  <c:y val="0"/>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4-E6B7-402F-9202-9F0F7BF1F541}"/>
                </c:ext>
              </c:extLst>
            </c:dLbl>
            <c:dLbl>
              <c:idx val="4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B7-402F-9202-9F0F7BF1F541}"/>
                </c:ext>
              </c:extLst>
            </c:dLbl>
            <c:dLbl>
              <c:idx val="42"/>
              <c:layout>
                <c:manualLayout>
                  <c:x val="-0.23333333333333334"/>
                  <c:y val="-0.1666666666666667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B7-402F-9202-9F0F7BF1F541}"/>
                </c:ext>
              </c:extLst>
            </c:dLbl>
            <c:dLbl>
              <c:idx val="47"/>
              <c:layout>
                <c:manualLayout>
                  <c:x val="-0.22500000000000006"/>
                  <c:y val="-0.3240740740740740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B7-402F-9202-9F0F7BF1F541}"/>
                </c:ext>
              </c:extLst>
            </c:dLbl>
            <c:dLbl>
              <c:idx val="50"/>
              <c:layout>
                <c:manualLayout>
                  <c:x val="-0.18055555555555561"/>
                  <c:y val="6.9444444444444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B7-402F-9202-9F0F7BF1F541}"/>
                </c:ext>
              </c:extLst>
            </c:dLbl>
            <c:dLbl>
              <c:idx val="55"/>
              <c:layout>
                <c:manualLayout>
                  <c:x val="-0.17777777777777778"/>
                  <c:y val="-0.120370370370370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B7-402F-9202-9F0F7BF1F541}"/>
                </c:ext>
              </c:extLst>
            </c:dLbl>
            <c:dLbl>
              <c:idx val="66"/>
              <c:layout>
                <c:manualLayout>
                  <c:x val="-0.11944444444444445"/>
                  <c:y val="6.018518518518501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B7-402F-9202-9F0F7BF1F541}"/>
                </c:ext>
              </c:extLst>
            </c:dLbl>
            <c:dLbl>
              <c:idx val="67"/>
              <c:layout>
                <c:manualLayout>
                  <c:x val="-0.19166666666666671"/>
                  <c:y val="-0.259259259259259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B7-402F-9202-9F0F7BF1F541}"/>
                </c:ext>
              </c:extLst>
            </c:dLbl>
            <c:dLbl>
              <c:idx val="68"/>
              <c:layout>
                <c:manualLayout>
                  <c:x val="0.16666666666666657"/>
                  <c:y val="6.0185185185185182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667366579177604"/>
                      <c:h val="7.9693788276465435E-2"/>
                    </c:manualLayout>
                  </c15:layout>
                </c:ext>
                <c:ext xmlns:c16="http://schemas.microsoft.com/office/drawing/2014/chart" uri="{C3380CC4-5D6E-409C-BE32-E72D297353CC}">
                  <c16:uniqueId val="{0000000C-E6B7-402F-9202-9F0F7BF1F541}"/>
                </c:ext>
              </c:extLst>
            </c:dLbl>
            <c:dLbl>
              <c:idx val="69"/>
              <c:layout>
                <c:manualLayout>
                  <c:x val="0.23611111111111122"/>
                  <c:y val="-6.018518518518518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B7-402F-9202-9F0F7BF1F541}"/>
                </c:ext>
              </c:extLst>
            </c:dLbl>
            <c:dLbl>
              <c:idx val="7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B7-402F-9202-9F0F7BF1F541}"/>
                </c:ext>
              </c:extLst>
            </c:dLbl>
            <c:dLbl>
              <c:idx val="71"/>
              <c:layout>
                <c:manualLayout>
                  <c:x val="-0.11388888888888898"/>
                  <c:y val="-0.162037037037037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B7-402F-9202-9F0F7BF1F541}"/>
                </c:ext>
              </c:extLst>
            </c:dLbl>
            <c:dLbl>
              <c:idx val="78"/>
              <c:layout>
                <c:manualLayout>
                  <c:x val="8.3333333333333332E-3"/>
                  <c:y val="5.55555555555554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B7-402F-9202-9F0F7BF1F541}"/>
                </c:ext>
              </c:extLst>
            </c:dLbl>
            <c:dLbl>
              <c:idx val="80"/>
              <c:layout>
                <c:manualLayout>
                  <c:x val="-4.1666666666666664E-2"/>
                  <c:y val="9.7222222222222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6B7-402F-9202-9F0F7BF1F541}"/>
                </c:ext>
              </c:extLst>
            </c:dLbl>
            <c:dLbl>
              <c:idx val="8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6B7-402F-9202-9F0F7BF1F541}"/>
                </c:ext>
              </c:extLst>
            </c:dLbl>
            <c:dLbl>
              <c:idx val="82"/>
              <c:layout>
                <c:manualLayout>
                  <c:x val="-0.11666666666666667"/>
                  <c:y val="-0.1111111111111111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B7-402F-9202-9F0F7BF1F541}"/>
                </c:ext>
              </c:extLst>
            </c:dLbl>
            <c:dLbl>
              <c:idx val="84"/>
              <c:layout>
                <c:manualLayout>
                  <c:x val="0.10833333333333323"/>
                  <c:y val="-4.629629629629629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6B7-402F-9202-9F0F7BF1F541}"/>
                </c:ext>
              </c:extLst>
            </c:dLbl>
            <c:dLbl>
              <c:idx val="96"/>
              <c:layout>
                <c:manualLayout>
                  <c:x val="-5.2777777777777778E-2"/>
                  <c:y val="-0.138888888888888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6B7-402F-9202-9F0F7BF1F541}"/>
                </c:ext>
              </c:extLst>
            </c:dLbl>
            <c:dLbl>
              <c:idx val="100"/>
              <c:layout>
                <c:manualLayout>
                  <c:x val="-8.3333333333334356E-3"/>
                  <c:y val="7.40740740740741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6B7-402F-9202-9F0F7BF1F541}"/>
                </c:ext>
              </c:extLst>
            </c:dLbl>
            <c:dLbl>
              <c:idx val="101"/>
              <c:layout>
                <c:manualLayout>
                  <c:x val="-1.0185067526415994E-16"/>
                  <c:y val="-8.79629629629630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6B7-402F-9202-9F0F7BF1F54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'Indices scatter'!$A$3:$A$104</c:f>
              <c:strCache>
                <c:ptCount val="102"/>
                <c:pt idx="0">
                  <c:v>Afghanistan</c:v>
                </c:pt>
                <c:pt idx="1">
                  <c:v>Angola</c:v>
                </c:pt>
                <c:pt idx="2">
                  <c:v>Burundi</c:v>
                </c:pt>
                <c:pt idx="3">
                  <c:v>Chad</c:v>
                </c:pt>
                <c:pt idx="4">
                  <c:v>Central African Republic</c:v>
                </c:pt>
                <c:pt idx="5">
                  <c:v>Comoros</c:v>
                </c:pt>
                <c:pt idx="6">
                  <c:v>Congo, Dem. Rep.</c:v>
                </c:pt>
                <c:pt idx="7">
                  <c:v>Congo, Rep.</c:v>
                </c:pt>
                <c:pt idx="8">
                  <c:v>Guinea</c:v>
                </c:pt>
                <c:pt idx="9">
                  <c:v>Guinea-Bissau</c:v>
                </c:pt>
                <c:pt idx="10">
                  <c:v>Haiti</c:v>
                </c:pt>
                <c:pt idx="11">
                  <c:v>Eritrea</c:v>
                </c:pt>
                <c:pt idx="12">
                  <c:v>Liberia</c:v>
                </c:pt>
                <c:pt idx="13">
                  <c:v>Madagascar</c:v>
                </c:pt>
                <c:pt idx="14">
                  <c:v>Mauritania</c:v>
                </c:pt>
                <c:pt idx="15">
                  <c:v>Myanmar</c:v>
                </c:pt>
                <c:pt idx="16">
                  <c:v>Nepal</c:v>
                </c:pt>
                <c:pt idx="17">
                  <c:v>Sierra Leone</c:v>
                </c:pt>
                <c:pt idx="18">
                  <c:v>Solomon Islands</c:v>
                </c:pt>
                <c:pt idx="19">
                  <c:v>Sudan</c:v>
                </c:pt>
                <c:pt idx="20">
                  <c:v>Timor-Leste</c:v>
                </c:pt>
                <c:pt idx="21">
                  <c:v>Togo</c:v>
                </c:pt>
                <c:pt idx="22">
                  <c:v>Yemen, Rep.</c:v>
                </c:pt>
                <c:pt idx="23">
                  <c:v>Zimbabwe</c:v>
                </c:pt>
                <c:pt idx="24">
                  <c:v>Algeria</c:v>
                </c:pt>
                <c:pt idx="25">
                  <c:v>Argentina</c:v>
                </c:pt>
                <c:pt idx="26">
                  <c:v>Armenia</c:v>
                </c:pt>
                <c:pt idx="27">
                  <c:v>Azerbaijan</c:v>
                </c:pt>
                <c:pt idx="28">
                  <c:v>Bangladesh</c:v>
                </c:pt>
                <c:pt idx="29">
                  <c:v>Belize</c:v>
                </c:pt>
                <c:pt idx="30">
                  <c:v>Benin</c:v>
                </c:pt>
                <c:pt idx="31">
                  <c:v>Bolivia</c:v>
                </c:pt>
                <c:pt idx="32">
                  <c:v>Bosnia and Herzegovina</c:v>
                </c:pt>
                <c:pt idx="33">
                  <c:v>Burkina Faso</c:v>
                </c:pt>
                <c:pt idx="34">
                  <c:v>Cambodia</c:v>
                </c:pt>
                <c:pt idx="35">
                  <c:v>Cameroon</c:v>
                </c:pt>
                <c:pt idx="36">
                  <c:v>Cote d'Ivoire</c:v>
                </c:pt>
                <c:pt idx="37">
                  <c:v>Djibouti</c:v>
                </c:pt>
                <c:pt idx="38">
                  <c:v>Ecuador</c:v>
                </c:pt>
                <c:pt idx="39">
                  <c:v>Egypt </c:v>
                </c:pt>
                <c:pt idx="40">
                  <c:v>Ethiopia</c:v>
                </c:pt>
                <c:pt idx="41">
                  <c:v>Gambia, The</c:v>
                </c:pt>
                <c:pt idx="42">
                  <c:v>Ghana</c:v>
                </c:pt>
                <c:pt idx="43">
                  <c:v>Grenada</c:v>
                </c:pt>
                <c:pt idx="44">
                  <c:v>Guatemala </c:v>
                </c:pt>
                <c:pt idx="45">
                  <c:v>Guyana</c:v>
                </c:pt>
                <c:pt idx="46">
                  <c:v>Honduras </c:v>
                </c:pt>
                <c:pt idx="47">
                  <c:v>Kenya</c:v>
                </c:pt>
                <c:pt idx="48">
                  <c:v>Kosovo</c:v>
                </c:pt>
                <c:pt idx="49">
                  <c:v>Kyrgyz Rep </c:v>
                </c:pt>
                <c:pt idx="50">
                  <c:v>Lao PDR</c:v>
                </c:pt>
                <c:pt idx="51">
                  <c:v>Lesotho</c:v>
                </c:pt>
                <c:pt idx="52">
                  <c:v>Malawi</c:v>
                </c:pt>
                <c:pt idx="53">
                  <c:v>Mali</c:v>
                </c:pt>
                <c:pt idx="54">
                  <c:v>Moldova</c:v>
                </c:pt>
                <c:pt idx="55">
                  <c:v>Mongolia</c:v>
                </c:pt>
                <c:pt idx="56">
                  <c:v>Mozambique</c:v>
                </c:pt>
                <c:pt idx="57">
                  <c:v>Nicaragua</c:v>
                </c:pt>
                <c:pt idx="58">
                  <c:v>Niger</c:v>
                </c:pt>
                <c:pt idx="59">
                  <c:v>Nigeria</c:v>
                </c:pt>
                <c:pt idx="60">
                  <c:v>Pakistan </c:v>
                </c:pt>
                <c:pt idx="61">
                  <c:v>Papua New Guinea </c:v>
                </c:pt>
                <c:pt idx="62">
                  <c:v>Paraguay </c:v>
                </c:pt>
                <c:pt idx="63">
                  <c:v>Rwanda</c:v>
                </c:pt>
                <c:pt idx="64">
                  <c:v>Senegal</c:v>
                </c:pt>
                <c:pt idx="65">
                  <c:v>Sao Tome and Principe</c:v>
                </c:pt>
                <c:pt idx="66">
                  <c:v>Tajikistan </c:v>
                </c:pt>
                <c:pt idx="67">
                  <c:v>Tanzania </c:v>
                </c:pt>
                <c:pt idx="68">
                  <c:v>Turkmenistan</c:v>
                </c:pt>
                <c:pt idx="69">
                  <c:v>Uganda</c:v>
                </c:pt>
                <c:pt idx="70">
                  <c:v>Uzbekistan</c:v>
                </c:pt>
                <c:pt idx="71">
                  <c:v>Zambia</c:v>
                </c:pt>
                <c:pt idx="72">
                  <c:v>Albania</c:v>
                </c:pt>
                <c:pt idx="73">
                  <c:v>Barbados </c:v>
                </c:pt>
                <c:pt idx="74">
                  <c:v>Bhutan</c:v>
                </c:pt>
                <c:pt idx="75">
                  <c:v>Cape Verde</c:v>
                </c:pt>
                <c:pt idx="76">
                  <c:v>Dominica</c:v>
                </c:pt>
                <c:pt idx="77">
                  <c:v>Georgia</c:v>
                </c:pt>
                <c:pt idx="78">
                  <c:v>India</c:v>
                </c:pt>
                <c:pt idx="79">
                  <c:v>Samoa</c:v>
                </c:pt>
                <c:pt idx="80">
                  <c:v>Sri Lanka</c:v>
                </c:pt>
                <c:pt idx="81">
                  <c:v>Vietnam</c:v>
                </c:pt>
                <c:pt idx="82">
                  <c:v>Australia </c:v>
                </c:pt>
                <c:pt idx="83">
                  <c:v>Austria </c:v>
                </c:pt>
                <c:pt idx="84">
                  <c:v>Belgium </c:v>
                </c:pt>
                <c:pt idx="85">
                  <c:v>Canada </c:v>
                </c:pt>
                <c:pt idx="86">
                  <c:v>Denmark </c:v>
                </c:pt>
                <c:pt idx="87">
                  <c:v>Finland </c:v>
                </c:pt>
                <c:pt idx="88">
                  <c:v>France </c:v>
                </c:pt>
                <c:pt idx="89">
                  <c:v>Germany </c:v>
                </c:pt>
                <c:pt idx="90">
                  <c:v>Iceland </c:v>
                </c:pt>
                <c:pt idx="91">
                  <c:v>Ireland </c:v>
                </c:pt>
                <c:pt idx="92">
                  <c:v>Japan </c:v>
                </c:pt>
                <c:pt idx="93">
                  <c:v>Luxembourg </c:v>
                </c:pt>
                <c:pt idx="94">
                  <c:v>New Zealand </c:v>
                </c:pt>
                <c:pt idx="95">
                  <c:v>Netherlands </c:v>
                </c:pt>
                <c:pt idx="96">
                  <c:v>Norway </c:v>
                </c:pt>
                <c:pt idx="97">
                  <c:v>Sweden </c:v>
                </c:pt>
                <c:pt idx="98">
                  <c:v>United Kingdom </c:v>
                </c:pt>
                <c:pt idx="99">
                  <c:v>United States </c:v>
                </c:pt>
                <c:pt idx="100">
                  <c:v>Singapore </c:v>
                </c:pt>
                <c:pt idx="101">
                  <c:v>Switzerland</c:v>
                </c:pt>
              </c:strCache>
            </c:strRef>
          </c:xVal>
          <c:yVal>
            <c:numRef>
              <c:f>'Indices scatter'!$J$3:$J$104</c:f>
              <c:numCache>
                <c:formatCode>0.00</c:formatCode>
                <c:ptCount val="102"/>
                <c:pt idx="0">
                  <c:v>2.5499999999999998</c:v>
                </c:pt>
                <c:pt idx="1">
                  <c:v>3.4</c:v>
                </c:pt>
                <c:pt idx="2">
                  <c:v>2.4</c:v>
                </c:pt>
                <c:pt idx="3">
                  <c:v>1.5</c:v>
                </c:pt>
                <c:pt idx="4">
                  <c:v>1.61</c:v>
                </c:pt>
                <c:pt idx="5">
                  <c:v>3.71</c:v>
                </c:pt>
                <c:pt idx="6">
                  <c:v>1.93</c:v>
                </c:pt>
                <c:pt idx="7">
                  <c:v>2.91</c:v>
                </c:pt>
                <c:pt idx="8">
                  <c:v>3.14</c:v>
                </c:pt>
                <c:pt idx="9">
                  <c:v>1.98</c:v>
                </c:pt>
                <c:pt idx="10">
                  <c:v>4.0199999999999996</c:v>
                </c:pt>
                <c:pt idx="11">
                  <c:v>2.37</c:v>
                </c:pt>
                <c:pt idx="12">
                  <c:v>5.31</c:v>
                </c:pt>
                <c:pt idx="13">
                  <c:v>5.07</c:v>
                </c:pt>
                <c:pt idx="14">
                  <c:v>3.96</c:v>
                </c:pt>
                <c:pt idx="15">
                  <c:v>4.2</c:v>
                </c:pt>
                <c:pt idx="16">
                  <c:v>4.8600000000000003</c:v>
                </c:pt>
                <c:pt idx="17">
                  <c:v>4.55</c:v>
                </c:pt>
                <c:pt idx="19">
                  <c:v>2.37</c:v>
                </c:pt>
                <c:pt idx="20">
                  <c:v>7.24</c:v>
                </c:pt>
                <c:pt idx="21">
                  <c:v>3.32</c:v>
                </c:pt>
                <c:pt idx="22">
                  <c:v>2.0699999999999998</c:v>
                </c:pt>
                <c:pt idx="23">
                  <c:v>3.05</c:v>
                </c:pt>
                <c:pt idx="24">
                  <c:v>3.56</c:v>
                </c:pt>
                <c:pt idx="25">
                  <c:v>6.96</c:v>
                </c:pt>
                <c:pt idx="26">
                  <c:v>3.88</c:v>
                </c:pt>
                <c:pt idx="27">
                  <c:v>2.65</c:v>
                </c:pt>
                <c:pt idx="28">
                  <c:v>5.73</c:v>
                </c:pt>
                <c:pt idx="30">
                  <c:v>5.67</c:v>
                </c:pt>
                <c:pt idx="31">
                  <c:v>5.63</c:v>
                </c:pt>
                <c:pt idx="32">
                  <c:v>4.87</c:v>
                </c:pt>
                <c:pt idx="33">
                  <c:v>4.7</c:v>
                </c:pt>
                <c:pt idx="34">
                  <c:v>4.2699999999999996</c:v>
                </c:pt>
                <c:pt idx="35">
                  <c:v>3.46</c:v>
                </c:pt>
                <c:pt idx="36">
                  <c:v>3.81</c:v>
                </c:pt>
                <c:pt idx="37">
                  <c:v>2.83</c:v>
                </c:pt>
                <c:pt idx="38">
                  <c:v>5.81</c:v>
                </c:pt>
                <c:pt idx="39">
                  <c:v>3.31</c:v>
                </c:pt>
                <c:pt idx="40">
                  <c:v>3.6</c:v>
                </c:pt>
                <c:pt idx="41">
                  <c:v>2.91</c:v>
                </c:pt>
                <c:pt idx="42">
                  <c:v>6.75</c:v>
                </c:pt>
                <c:pt idx="46">
                  <c:v>5.92</c:v>
                </c:pt>
                <c:pt idx="47">
                  <c:v>5.33</c:v>
                </c:pt>
                <c:pt idx="49">
                  <c:v>4.93</c:v>
                </c:pt>
                <c:pt idx="50">
                  <c:v>2.37</c:v>
                </c:pt>
                <c:pt idx="51">
                  <c:v>6.59</c:v>
                </c:pt>
                <c:pt idx="52">
                  <c:v>5.55</c:v>
                </c:pt>
                <c:pt idx="53">
                  <c:v>5.7</c:v>
                </c:pt>
                <c:pt idx="54">
                  <c:v>6.01</c:v>
                </c:pt>
                <c:pt idx="55">
                  <c:v>6.92</c:v>
                </c:pt>
                <c:pt idx="56">
                  <c:v>4.0199999999999996</c:v>
                </c:pt>
                <c:pt idx="58">
                  <c:v>3.96</c:v>
                </c:pt>
                <c:pt idx="59">
                  <c:v>4.5</c:v>
                </c:pt>
                <c:pt idx="60">
                  <c:v>4.33</c:v>
                </c:pt>
                <c:pt idx="62">
                  <c:v>6.27</c:v>
                </c:pt>
                <c:pt idx="63">
                  <c:v>3.07</c:v>
                </c:pt>
                <c:pt idx="64">
                  <c:v>6.21</c:v>
                </c:pt>
                <c:pt idx="66">
                  <c:v>1.89</c:v>
                </c:pt>
                <c:pt idx="67">
                  <c:v>5.76</c:v>
                </c:pt>
                <c:pt idx="68">
                  <c:v>1.83</c:v>
                </c:pt>
                <c:pt idx="69">
                  <c:v>5.26</c:v>
                </c:pt>
                <c:pt idx="70">
                  <c:v>1.95</c:v>
                </c:pt>
                <c:pt idx="71">
                  <c:v>5.99</c:v>
                </c:pt>
                <c:pt idx="72">
                  <c:v>5.91</c:v>
                </c:pt>
                <c:pt idx="74">
                  <c:v>4.93</c:v>
                </c:pt>
                <c:pt idx="75">
                  <c:v>7.94</c:v>
                </c:pt>
                <c:pt idx="77">
                  <c:v>5.93</c:v>
                </c:pt>
                <c:pt idx="78">
                  <c:v>7.81</c:v>
                </c:pt>
                <c:pt idx="80">
                  <c:v>6.48</c:v>
                </c:pt>
                <c:pt idx="81">
                  <c:v>3.38</c:v>
                </c:pt>
                <c:pt idx="82">
                  <c:v>9.01</c:v>
                </c:pt>
                <c:pt idx="83">
                  <c:v>8.41</c:v>
                </c:pt>
                <c:pt idx="84">
                  <c:v>7.77</c:v>
                </c:pt>
                <c:pt idx="85">
                  <c:v>9.15</c:v>
                </c:pt>
                <c:pt idx="86">
                  <c:v>9.1999999999999993</c:v>
                </c:pt>
                <c:pt idx="87">
                  <c:v>9.0299999999999994</c:v>
                </c:pt>
                <c:pt idx="88">
                  <c:v>7.92</c:v>
                </c:pt>
                <c:pt idx="89">
                  <c:v>8.6300000000000008</c:v>
                </c:pt>
                <c:pt idx="90">
                  <c:v>9.5</c:v>
                </c:pt>
                <c:pt idx="91">
                  <c:v>9.15</c:v>
                </c:pt>
                <c:pt idx="92">
                  <c:v>7.99</c:v>
                </c:pt>
                <c:pt idx="93">
                  <c:v>8.81</c:v>
                </c:pt>
                <c:pt idx="94">
                  <c:v>9.26</c:v>
                </c:pt>
                <c:pt idx="95">
                  <c:v>8.8000000000000007</c:v>
                </c:pt>
                <c:pt idx="96">
                  <c:v>9.93</c:v>
                </c:pt>
                <c:pt idx="97">
                  <c:v>9.39</c:v>
                </c:pt>
                <c:pt idx="98">
                  <c:v>8.36</c:v>
                </c:pt>
                <c:pt idx="99">
                  <c:v>7.98</c:v>
                </c:pt>
                <c:pt idx="100">
                  <c:v>6.38</c:v>
                </c:pt>
                <c:pt idx="101">
                  <c:v>9.09</c:v>
                </c:pt>
              </c:numCache>
            </c:numRef>
          </c:yVal>
          <c:smooth val="0"/>
          <c:extLst>
            <c:ext xmlns:c16="http://schemas.microsoft.com/office/drawing/2014/chart" uri="{C3380CC4-5D6E-409C-BE32-E72D297353CC}">
              <c16:uniqueId val="{00000018-E6B7-402F-9202-9F0F7BF1F541}"/>
            </c:ext>
          </c:extLst>
        </c:ser>
        <c:dLbls>
          <c:showLegendKey val="0"/>
          <c:showVal val="0"/>
          <c:showCatName val="0"/>
          <c:showSerName val="0"/>
          <c:showPercent val="0"/>
          <c:showBubbleSize val="0"/>
        </c:dLbls>
        <c:axId val="1630498592"/>
        <c:axId val="1630501920"/>
      </c:scatterChart>
      <c:valAx>
        <c:axId val="1630498592"/>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30501920"/>
        <c:crosses val="autoZero"/>
        <c:crossBetween val="midCat"/>
      </c:valAx>
      <c:valAx>
        <c:axId val="1630501920"/>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30498592"/>
        <c:crosses val="autoZero"/>
        <c:crossBetween val="midCat"/>
      </c:valAx>
      <c:spPr>
        <a:noFill/>
        <a:ln>
          <a:noFill/>
        </a:ln>
        <a:effectLst/>
      </c:spPr>
    </c:plotArea>
    <c:plotVisOnly val="1"/>
    <c:dispBlanksAs val="gap"/>
    <c:showDLblsOverMax val="0"/>
  </c:chart>
  <c:spPr>
    <a:solidFill>
      <a:srgbClr val="CCECFF"/>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Figure 30.: Democracy index 2016, Bangladesh and comparator countries </a:t>
            </a:r>
            <a:r>
              <a:rPr lang="en-US" sz="900"/>
              <a:t>(Scores 0 to 10; 8 ≤ s ≤ 10 is full democracy; 6 ≤ s &lt; 8 is flawed democracy; 4 ≤ s &lt; 6 is hybrid regimes; and 0 ≤ s &lt; 4 is authoritarian regimes)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'Democracy rank'!$B$2</c:f>
              <c:strCache>
                <c:ptCount val="1"/>
                <c:pt idx="0">
                  <c:v>Democracy index 2016 (Scores 0 to 10; 8 ≤ s ≤ 10 is full democracy; 6 ≤ s &lt; 8 is flawed democracy; 4 ≤ s &lt; 6 is hybrid regimes; and 0 ≤ s &lt; 4 is authoritarian regimes)</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('Democracy rank'!$A$3,'Democracy rank'!$A$6,'Democracy rank'!$A$14,'Democracy rank'!$A$22,'Democracy rank'!$A$27,'Democracy rank'!$A$29:$A$30,'Democracy rank'!$A$39:$A$42,'Democracy rank'!$A$50,'Democracy rank'!$A$52,'Democracy rank'!$A$56,'Democracy rank'!$A$58,'Democracy rank'!$A$66,'Democracy rank'!$A$70,'Democracy rank'!$A$89)</c:f>
              <c:strCache>
                <c:ptCount val="18"/>
                <c:pt idx="0">
                  <c:v>Norway </c:v>
                </c:pt>
                <c:pt idx="1">
                  <c:v>New Zealand </c:v>
                </c:pt>
                <c:pt idx="2">
                  <c:v>Netherlands </c:v>
                </c:pt>
                <c:pt idx="3">
                  <c:v>India</c:v>
                </c:pt>
                <c:pt idx="4">
                  <c:v>Ghana</c:v>
                </c:pt>
                <c:pt idx="5">
                  <c:v>Sri Lanka</c:v>
                </c:pt>
                <c:pt idx="6">
                  <c:v>Singapore </c:v>
                </c:pt>
                <c:pt idx="7">
                  <c:v>Tanzania </c:v>
                </c:pt>
                <c:pt idx="8">
                  <c:v>Bangladesh</c:v>
                </c:pt>
                <c:pt idx="9">
                  <c:v>Mali</c:v>
                </c:pt>
                <c:pt idx="10">
                  <c:v>Benin</c:v>
                </c:pt>
                <c:pt idx="11">
                  <c:v>Bhutan</c:v>
                </c:pt>
                <c:pt idx="12">
                  <c:v>Nepal</c:v>
                </c:pt>
                <c:pt idx="13">
                  <c:v>Pakistan </c:v>
                </c:pt>
                <c:pt idx="14">
                  <c:v>Myanmar</c:v>
                </c:pt>
                <c:pt idx="15">
                  <c:v>Ethiopia</c:v>
                </c:pt>
                <c:pt idx="16">
                  <c:v>Vietnam</c:v>
                </c:pt>
                <c:pt idx="17">
                  <c:v>Tajikistan </c:v>
                </c:pt>
              </c:strCache>
            </c:strRef>
          </c:cat>
          <c:val>
            <c:numRef>
              <c:f>('Democracy rank'!$B$3,'Democracy rank'!$B$6,'Democracy rank'!$B$14,'Democracy rank'!$B$22,'Democracy rank'!$B$27,'Democracy rank'!$B$29:$B$30,'Democracy rank'!$B$39:$B$42,'Democracy rank'!$B$50,'Democracy rank'!$B$52,'Democracy rank'!$B$56,'Democracy rank'!$B$58,'Democracy rank'!$B$66,'Democracy rank'!$B$70,'Democracy rank'!$B$89)</c:f>
              <c:numCache>
                <c:formatCode>0.00</c:formatCode>
                <c:ptCount val="18"/>
                <c:pt idx="0">
                  <c:v>9.93</c:v>
                </c:pt>
                <c:pt idx="1">
                  <c:v>9.26</c:v>
                </c:pt>
                <c:pt idx="2">
                  <c:v>8.8000000000000007</c:v>
                </c:pt>
                <c:pt idx="3">
                  <c:v>7.81</c:v>
                </c:pt>
                <c:pt idx="4">
                  <c:v>6.75</c:v>
                </c:pt>
                <c:pt idx="5">
                  <c:v>6.48</c:v>
                </c:pt>
                <c:pt idx="6">
                  <c:v>6.38</c:v>
                </c:pt>
                <c:pt idx="7">
                  <c:v>5.76</c:v>
                </c:pt>
                <c:pt idx="8">
                  <c:v>5.73</c:v>
                </c:pt>
                <c:pt idx="9">
                  <c:v>5.7</c:v>
                </c:pt>
                <c:pt idx="10">
                  <c:v>5.67</c:v>
                </c:pt>
                <c:pt idx="11">
                  <c:v>4.93</c:v>
                </c:pt>
                <c:pt idx="12">
                  <c:v>4.8600000000000003</c:v>
                </c:pt>
                <c:pt idx="13">
                  <c:v>4.33</c:v>
                </c:pt>
                <c:pt idx="14">
                  <c:v>4.2</c:v>
                </c:pt>
                <c:pt idx="15">
                  <c:v>3.6</c:v>
                </c:pt>
                <c:pt idx="16">
                  <c:v>3.38</c:v>
                </c:pt>
                <c:pt idx="17">
                  <c:v>1.89</c:v>
                </c:pt>
              </c:numCache>
            </c:numRef>
          </c:val>
          <c:extLst>
            <c:ext xmlns:c16="http://schemas.microsoft.com/office/drawing/2014/chart" uri="{C3380CC4-5D6E-409C-BE32-E72D297353CC}">
              <c16:uniqueId val="{00000000-F978-4A7B-980D-955044F42CE8}"/>
            </c:ext>
          </c:extLst>
        </c:ser>
        <c:dLbls>
          <c:dLblPos val="outEnd"/>
          <c:showLegendKey val="0"/>
          <c:showVal val="1"/>
          <c:showCatName val="0"/>
          <c:showSerName val="0"/>
          <c:showPercent val="0"/>
          <c:showBubbleSize val="0"/>
        </c:dLbls>
        <c:gapWidth val="219"/>
        <c:overlap val="-27"/>
        <c:axId val="363808272"/>
        <c:axId val="363815344"/>
      </c:barChart>
      <c:catAx>
        <c:axId val="36380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15344"/>
        <c:crosses val="autoZero"/>
        <c:auto val="1"/>
        <c:lblAlgn val="ctr"/>
        <c:lblOffset val="100"/>
        <c:noMultiLvlLbl val="0"/>
      </c:catAx>
      <c:valAx>
        <c:axId val="3638153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08272"/>
        <c:crosses val="autoZero"/>
        <c:crossBetween val="between"/>
      </c:valAx>
      <c:spPr>
        <a:noFill/>
        <a:ln>
          <a:noFill/>
        </a:ln>
        <a:effectLst/>
      </c:spPr>
    </c:plotArea>
    <c:plotVisOnly val="1"/>
    <c:dispBlanksAs val="gap"/>
    <c:showDLblsOverMax val="0"/>
  </c:chart>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Figure 32: Social institutions and gender index (SiGi) score of selected 59 countries with data</a:t>
            </a:r>
          </a:p>
          <a:p>
            <a:pPr>
              <a:defRPr/>
            </a:pPr>
            <a:r>
              <a:rPr lang="en-US" sz="900" b="0" i="0" u="none" strike="noStrike" baseline="0">
                <a:solidFill>
                  <a:schemeClr val="tx1"/>
                </a:solidFill>
                <a:effectLst/>
                <a:latin typeface="Times New Roman" panose="02020603050405020304" pitchFamily="18" charset="0"/>
                <a:cs typeface="Times New Roman" panose="02020603050405020304" pitchFamily="18" charset="0"/>
              </a:rPr>
              <a:t>Very low (SiGi &lt; 0.04), low (0.04 &lt; SiGi &lt; 0.12), medium (0.12 &lt; SiGi &lt; 0.22), high (0.22 &lt; SiGi &lt; 0.35) and very high (SiGi &gt; 0.35</a:t>
            </a:r>
          </a:p>
          <a:p>
            <a:pPr>
              <a:defRPr/>
            </a:pPr>
            <a:r>
              <a:rPr lang="en-US" sz="900" b="0" i="0" u="none" strike="noStrike" baseline="0">
                <a:solidFill>
                  <a:schemeClr val="tx1"/>
                </a:solidFill>
                <a:effectLst/>
                <a:latin typeface="Times New Roman" panose="02020603050405020304" pitchFamily="18" charset="0"/>
                <a:cs typeface="Times New Roman" panose="02020603050405020304" pitchFamily="18" charset="0"/>
              </a:rPr>
              <a:t>Source: Annex 3  )</a:t>
            </a:r>
            <a:endParaRPr lang="en-US" sz="9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097631015680235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553149606299214E-2"/>
          <c:y val="0.31430555555555556"/>
          <c:w val="0.87122462817147861"/>
          <c:h val="0.57829505686789151"/>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dLbls>
            <c:dLbl>
              <c:idx val="1"/>
              <c:layout>
                <c:manualLayout>
                  <c:x val="-3.0750307503075044E-2"/>
                  <c:y val="7.5757575757575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62-45F1-BE7F-527AE7135D8D}"/>
                </c:ext>
              </c:extLst>
            </c:dLbl>
            <c:dLbl>
              <c:idx val="13"/>
              <c:layout>
                <c:manualLayout>
                  <c:x val="-8.3025830258302583E-2"/>
                  <c:y val="-0.111111111111111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62-45F1-BE7F-527AE7135D8D}"/>
                </c:ext>
              </c:extLst>
            </c:dLbl>
            <c:dLbl>
              <c:idx val="1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62-45F1-BE7F-527AE7135D8D}"/>
                </c:ext>
              </c:extLst>
            </c:dLbl>
            <c:dLbl>
              <c:idx val="22"/>
              <c:layout>
                <c:manualLayout>
                  <c:x val="-8.4132720264210523E-2"/>
                  <c:y val="-0.15824902568997057"/>
                </c:manualLayout>
              </c:layout>
              <c:showLegendKey val="0"/>
              <c:showVal val="1"/>
              <c:showCatName val="1"/>
              <c:showSerName val="0"/>
              <c:showPercent val="0"/>
              <c:showBubbleSize val="0"/>
              <c:extLst>
                <c:ext xmlns:c15="http://schemas.microsoft.com/office/drawing/2012/chart" uri="{CE6537A1-D6FC-4f65-9D91-7224C49458BB}">
                  <c15:layout>
                    <c:manualLayout>
                      <c:w val="0.22367991593301756"/>
                      <c:h val="6.1686152867255227E-2"/>
                    </c:manualLayout>
                  </c15:layout>
                </c:ext>
                <c:ext xmlns:c16="http://schemas.microsoft.com/office/drawing/2014/chart" uri="{C3380CC4-5D6E-409C-BE32-E72D297353CC}">
                  <c16:uniqueId val="{00000003-C062-45F1-BE7F-527AE7135D8D}"/>
                </c:ext>
              </c:extLst>
            </c:dLbl>
            <c:dLbl>
              <c:idx val="27"/>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62-45F1-BE7F-527AE7135D8D}"/>
                </c:ext>
              </c:extLst>
            </c:dLbl>
            <c:dLbl>
              <c:idx val="3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62-45F1-BE7F-527AE7135D8D}"/>
                </c:ext>
              </c:extLst>
            </c:dLbl>
            <c:dLbl>
              <c:idx val="46"/>
              <c:layout>
                <c:manualLayout>
                  <c:x val="1.9444444444444445E-2"/>
                  <c:y val="-5.09259259259259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62-45F1-BE7F-527AE7135D8D}"/>
                </c:ext>
              </c:extLst>
            </c:dLbl>
            <c:dLbl>
              <c:idx val="53"/>
              <c:layout>
                <c:manualLayout>
                  <c:x val="-3.0750307503075031E-3"/>
                  <c:y val="-6.56565656565656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62-45F1-BE7F-527AE7135D8D}"/>
                </c:ext>
              </c:extLst>
            </c:dLbl>
            <c:dLbl>
              <c:idx val="54"/>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62-45F1-BE7F-527AE7135D8D}"/>
                </c:ext>
              </c:extLst>
            </c:dLbl>
            <c:dLbl>
              <c:idx val="55"/>
              <c:layout>
                <c:manualLayout>
                  <c:x val="-4.4444444444444446E-2"/>
                  <c:y val="6.01851851851850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62-45F1-BE7F-527AE7135D8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'Corr with SiGi score'!$A$3:$A$61</c:f>
              <c:strCache>
                <c:ptCount val="59"/>
                <c:pt idx="0">
                  <c:v>Afghanistan</c:v>
                </c:pt>
                <c:pt idx="1">
                  <c:v>Angola</c:v>
                </c:pt>
                <c:pt idx="2">
                  <c:v>Burundi</c:v>
                </c:pt>
                <c:pt idx="3">
                  <c:v>Chad</c:v>
                </c:pt>
                <c:pt idx="4">
                  <c:v>Central African Republic</c:v>
                </c:pt>
                <c:pt idx="5">
                  <c:v>Congo, Dem. Rep.</c:v>
                </c:pt>
                <c:pt idx="6">
                  <c:v>Congo, Rep.</c:v>
                </c:pt>
                <c:pt idx="7">
                  <c:v>Guinea</c:v>
                </c:pt>
                <c:pt idx="8">
                  <c:v>Guinea-Bissau</c:v>
                </c:pt>
                <c:pt idx="9">
                  <c:v>Haiti</c:v>
                </c:pt>
                <c:pt idx="10">
                  <c:v>Liberia</c:v>
                </c:pt>
                <c:pt idx="11">
                  <c:v>Madagascar</c:v>
                </c:pt>
                <c:pt idx="12">
                  <c:v>Mauritania</c:v>
                </c:pt>
                <c:pt idx="13">
                  <c:v>Nepal</c:v>
                </c:pt>
                <c:pt idx="14">
                  <c:v>Sierra Leone</c:v>
                </c:pt>
                <c:pt idx="15">
                  <c:v>Sudan</c:v>
                </c:pt>
                <c:pt idx="16">
                  <c:v>Timor-Leste</c:v>
                </c:pt>
                <c:pt idx="17">
                  <c:v>Togo</c:v>
                </c:pt>
                <c:pt idx="18">
                  <c:v>Zimbabwe</c:v>
                </c:pt>
                <c:pt idx="19">
                  <c:v>Argentina</c:v>
                </c:pt>
                <c:pt idx="20">
                  <c:v>Armenia</c:v>
                </c:pt>
                <c:pt idx="21">
                  <c:v>Azerbaijan</c:v>
                </c:pt>
                <c:pt idx="22">
                  <c:v>Bangladesh</c:v>
                </c:pt>
                <c:pt idx="23">
                  <c:v>Benin</c:v>
                </c:pt>
                <c:pt idx="24">
                  <c:v>Bolivia</c:v>
                </c:pt>
                <c:pt idx="25">
                  <c:v>Bosnia and Herzegovina</c:v>
                </c:pt>
                <c:pt idx="26">
                  <c:v>Burkina Faso</c:v>
                </c:pt>
                <c:pt idx="27">
                  <c:v>Cambodia</c:v>
                </c:pt>
                <c:pt idx="28">
                  <c:v>Cameroon</c:v>
                </c:pt>
                <c:pt idx="29">
                  <c:v>Cote d'Ivoire</c:v>
                </c:pt>
                <c:pt idx="30">
                  <c:v>Ecuador</c:v>
                </c:pt>
                <c:pt idx="31">
                  <c:v>Egypt </c:v>
                </c:pt>
                <c:pt idx="32">
                  <c:v>Ethiopia</c:v>
                </c:pt>
                <c:pt idx="33">
                  <c:v>Gambia, The</c:v>
                </c:pt>
                <c:pt idx="34">
                  <c:v>Ghana</c:v>
                </c:pt>
                <c:pt idx="35">
                  <c:v>Honduras </c:v>
                </c:pt>
                <c:pt idx="36">
                  <c:v>Kenya</c:v>
                </c:pt>
                <c:pt idx="37">
                  <c:v>Kyrgyz Rep </c:v>
                </c:pt>
                <c:pt idx="38">
                  <c:v>Lao PDR</c:v>
                </c:pt>
                <c:pt idx="39">
                  <c:v>Malawi</c:v>
                </c:pt>
                <c:pt idx="40">
                  <c:v>Mali</c:v>
                </c:pt>
                <c:pt idx="41">
                  <c:v>Moldova</c:v>
                </c:pt>
                <c:pt idx="42">
                  <c:v>Mongolia</c:v>
                </c:pt>
                <c:pt idx="43">
                  <c:v>Mozambique</c:v>
                </c:pt>
                <c:pt idx="44">
                  <c:v>Niger</c:v>
                </c:pt>
                <c:pt idx="45">
                  <c:v>Nigeria</c:v>
                </c:pt>
                <c:pt idx="46">
                  <c:v>Pakistan </c:v>
                </c:pt>
                <c:pt idx="47">
                  <c:v>Paraguay </c:v>
                </c:pt>
                <c:pt idx="48">
                  <c:v>Rwanda</c:v>
                </c:pt>
                <c:pt idx="49">
                  <c:v>Senegal</c:v>
                </c:pt>
                <c:pt idx="50">
                  <c:v>Tanzania </c:v>
                </c:pt>
                <c:pt idx="51">
                  <c:v>Uganda</c:v>
                </c:pt>
                <c:pt idx="52">
                  <c:v>Uzbekistan</c:v>
                </c:pt>
                <c:pt idx="53">
                  <c:v>Zambia</c:v>
                </c:pt>
                <c:pt idx="54">
                  <c:v>India</c:v>
                </c:pt>
                <c:pt idx="55">
                  <c:v>Sri Lanka</c:v>
                </c:pt>
                <c:pt idx="56">
                  <c:v>Vietnam</c:v>
                </c:pt>
                <c:pt idx="57">
                  <c:v>Belgium </c:v>
                </c:pt>
                <c:pt idx="58">
                  <c:v>France </c:v>
                </c:pt>
              </c:strCache>
            </c:strRef>
          </c:xVal>
          <c:yVal>
            <c:numRef>
              <c:f>'Corr with SiGi score'!$B$3:$B$61</c:f>
              <c:numCache>
                <c:formatCode>0.00</c:formatCode>
                <c:ptCount val="59"/>
                <c:pt idx="0">
                  <c:v>0.32240000000000002</c:v>
                </c:pt>
                <c:pt idx="1">
                  <c:v>0.71899999999999997</c:v>
                </c:pt>
                <c:pt idx="2">
                  <c:v>0.16619999999999999</c:v>
                </c:pt>
                <c:pt idx="3">
                  <c:v>0.46650000000000003</c:v>
                </c:pt>
                <c:pt idx="4">
                  <c:v>0.32850000000000001</c:v>
                </c:pt>
                <c:pt idx="5">
                  <c:v>0.42759999999999998</c:v>
                </c:pt>
                <c:pt idx="6">
                  <c:v>0.20330000000000001</c:v>
                </c:pt>
                <c:pt idx="7">
                  <c:v>0.3206</c:v>
                </c:pt>
                <c:pt idx="8">
                  <c:v>0.21099999999999999</c:v>
                </c:pt>
                <c:pt idx="9">
                  <c:v>0.14660000000000001</c:v>
                </c:pt>
                <c:pt idx="10">
                  <c:v>0.38279999999999997</c:v>
                </c:pt>
                <c:pt idx="11">
                  <c:v>0.1002</c:v>
                </c:pt>
                <c:pt idx="12">
                  <c:v>0.39539999999999997</c:v>
                </c:pt>
                <c:pt idx="13">
                  <c:v>0.32290000000000002</c:v>
                </c:pt>
                <c:pt idx="14">
                  <c:v>0.372</c:v>
                </c:pt>
                <c:pt idx="15">
                  <c:v>0.55500000000000005</c:v>
                </c:pt>
                <c:pt idx="16">
                  <c:v>0.255</c:v>
                </c:pt>
                <c:pt idx="17">
                  <c:v>0.186</c:v>
                </c:pt>
                <c:pt idx="18">
                  <c:v>0.13919999999999999</c:v>
                </c:pt>
                <c:pt idx="19">
                  <c:v>1.0699999999999999E-2</c:v>
                </c:pt>
                <c:pt idx="20">
                  <c:v>0.24279999999999999</c:v>
                </c:pt>
                <c:pt idx="21">
                  <c:v>0.24030000000000001</c:v>
                </c:pt>
                <c:pt idx="22">
                  <c:v>0.39</c:v>
                </c:pt>
                <c:pt idx="23">
                  <c:v>0.27800000000000002</c:v>
                </c:pt>
                <c:pt idx="24">
                  <c:v>5.79E-2</c:v>
                </c:pt>
                <c:pt idx="25">
                  <c:v>3.3300000000000003E-2</c:v>
                </c:pt>
                <c:pt idx="26">
                  <c:v>0.28189999999999998</c:v>
                </c:pt>
                <c:pt idx="27">
                  <c:v>4.7699999999999999E-2</c:v>
                </c:pt>
                <c:pt idx="28">
                  <c:v>0.28029999999999999</c:v>
                </c:pt>
                <c:pt idx="29">
                  <c:v>0.25369999999999998</c:v>
                </c:pt>
                <c:pt idx="30">
                  <c:v>4.2200000000000001E-2</c:v>
                </c:pt>
                <c:pt idx="31">
                  <c:v>0.42799999999999999</c:v>
                </c:pt>
                <c:pt idx="32">
                  <c:v>0.245</c:v>
                </c:pt>
                <c:pt idx="33">
                  <c:v>0.52400000000000002</c:v>
                </c:pt>
                <c:pt idx="34">
                  <c:v>0.29880000000000001</c:v>
                </c:pt>
                <c:pt idx="35">
                  <c:v>0.1074</c:v>
                </c:pt>
                <c:pt idx="36">
                  <c:v>0.2157</c:v>
                </c:pt>
                <c:pt idx="37">
                  <c:v>0.1598</c:v>
                </c:pt>
                <c:pt idx="38">
                  <c:v>0.14449999999999999</c:v>
                </c:pt>
                <c:pt idx="39">
                  <c:v>0.20730000000000001</c:v>
                </c:pt>
                <c:pt idx="40">
                  <c:v>0.51639999999999997</c:v>
                </c:pt>
                <c:pt idx="41">
                  <c:v>6.6400000000000001E-2</c:v>
                </c:pt>
                <c:pt idx="42">
                  <c:v>3.4500000000000003E-2</c:v>
                </c:pt>
                <c:pt idx="43">
                  <c:v>0.13750000000000001</c:v>
                </c:pt>
                <c:pt idx="44">
                  <c:v>0.4415</c:v>
                </c:pt>
                <c:pt idx="45">
                  <c:v>0.3911</c:v>
                </c:pt>
                <c:pt idx="46">
                  <c:v>0.30130000000000001</c:v>
                </c:pt>
                <c:pt idx="47">
                  <c:v>5.8000000000000003E-2</c:v>
                </c:pt>
                <c:pt idx="48">
                  <c:v>0.13389999999999999</c:v>
                </c:pt>
                <c:pt idx="49">
                  <c:v>0.19850000000000001</c:v>
                </c:pt>
                <c:pt idx="50">
                  <c:v>0.25040000000000001</c:v>
                </c:pt>
                <c:pt idx="51">
                  <c:v>0.21629999999999999</c:v>
                </c:pt>
                <c:pt idx="52">
                  <c:v>0.14749999999999999</c:v>
                </c:pt>
                <c:pt idx="53">
                  <c:v>0.44890000000000002</c:v>
                </c:pt>
                <c:pt idx="54">
                  <c:v>0.26500000000000001</c:v>
                </c:pt>
                <c:pt idx="55">
                  <c:v>0.18940000000000001</c:v>
                </c:pt>
                <c:pt idx="56">
                  <c:v>0.1865</c:v>
                </c:pt>
                <c:pt idx="57" formatCode="0.000">
                  <c:v>1.6000000000000001E-3</c:v>
                </c:pt>
                <c:pt idx="58" formatCode="0.000">
                  <c:v>3.3999999999999998E-3</c:v>
                </c:pt>
              </c:numCache>
            </c:numRef>
          </c:yVal>
          <c:smooth val="0"/>
          <c:extLst>
            <c:ext xmlns:c16="http://schemas.microsoft.com/office/drawing/2014/chart" uri="{C3380CC4-5D6E-409C-BE32-E72D297353CC}">
              <c16:uniqueId val="{0000000A-C062-45F1-BE7F-527AE7135D8D}"/>
            </c:ext>
          </c:extLst>
        </c:ser>
        <c:dLbls>
          <c:showLegendKey val="0"/>
          <c:showVal val="0"/>
          <c:showCatName val="0"/>
          <c:showSerName val="0"/>
          <c:showPercent val="0"/>
          <c:showBubbleSize val="0"/>
        </c:dLbls>
        <c:axId val="2023811215"/>
        <c:axId val="2023821199"/>
      </c:scatterChart>
      <c:valAx>
        <c:axId val="2023811215"/>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23821199"/>
        <c:crosses val="autoZero"/>
        <c:crossBetween val="midCat"/>
      </c:valAx>
      <c:valAx>
        <c:axId val="2023821199"/>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23811215"/>
        <c:crosses val="autoZero"/>
        <c:crossBetween val="midCat"/>
      </c:valAx>
      <c:spPr>
        <a:noFill/>
        <a:ln>
          <a:noFill/>
        </a:ln>
        <a:effectLst/>
      </c:spPr>
    </c:plotArea>
    <c:plotVisOnly val="1"/>
    <c:dispBlanksAs val="gap"/>
    <c:showDLblsOverMax val="0"/>
  </c:chart>
  <c:spPr>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latin typeface="Times New Roman" panose="02020603050405020304" pitchFamily="18" charset="0"/>
                <a:cs typeface="Times New Roman" panose="02020603050405020304" pitchFamily="18" charset="0"/>
              </a:rPr>
              <a:t>CPIA macroeconomic management rating </a:t>
            </a:r>
          </a:p>
          <a:p>
            <a:pPr>
              <a:defRPr/>
            </a:pPr>
            <a:r>
              <a:rPr lang="en-US" sz="1000"/>
              <a:t>(1=low to 6=high)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'CPIA scatter'!$L$2</c:f>
              <c:strCache>
                <c:ptCount val="1"/>
                <c:pt idx="0">
                  <c:v>CPIA macroeconomic management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2"/>
              <c:layout>
                <c:manualLayout>
                  <c:x val="1.0936132983377078E-7"/>
                  <c:y val="-2.7777777777777776E-2"/>
                </c:manualLayout>
              </c:layout>
              <c:showLegendKey val="0"/>
              <c:showVal val="1"/>
              <c:showCatName val="1"/>
              <c:showSerName val="0"/>
              <c:showPercent val="0"/>
              <c:showBubbleSize val="0"/>
              <c:extLst>
                <c:ext xmlns:c15="http://schemas.microsoft.com/office/drawing/2012/chart" uri="{CE6537A1-D6FC-4f65-9D91-7224C49458BB}">
                  <c15:layout>
                    <c:manualLayout>
                      <c:w val="0.16087532808398947"/>
                      <c:h val="3.7599883347914843E-2"/>
                    </c:manualLayout>
                  </c15:layout>
                </c:ext>
                <c:ext xmlns:c16="http://schemas.microsoft.com/office/drawing/2014/chart" uri="{C3380CC4-5D6E-409C-BE32-E72D297353CC}">
                  <c16:uniqueId val="{00000000-28E1-4435-8084-2A8B69618FAE}"/>
                </c:ext>
              </c:extLst>
            </c:dLbl>
            <c:dLbl>
              <c:idx val="3"/>
              <c:layout>
                <c:manualLayout>
                  <c:x val="-6.0732323232323235E-2"/>
                  <c:y val="0.26517489711934156"/>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639435695538057"/>
                      <c:h val="4.6344901331777974E-2"/>
                    </c:manualLayout>
                  </c15:layout>
                </c:ext>
                <c:ext xmlns:c16="http://schemas.microsoft.com/office/drawing/2014/chart" uri="{C3380CC4-5D6E-409C-BE32-E72D297353CC}">
                  <c16:uniqueId val="{00000001-28E1-4435-8084-2A8B69618FAE}"/>
                </c:ext>
              </c:extLst>
            </c:dLbl>
            <c:dLbl>
              <c:idx val="8"/>
              <c:layout>
                <c:manualLayout>
                  <c:x val="0.20833333333333334"/>
                  <c:y val="0.32407407407407401"/>
                </c:manualLayout>
              </c:layout>
              <c:showLegendKey val="0"/>
              <c:showVal val="1"/>
              <c:showCatName val="1"/>
              <c:showSerName val="0"/>
              <c:showPercent val="0"/>
              <c:showBubbleSize val="0"/>
              <c:extLst>
                <c:ext xmlns:c15="http://schemas.microsoft.com/office/drawing/2012/chart" uri="{CE6537A1-D6FC-4f65-9D91-7224C49458BB}">
                  <c15:layout>
                    <c:manualLayout>
                      <c:w val="0.23190726159230096"/>
                      <c:h val="4.7286380869058037E-2"/>
                    </c:manualLayout>
                  </c15:layout>
                </c:ext>
                <c:ext xmlns:c16="http://schemas.microsoft.com/office/drawing/2014/chart" uri="{C3380CC4-5D6E-409C-BE32-E72D297353CC}">
                  <c16:uniqueId val="{00000002-28E1-4435-8084-2A8B69618FAE}"/>
                </c:ext>
              </c:extLst>
            </c:dLbl>
            <c:dLbl>
              <c:idx val="9"/>
              <c:layout>
                <c:manualLayout>
                  <c:x val="-3.888888888888889E-2"/>
                  <c:y val="5.7870370370370364E-2"/>
                </c:manualLayout>
              </c:layout>
              <c:showLegendKey val="0"/>
              <c:showVal val="1"/>
              <c:showCatName val="1"/>
              <c:showSerName val="0"/>
              <c:showPercent val="0"/>
              <c:showBubbleSize val="0"/>
              <c:extLst>
                <c:ext xmlns:c15="http://schemas.microsoft.com/office/drawing/2012/chart" uri="{CE6537A1-D6FC-4f65-9D91-7224C49458BB}">
                  <c15:layout>
                    <c:manualLayout>
                      <c:w val="0.15497090988626422"/>
                      <c:h val="3.2970253718285214E-2"/>
                    </c:manualLayout>
                  </c15:layout>
                </c:ext>
                <c:ext xmlns:c16="http://schemas.microsoft.com/office/drawing/2014/chart" uri="{C3380CC4-5D6E-409C-BE32-E72D297353CC}">
                  <c16:uniqueId val="{00000003-28E1-4435-8084-2A8B69618FAE}"/>
                </c:ext>
              </c:extLst>
            </c:dLbl>
            <c:dLbl>
              <c:idx val="18"/>
              <c:layout>
                <c:manualLayout>
                  <c:x val="-7.5000000000000025E-2"/>
                  <c:y val="-4.1666666666666664E-2"/>
                </c:manualLayout>
              </c:layout>
              <c:showLegendKey val="0"/>
              <c:showVal val="1"/>
              <c:showCatName val="1"/>
              <c:showSerName val="0"/>
              <c:showPercent val="0"/>
              <c:showBubbleSize val="0"/>
              <c:extLst>
                <c:ext xmlns:c15="http://schemas.microsoft.com/office/drawing/2012/chart" uri="{CE6537A1-D6FC-4f65-9D91-7224C49458BB}">
                  <c15:layout>
                    <c:manualLayout>
                      <c:w val="0.21759755030621175"/>
                      <c:h val="4.7286380869058037E-2"/>
                    </c:manualLayout>
                  </c15:layout>
                </c:ext>
                <c:ext xmlns:c16="http://schemas.microsoft.com/office/drawing/2014/chart" uri="{C3380CC4-5D6E-409C-BE32-E72D297353CC}">
                  <c16:uniqueId val="{00000004-28E1-4435-8084-2A8B69618FAE}"/>
                </c:ext>
              </c:extLst>
            </c:dLbl>
            <c:dLbl>
              <c:idx val="21"/>
              <c:layout>
                <c:manualLayout>
                  <c:x val="-0.16944444444444448"/>
                  <c:y val="6.7129629629629553E-2"/>
                </c:manualLayout>
              </c:layout>
              <c:showLegendKey val="0"/>
              <c:showVal val="1"/>
              <c:showCatName val="1"/>
              <c:showSerName val="0"/>
              <c:showPercent val="0"/>
              <c:showBubbleSize val="0"/>
              <c:extLst>
                <c:ext xmlns:c15="http://schemas.microsoft.com/office/drawing/2012/chart" uri="{CE6537A1-D6FC-4f65-9D91-7224C49458BB}">
                  <c15:layout>
                    <c:manualLayout>
                      <c:w val="0.14241907261592301"/>
                      <c:h val="4.222951297754448E-2"/>
                    </c:manualLayout>
                  </c15:layout>
                </c:ext>
                <c:ext xmlns:c16="http://schemas.microsoft.com/office/drawing/2014/chart" uri="{C3380CC4-5D6E-409C-BE32-E72D297353CC}">
                  <c16:uniqueId val="{00000005-28E1-4435-8084-2A8B69618FAE}"/>
                </c:ext>
              </c:extLst>
            </c:dLbl>
            <c:dLbl>
              <c:idx val="22"/>
              <c:layout>
                <c:manualLayout>
                  <c:x val="8.611111111111111E-2"/>
                  <c:y val="0.1805555555555554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E1-4435-8084-2A8B69618FAE}"/>
                </c:ext>
              </c:extLst>
            </c:dLbl>
            <c:dLbl>
              <c:idx val="27"/>
              <c:layout>
                <c:manualLayout>
                  <c:x val="-8.0555555555555561E-2"/>
                  <c:y val="0.15740740740740741"/>
                </c:manualLayout>
              </c:layout>
              <c:showLegendKey val="0"/>
              <c:showVal val="1"/>
              <c:showCatName val="1"/>
              <c:showSerName val="0"/>
              <c:showPercent val="0"/>
              <c:showBubbleSize val="0"/>
              <c:extLst>
                <c:ext xmlns:c15="http://schemas.microsoft.com/office/drawing/2012/chart" uri="{CE6537A1-D6FC-4f65-9D91-7224C49458BB}">
                  <c15:layout>
                    <c:manualLayout>
                      <c:w val="0.19675000000000001"/>
                      <c:h val="3.7599883347914843E-2"/>
                    </c:manualLayout>
                  </c15:layout>
                </c:ext>
                <c:ext xmlns:c16="http://schemas.microsoft.com/office/drawing/2014/chart" uri="{C3380CC4-5D6E-409C-BE32-E72D297353CC}">
                  <c16:uniqueId val="{00000007-28E1-4435-8084-2A8B69618FAE}"/>
                </c:ext>
              </c:extLst>
            </c:dLbl>
            <c:dLbl>
              <c:idx val="33"/>
              <c:layout>
                <c:manualLayout>
                  <c:x val="-0.13333333333333339"/>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8E1-4435-8084-2A8B69618FAE}"/>
                </c:ext>
              </c:extLst>
            </c:dLbl>
            <c:dLbl>
              <c:idx val="34"/>
              <c:layout>
                <c:manualLayout>
                  <c:x val="-5.0925337632079971E-17"/>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E1-4435-8084-2A8B69618FAE}"/>
                </c:ext>
              </c:extLst>
            </c:dLbl>
            <c:dLbl>
              <c:idx val="42"/>
              <c:layout>
                <c:manualLayout>
                  <c:x val="0.25555555555555554"/>
                  <c:y val="-4.629629629629629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E1-4435-8084-2A8B69618FAE}"/>
                </c:ext>
              </c:extLst>
            </c:dLbl>
            <c:dLbl>
              <c:idx val="43"/>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E1-4435-8084-2A8B69618FAE}"/>
                </c:ext>
              </c:extLst>
            </c:dLbl>
            <c:dLbl>
              <c:idx val="52"/>
              <c:layout>
                <c:manualLayout>
                  <c:x val="-2.7777777777777779E-3"/>
                  <c:y val="0.111111111111111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8E1-4435-8084-2A8B69618FAE}"/>
                </c:ext>
              </c:extLst>
            </c:dLbl>
            <c:dLbl>
              <c:idx val="63"/>
              <c:layout>
                <c:manualLayout>
                  <c:x val="7.7777777777777779E-2"/>
                  <c:y val="6.9444444444444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E1-4435-8084-2A8B69618FAE}"/>
                </c:ext>
              </c:extLst>
            </c:dLbl>
            <c:dLbl>
              <c:idx val="64"/>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E1-4435-8084-2A8B69618FAE}"/>
                </c:ext>
              </c:extLst>
            </c:dLbl>
            <c:dLbl>
              <c:idx val="71"/>
              <c:layout>
                <c:manualLayout>
                  <c:x val="-6.9444444444444448E-2"/>
                  <c:y val="-9.2592592592592587E-2"/>
                </c:manualLayout>
              </c:layout>
              <c:showLegendKey val="0"/>
              <c:showVal val="1"/>
              <c:showCatName val="1"/>
              <c:showSerName val="0"/>
              <c:showPercent val="0"/>
              <c:showBubbleSize val="0"/>
              <c:extLst>
                <c:ext xmlns:c15="http://schemas.microsoft.com/office/drawing/2012/chart" uri="{CE6537A1-D6FC-4f65-9D91-7224C49458BB}">
                  <c15:layout>
                    <c:manualLayout>
                      <c:w val="0.16443744531933507"/>
                      <c:h val="4.6859142607174095E-2"/>
                    </c:manualLayout>
                  </c15:layout>
                </c:ext>
                <c:ext xmlns:c16="http://schemas.microsoft.com/office/drawing/2014/chart" uri="{C3380CC4-5D6E-409C-BE32-E72D297353CC}">
                  <c16:uniqueId val="{0000000F-28E1-4435-8084-2A8B69618FAE}"/>
                </c:ext>
              </c:extLst>
            </c:dLbl>
            <c:dLbl>
              <c:idx val="77"/>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8E1-4435-8084-2A8B69618F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scatter'!$L$3:$L$83</c:f>
              <c:numCache>
                <c:formatCode>0.00</c:formatCode>
                <c:ptCount val="81"/>
                <c:pt idx="0">
                  <c:v>3.5</c:v>
                </c:pt>
                <c:pt idx="1">
                  <c:v>3</c:v>
                </c:pt>
                <c:pt idx="2">
                  <c:v>4.5</c:v>
                </c:pt>
                <c:pt idx="3">
                  <c:v>4</c:v>
                </c:pt>
                <c:pt idx="4">
                  <c:v>4</c:v>
                </c:pt>
                <c:pt idx="5">
                  <c:v>4</c:v>
                </c:pt>
                <c:pt idx="6">
                  <c:v>3</c:v>
                </c:pt>
                <c:pt idx="7">
                  <c:v>4</c:v>
                </c:pt>
                <c:pt idx="8">
                  <c:v>4</c:v>
                </c:pt>
                <c:pt idx="9">
                  <c:v>3</c:v>
                </c:pt>
                <c:pt idx="10">
                  <c:v>4</c:v>
                </c:pt>
                <c:pt idx="11">
                  <c:v>4</c:v>
                </c:pt>
                <c:pt idx="12">
                  <c:v>4</c:v>
                </c:pt>
                <c:pt idx="13">
                  <c:v>3</c:v>
                </c:pt>
                <c:pt idx="14">
                  <c:v>3</c:v>
                </c:pt>
                <c:pt idx="15">
                  <c:v>3</c:v>
                </c:pt>
                <c:pt idx="16">
                  <c:v>3.5</c:v>
                </c:pt>
                <c:pt idx="17">
                  <c:v>3.5</c:v>
                </c:pt>
                <c:pt idx="18">
                  <c:v>4</c:v>
                </c:pt>
                <c:pt idx="19">
                  <c:v>3.5</c:v>
                </c:pt>
                <c:pt idx="20">
                  <c:v>4</c:v>
                </c:pt>
                <c:pt idx="21">
                  <c:v>1.5</c:v>
                </c:pt>
                <c:pt idx="22">
                  <c:v>3.5</c:v>
                </c:pt>
                <c:pt idx="23">
                  <c:v>3</c:v>
                </c:pt>
                <c:pt idx="25">
                  <c:v>3</c:v>
                </c:pt>
                <c:pt idx="26">
                  <c:v>3.5</c:v>
                </c:pt>
                <c:pt idx="27">
                  <c:v>2</c:v>
                </c:pt>
                <c:pt idx="28">
                  <c:v>2.5</c:v>
                </c:pt>
                <c:pt idx="29">
                  <c:v>3.5</c:v>
                </c:pt>
                <c:pt idx="30">
                  <c:v>3.5</c:v>
                </c:pt>
                <c:pt idx="31">
                  <c:v>3.5</c:v>
                </c:pt>
                <c:pt idx="32">
                  <c:v>4</c:v>
                </c:pt>
                <c:pt idx="33">
                  <c:v>4.5</c:v>
                </c:pt>
                <c:pt idx="34">
                  <c:v>4.5</c:v>
                </c:pt>
                <c:pt idx="35">
                  <c:v>4</c:v>
                </c:pt>
                <c:pt idx="36">
                  <c:v>3</c:v>
                </c:pt>
                <c:pt idx="37">
                  <c:v>3.5</c:v>
                </c:pt>
                <c:pt idx="38">
                  <c:v>3.5</c:v>
                </c:pt>
                <c:pt idx="39">
                  <c:v>3.5</c:v>
                </c:pt>
                <c:pt idx="40">
                  <c:v>3.5</c:v>
                </c:pt>
                <c:pt idx="41">
                  <c:v>3.5</c:v>
                </c:pt>
                <c:pt idx="42">
                  <c:v>2.5</c:v>
                </c:pt>
                <c:pt idx="43">
                  <c:v>4.5</c:v>
                </c:pt>
                <c:pt idx="44">
                  <c:v>3.5</c:v>
                </c:pt>
                <c:pt idx="45">
                  <c:v>3</c:v>
                </c:pt>
                <c:pt idx="46">
                  <c:v>3</c:v>
                </c:pt>
                <c:pt idx="47">
                  <c:v>4</c:v>
                </c:pt>
                <c:pt idx="48">
                  <c:v>3.5</c:v>
                </c:pt>
                <c:pt idx="49">
                  <c:v>3</c:v>
                </c:pt>
                <c:pt idx="50">
                  <c:v>4</c:v>
                </c:pt>
                <c:pt idx="51">
                  <c:v>4</c:v>
                </c:pt>
                <c:pt idx="52">
                  <c:v>3</c:v>
                </c:pt>
                <c:pt idx="53">
                  <c:v>4</c:v>
                </c:pt>
                <c:pt idx="54">
                  <c:v>3.5</c:v>
                </c:pt>
                <c:pt idx="55">
                  <c:v>4</c:v>
                </c:pt>
                <c:pt idx="56">
                  <c:v>3</c:v>
                </c:pt>
                <c:pt idx="57">
                  <c:v>3.5</c:v>
                </c:pt>
                <c:pt idx="58">
                  <c:v>3</c:v>
                </c:pt>
                <c:pt idx="59">
                  <c:v>4</c:v>
                </c:pt>
                <c:pt idx="60">
                  <c:v>3</c:v>
                </c:pt>
                <c:pt idx="61">
                  <c:v>4</c:v>
                </c:pt>
                <c:pt idx="62">
                  <c:v>3.5</c:v>
                </c:pt>
                <c:pt idx="63">
                  <c:v>4</c:v>
                </c:pt>
                <c:pt idx="64">
                  <c:v>1.5</c:v>
                </c:pt>
                <c:pt idx="65">
                  <c:v>3</c:v>
                </c:pt>
                <c:pt idx="66">
                  <c:v>4</c:v>
                </c:pt>
                <c:pt idx="67">
                  <c:v>3</c:v>
                </c:pt>
                <c:pt idx="68">
                  <c:v>3.5</c:v>
                </c:pt>
                <c:pt idx="69">
                  <c:v>3.5</c:v>
                </c:pt>
                <c:pt idx="70">
                  <c:v>3</c:v>
                </c:pt>
                <c:pt idx="71">
                  <c:v>4.5</c:v>
                </c:pt>
                <c:pt idx="72">
                  <c:v>4</c:v>
                </c:pt>
                <c:pt idx="73">
                  <c:v>4</c:v>
                </c:pt>
                <c:pt idx="74">
                  <c:v>4</c:v>
                </c:pt>
                <c:pt idx="75">
                  <c:v>4</c:v>
                </c:pt>
                <c:pt idx="76">
                  <c:v>4</c:v>
                </c:pt>
                <c:pt idx="77">
                  <c:v>4.5</c:v>
                </c:pt>
                <c:pt idx="78">
                  <c:v>3</c:v>
                </c:pt>
                <c:pt idx="79">
                  <c:v>3</c:v>
                </c:pt>
                <c:pt idx="80">
                  <c:v>3</c:v>
                </c:pt>
              </c:numCache>
            </c:numRef>
          </c:yVal>
          <c:smooth val="0"/>
          <c:extLst>
            <c:ext xmlns:c16="http://schemas.microsoft.com/office/drawing/2014/chart" uri="{C3380CC4-5D6E-409C-BE32-E72D297353CC}">
              <c16:uniqueId val="{00000011-28E1-4435-8084-2A8B69618FAE}"/>
            </c:ext>
          </c:extLst>
        </c:ser>
        <c:dLbls>
          <c:showLegendKey val="0"/>
          <c:showVal val="0"/>
          <c:showCatName val="0"/>
          <c:showSerName val="0"/>
          <c:showPercent val="0"/>
          <c:showBubbleSize val="0"/>
        </c:dLbls>
        <c:axId val="1549830496"/>
        <c:axId val="1549842976"/>
      </c:scatterChart>
      <c:valAx>
        <c:axId val="1549830496"/>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9842976"/>
        <c:crosses val="autoZero"/>
        <c:crossBetween val="midCat"/>
      </c:valAx>
      <c:valAx>
        <c:axId val="1549842976"/>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9830496"/>
        <c:crosses val="autoZero"/>
        <c:crossBetween val="midCat"/>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Figure 33: Levels of gender discrimination in social institutions 2014 </a:t>
            </a:r>
            <a:r>
              <a:rPr lang="en-US" sz="900"/>
              <a:t>- Very low (SiGi &lt; 0.04), low (0.04 &lt; SiGi &lt; 0.12), medium (0.12 &lt; SiGi &lt; 0.22), high (0.22 &lt; SiGi &lt; 0.35) and very high (SiGi &gt; 0.35 )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'SiGi rank'!$B$2</c:f>
              <c:strCache>
                <c:ptCount val="1"/>
                <c:pt idx="0">
                  <c:v>Levels of gender discrimination in social institutions 2014 - Very low (SiGi &lt; 0.04), low (0.04 &lt; SiGi &lt; 0.12), medium (0.12 &lt; SiGi &lt; 0.22), high (0.22 &lt; SiGi &lt; 0.35) and very high (SiGi &gt; 0.35  )</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('SiGi rank'!$A$3,'SiGi rank'!$A$8,'SiGi rank'!$A$10,'SiGi rank'!$A$14,'SiGi rank'!$A$18:$A$19,'SiGi rank'!$A$21,'SiGi rank'!$A$24,'SiGi rank'!$A$28:$A$29,'SiGi rank'!$A$32,'SiGi rank'!$A$33:$A$34,'SiGi rank'!$A$38,'SiGi rank'!$A$39,'SiGi rank'!$A$40,'SiGi rank'!$A$55:$A$56)</c:f>
              <c:strCache>
                <c:ptCount val="18"/>
                <c:pt idx="0">
                  <c:v>Angola</c:v>
                </c:pt>
                <c:pt idx="1">
                  <c:v>Zambia</c:v>
                </c:pt>
                <c:pt idx="2">
                  <c:v>Egypt </c:v>
                </c:pt>
                <c:pt idx="3">
                  <c:v>Bangladesh</c:v>
                </c:pt>
                <c:pt idx="4">
                  <c:v>Nepal</c:v>
                </c:pt>
                <c:pt idx="5">
                  <c:v>Afghanistan</c:v>
                </c:pt>
                <c:pt idx="6">
                  <c:v>Pakistan </c:v>
                </c:pt>
                <c:pt idx="7">
                  <c:v>Cameroon</c:v>
                </c:pt>
                <c:pt idx="8">
                  <c:v>Cote d'Ivoire</c:v>
                </c:pt>
                <c:pt idx="9">
                  <c:v>Tanzania </c:v>
                </c:pt>
                <c:pt idx="10">
                  <c:v>Azerbaijan</c:v>
                </c:pt>
                <c:pt idx="11">
                  <c:v>Uganda</c:v>
                </c:pt>
                <c:pt idx="12">
                  <c:v>Kenya</c:v>
                </c:pt>
                <c:pt idx="13">
                  <c:v>Senegal</c:v>
                </c:pt>
                <c:pt idx="14">
                  <c:v>Sri Lanka</c:v>
                </c:pt>
                <c:pt idx="15">
                  <c:v>Vietnam</c:v>
                </c:pt>
                <c:pt idx="16">
                  <c:v>Cambodia</c:v>
                </c:pt>
                <c:pt idx="17">
                  <c:v>Ecuador</c:v>
                </c:pt>
              </c:strCache>
            </c:strRef>
          </c:cat>
          <c:val>
            <c:numRef>
              <c:f>('SiGi rank'!$B$3,'SiGi rank'!$B$8,'SiGi rank'!$B$10,'SiGi rank'!$B$14,'SiGi rank'!$B$18:$B$19,'SiGi rank'!$B$21,'SiGi rank'!$B$24,'SiGi rank'!$B$28:$B$29,'SiGi rank'!$B$32,'SiGi rank'!$B$33:$B$34,'SiGi rank'!$B$38,'SiGi rank'!$B$39,'SiGi rank'!$B$40,'SiGi rank'!$B$55:$B$56)</c:f>
              <c:numCache>
                <c:formatCode>0.00</c:formatCode>
                <c:ptCount val="18"/>
                <c:pt idx="0">
                  <c:v>0.71899999999999997</c:v>
                </c:pt>
                <c:pt idx="1">
                  <c:v>0.44890000000000002</c:v>
                </c:pt>
                <c:pt idx="2">
                  <c:v>0.42799999999999999</c:v>
                </c:pt>
                <c:pt idx="3">
                  <c:v>0.39</c:v>
                </c:pt>
                <c:pt idx="4">
                  <c:v>0.32290000000000002</c:v>
                </c:pt>
                <c:pt idx="5">
                  <c:v>0.32240000000000002</c:v>
                </c:pt>
                <c:pt idx="6">
                  <c:v>0.30130000000000001</c:v>
                </c:pt>
                <c:pt idx="7">
                  <c:v>0.28029999999999999</c:v>
                </c:pt>
                <c:pt idx="8">
                  <c:v>0.25369999999999998</c:v>
                </c:pt>
                <c:pt idx="9">
                  <c:v>0.25040000000000001</c:v>
                </c:pt>
                <c:pt idx="10">
                  <c:v>0.24030000000000001</c:v>
                </c:pt>
                <c:pt idx="11">
                  <c:v>0.21629999999999999</c:v>
                </c:pt>
                <c:pt idx="12">
                  <c:v>0.2157</c:v>
                </c:pt>
                <c:pt idx="13">
                  <c:v>0.19850000000000001</c:v>
                </c:pt>
                <c:pt idx="14">
                  <c:v>0.18940000000000001</c:v>
                </c:pt>
                <c:pt idx="15">
                  <c:v>0.1865</c:v>
                </c:pt>
                <c:pt idx="16">
                  <c:v>4.7699999999999999E-2</c:v>
                </c:pt>
                <c:pt idx="17">
                  <c:v>4.2200000000000001E-2</c:v>
                </c:pt>
              </c:numCache>
            </c:numRef>
          </c:val>
          <c:extLst>
            <c:ext xmlns:c16="http://schemas.microsoft.com/office/drawing/2014/chart" uri="{C3380CC4-5D6E-409C-BE32-E72D297353CC}">
              <c16:uniqueId val="{00000000-E086-496E-97CA-13366A32C069}"/>
            </c:ext>
          </c:extLst>
        </c:ser>
        <c:dLbls>
          <c:dLblPos val="outEnd"/>
          <c:showLegendKey val="0"/>
          <c:showVal val="1"/>
          <c:showCatName val="0"/>
          <c:showSerName val="0"/>
          <c:showPercent val="0"/>
          <c:showBubbleSize val="0"/>
        </c:dLbls>
        <c:gapWidth val="219"/>
        <c:overlap val="-27"/>
        <c:axId val="983603679"/>
        <c:axId val="983588287"/>
      </c:barChart>
      <c:catAx>
        <c:axId val="98360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3588287"/>
        <c:crosses val="autoZero"/>
        <c:auto val="1"/>
        <c:lblAlgn val="ctr"/>
        <c:lblOffset val="100"/>
        <c:noMultiLvlLbl val="0"/>
      </c:catAx>
      <c:valAx>
        <c:axId val="983588287"/>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3603679"/>
        <c:crosses val="autoZero"/>
        <c:crossBetween val="between"/>
      </c:valAx>
      <c:spPr>
        <a:noFill/>
        <a:ln>
          <a:noFill/>
        </a:ln>
        <a:effectLst/>
      </c:spPr>
    </c:plotArea>
    <c:plotVisOnly val="1"/>
    <c:dispBlanksAs val="gap"/>
    <c:showDLblsOverMax val="0"/>
  </c:chart>
  <c:spPr>
    <a:gradFill flip="none" rotWithShape="1">
      <a:gsLst>
        <a:gs pos="0">
          <a:srgbClr val="FF66CC">
            <a:tint val="66000"/>
            <a:satMod val="160000"/>
          </a:srgbClr>
        </a:gs>
        <a:gs pos="50000">
          <a:srgbClr val="FF66CC">
            <a:tint val="44500"/>
            <a:satMod val="160000"/>
          </a:srgbClr>
        </a:gs>
        <a:gs pos="100000">
          <a:srgbClr val="FF66CC">
            <a:tint val="23500"/>
            <a:satMod val="160000"/>
          </a:srgbClr>
        </a:gs>
      </a:gsLst>
      <a:lin ang="81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Figure 34: Rule of Law 2015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Sheet1!$C$2</c:f>
              <c:strCache>
                <c:ptCount val="1"/>
                <c:pt idx="0">
                  <c:v>Rule of Law 2015</c:v>
                </c:pt>
              </c:strCache>
            </c:strRef>
          </c:tx>
          <c:spPr>
            <a:solidFill>
              <a:srgbClr val="BA75FF"/>
            </a:solidFill>
            <a:ln>
              <a:noFill/>
            </a:ln>
            <a:effectLst/>
          </c:spPr>
          <c:invertIfNegative val="0"/>
          <c:dLbls>
            <c:dLbl>
              <c:idx val="0"/>
              <c:layout>
                <c:manualLayout>
                  <c:x val="-1.2731334408019993E-17"/>
                  <c:y val="0.398148148148148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19-4DE4-8F23-6636925ADBA0}"/>
                </c:ext>
              </c:extLst>
            </c:dLbl>
            <c:dLbl>
              <c:idx val="1"/>
              <c:layout>
                <c:manualLayout>
                  <c:x val="2.7777777777777779E-3"/>
                  <c:y val="0.36111111111111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19-4DE4-8F23-6636925ADBA0}"/>
                </c:ext>
              </c:extLst>
            </c:dLbl>
            <c:dLbl>
              <c:idx val="2"/>
              <c:layout>
                <c:manualLayout>
                  <c:x val="-2.7777777777777779E-3"/>
                  <c:y val="0.3333333333333334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19-4DE4-8F23-6636925ADBA0}"/>
                </c:ext>
              </c:extLst>
            </c:dLbl>
            <c:dLbl>
              <c:idx val="3"/>
              <c:layout>
                <c:manualLayout>
                  <c:x val="2.7777777777777779E-3"/>
                  <c:y val="0.310185185185185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19-4DE4-8F23-6636925ADBA0}"/>
                </c:ext>
              </c:extLst>
            </c:dLbl>
            <c:dLbl>
              <c:idx val="4"/>
              <c:layout>
                <c:manualLayout>
                  <c:x val="0"/>
                  <c:y val="0.282407407407407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19-4DE4-8F23-6636925ADBA0}"/>
                </c:ext>
              </c:extLst>
            </c:dLbl>
            <c:dLbl>
              <c:idx val="5"/>
              <c:layout>
                <c:manualLayout>
                  <c:x val="-5.0925337632079971E-17"/>
                  <c:y val="0.263888888888888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19-4DE4-8F23-6636925ADBA0}"/>
                </c:ext>
              </c:extLst>
            </c:dLbl>
            <c:dLbl>
              <c:idx val="6"/>
              <c:layout>
                <c:manualLayout>
                  <c:x val="0"/>
                  <c:y val="0.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19-4DE4-8F23-6636925ADBA0}"/>
                </c:ext>
              </c:extLst>
            </c:dLbl>
            <c:dLbl>
              <c:idx val="7"/>
              <c:layout>
                <c:manualLayout>
                  <c:x val="-5.0925337632079971E-17"/>
                  <c:y val="0.250000000000000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19-4DE4-8F23-6636925ADBA0}"/>
                </c:ext>
              </c:extLst>
            </c:dLbl>
            <c:dLbl>
              <c:idx val="8"/>
              <c:layout>
                <c:manualLayout>
                  <c:x val="0"/>
                  <c:y val="0.2314814814814814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19-4DE4-8F23-6636925ADBA0}"/>
                </c:ext>
              </c:extLst>
            </c:dLbl>
            <c:dLbl>
              <c:idx val="9"/>
              <c:layout>
                <c:manualLayout>
                  <c:x val="0"/>
                  <c:y val="0.199074074074074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19-4DE4-8F23-6636925ADBA0}"/>
                </c:ext>
              </c:extLst>
            </c:dLbl>
            <c:dLbl>
              <c:idx val="10"/>
              <c:layout>
                <c:manualLayout>
                  <c:x val="-1.0185067526415994E-16"/>
                  <c:y val="0.199074074074074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19-4DE4-8F23-6636925ADBA0}"/>
                </c:ext>
              </c:extLst>
            </c:dLbl>
            <c:dLbl>
              <c:idx val="11"/>
              <c:layout>
                <c:manualLayout>
                  <c:x val="0"/>
                  <c:y val="0.189814814814814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19-4DE4-8F23-6636925ADBA0}"/>
                </c:ext>
              </c:extLst>
            </c:dLbl>
            <c:dLbl>
              <c:idx val="12"/>
              <c:layout>
                <c:manualLayout>
                  <c:x val="-1.0185067526415994E-16"/>
                  <c:y val="0.1805555555555555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319-4DE4-8F23-6636925ADBA0}"/>
                </c:ext>
              </c:extLst>
            </c:dLbl>
            <c:dLbl>
              <c:idx val="13"/>
              <c:layout>
                <c:manualLayout>
                  <c:x val="-8.3333333333334356E-3"/>
                  <c:y val="0.1805555555555555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19-4DE4-8F23-6636925ADBA0}"/>
                </c:ext>
              </c:extLst>
            </c:dLbl>
            <c:dLbl>
              <c:idx val="14"/>
              <c:layout>
                <c:manualLayout>
                  <c:x val="0"/>
                  <c:y val="0.152777777777777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319-4DE4-8F23-6636925ADBA0}"/>
                </c:ext>
              </c:extLst>
            </c:dLbl>
            <c:spPr>
              <a:noFill/>
              <a:ln>
                <a:noFill/>
              </a:ln>
              <a:effectLst/>
            </c:spPr>
            <c:txPr>
              <a:bodyPr rot="-540000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Sheet1!$B$3:$B$21</c:f>
              <c:strCache>
                <c:ptCount val="19"/>
                <c:pt idx="0">
                  <c:v>AFGHANISTAN</c:v>
                </c:pt>
                <c:pt idx="1">
                  <c:v>ZIMBABWE</c:v>
                </c:pt>
                <c:pt idx="2">
                  <c:v>MYANMAR</c:v>
                </c:pt>
                <c:pt idx="3">
                  <c:v>ANGOLA</c:v>
                </c:pt>
                <c:pt idx="4">
                  <c:v>CAMBODIA</c:v>
                </c:pt>
                <c:pt idx="5">
                  <c:v>PAKISTAN</c:v>
                </c:pt>
                <c:pt idx="6">
                  <c:v>NEPAL</c:v>
                </c:pt>
                <c:pt idx="7">
                  <c:v>BANGLADESH</c:v>
                </c:pt>
                <c:pt idx="8">
                  <c:v>BENIN</c:v>
                </c:pt>
                <c:pt idx="9">
                  <c:v>ETHIOPIA</c:v>
                </c:pt>
                <c:pt idx="10">
                  <c:v>INDONESIA</c:v>
                </c:pt>
                <c:pt idx="11">
                  <c:v>CHINA</c:v>
                </c:pt>
                <c:pt idx="12">
                  <c:v>VIETNAM</c:v>
                </c:pt>
                <c:pt idx="13">
                  <c:v>BRAZIL</c:v>
                </c:pt>
                <c:pt idx="14">
                  <c:v>INDIA</c:v>
                </c:pt>
                <c:pt idx="15">
                  <c:v>SRI LANKA</c:v>
                </c:pt>
                <c:pt idx="16">
                  <c:v>BHUTAN</c:v>
                </c:pt>
                <c:pt idx="17">
                  <c:v>MALAYSIA</c:v>
                </c:pt>
                <c:pt idx="18">
                  <c:v>SINGAPORE</c:v>
                </c:pt>
              </c:strCache>
            </c:strRef>
          </c:cat>
          <c:val>
            <c:numRef>
              <c:f>Sheet1!$C$3:$C$21</c:f>
              <c:numCache>
                <c:formatCode>0.00</c:formatCode>
                <c:ptCount val="19"/>
                <c:pt idx="0">
                  <c:v>-1.5925652980804443</c:v>
                </c:pt>
                <c:pt idx="1">
                  <c:v>-1.3490862846374512</c:v>
                </c:pt>
                <c:pt idx="2">
                  <c:v>-1.2209875583648682</c:v>
                </c:pt>
                <c:pt idx="3">
                  <c:v>-1.0692944526672363</c:v>
                </c:pt>
                <c:pt idx="4">
                  <c:v>-0.92039299011230469</c:v>
                </c:pt>
                <c:pt idx="5">
                  <c:v>-0.78842854499816895</c:v>
                </c:pt>
                <c:pt idx="6">
                  <c:v>-0.70126485824584961</c:v>
                </c:pt>
                <c:pt idx="7">
                  <c:v>-0.70020514726638794</c:v>
                </c:pt>
                <c:pt idx="8">
                  <c:v>-0.58128088712692261</c:v>
                </c:pt>
                <c:pt idx="9">
                  <c:v>-0.43513894081115723</c:v>
                </c:pt>
                <c:pt idx="10">
                  <c:v>-0.41258373856544495</c:v>
                </c:pt>
                <c:pt idx="11">
                  <c:v>-0.33718657493591309</c:v>
                </c:pt>
                <c:pt idx="12">
                  <c:v>-0.26854208111763</c:v>
                </c:pt>
                <c:pt idx="13">
                  <c:v>-0.19278207421302795</c:v>
                </c:pt>
                <c:pt idx="14">
                  <c:v>-5.6629803031682968E-2</c:v>
                </c:pt>
                <c:pt idx="15">
                  <c:v>6.8625137209892273E-2</c:v>
                </c:pt>
                <c:pt idx="16">
                  <c:v>0.50977647304534912</c:v>
                </c:pt>
                <c:pt idx="17">
                  <c:v>0.57428431510925293</c:v>
                </c:pt>
                <c:pt idx="18">
                  <c:v>1.8815333843231201</c:v>
                </c:pt>
              </c:numCache>
            </c:numRef>
          </c:val>
          <c:extLst>
            <c:ext xmlns:c16="http://schemas.microsoft.com/office/drawing/2014/chart" uri="{C3380CC4-5D6E-409C-BE32-E72D297353CC}">
              <c16:uniqueId val="{0000000F-8319-4DE4-8F23-6636925ADBA0}"/>
            </c:ext>
          </c:extLst>
        </c:ser>
        <c:dLbls>
          <c:showLegendKey val="0"/>
          <c:showVal val="0"/>
          <c:showCatName val="0"/>
          <c:showSerName val="0"/>
          <c:showPercent val="0"/>
          <c:showBubbleSize val="0"/>
        </c:dLbls>
        <c:gapWidth val="219"/>
        <c:overlap val="-27"/>
        <c:axId val="1109964863"/>
        <c:axId val="1109946975"/>
      </c:barChart>
      <c:catAx>
        <c:axId val="110996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09946975"/>
        <c:crosses val="autoZero"/>
        <c:auto val="1"/>
        <c:lblAlgn val="ctr"/>
        <c:lblOffset val="100"/>
        <c:noMultiLvlLbl val="0"/>
      </c:catAx>
      <c:valAx>
        <c:axId val="11099469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09964863"/>
        <c:crosses val="autoZero"/>
        <c:crossBetween val="between"/>
      </c:valAx>
      <c:spPr>
        <a:noFill/>
        <a:ln>
          <a:noFill/>
        </a:ln>
        <a:effectLst/>
      </c:spPr>
    </c:plotArea>
    <c:plotVisOnly val="1"/>
    <c:dispBlanksAs val="gap"/>
    <c:showDLblsOverMax val="0"/>
  </c:chart>
  <c:spPr>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w="9525" cap="flat" cmpd="sng" algn="ctr">
      <a:solidFill>
        <a:schemeClr val="tx1"/>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Figure 48: Governance effectiveness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'Gov effectiveness rank'!$B$2</c:f>
              <c:strCache>
                <c:ptCount val="1"/>
                <c:pt idx="0">
                  <c:v>Governance effectiveness 2015</c:v>
                </c:pt>
              </c:strCache>
            </c:strRef>
          </c:tx>
          <c:spPr>
            <a:solidFill>
              <a:schemeClr val="accent1"/>
            </a:solidFill>
            <a:ln>
              <a:noFill/>
            </a:ln>
            <a:effectLst/>
          </c:spPr>
          <c:invertIfNegative val="0"/>
          <c:dLbls>
            <c:dLbl>
              <c:idx val="6"/>
              <c:layout>
                <c:manualLayout>
                  <c:x val="-4.4444444444444446E-2"/>
                  <c:y val="-9.25889472149306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08-4748-B209-C842D756965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 effectiveness rank'!$A$3,'Gov effectiveness rank'!$A$7,'Gov effectiveness rank'!$A$14,'Gov effectiveness rank'!$A$25,'Gov effectiveness rank'!$A$29,'Gov effectiveness rank'!$A$30,'Gov effectiveness rank'!$A$58,'Gov effectiveness rank'!$A$65,'Gov effectiveness rank'!$A$68,'Gov effectiveness rank'!$A$72,'Gov effectiveness rank'!$A$80,'Gov effectiveness rank'!$A$93)</c:f>
              <c:strCache>
                <c:ptCount val="12"/>
                <c:pt idx="0">
                  <c:v>Singapore </c:v>
                </c:pt>
                <c:pt idx="1">
                  <c:v>Denmark </c:v>
                </c:pt>
                <c:pt idx="2">
                  <c:v>United Kingdom </c:v>
                </c:pt>
                <c:pt idx="3">
                  <c:v>Bhutan</c:v>
                </c:pt>
                <c:pt idx="4">
                  <c:v>India</c:v>
                </c:pt>
                <c:pt idx="5">
                  <c:v>Vietnam</c:v>
                </c:pt>
                <c:pt idx="6">
                  <c:v>Pakistan </c:v>
                </c:pt>
                <c:pt idx="7">
                  <c:v>Bangladesh</c:v>
                </c:pt>
                <c:pt idx="8">
                  <c:v>Egypt </c:v>
                </c:pt>
                <c:pt idx="9">
                  <c:v>Tajikistan </c:v>
                </c:pt>
                <c:pt idx="10">
                  <c:v>Angola</c:v>
                </c:pt>
                <c:pt idx="11">
                  <c:v>Afghanistan</c:v>
                </c:pt>
              </c:strCache>
            </c:strRef>
          </c:cat>
          <c:val>
            <c:numRef>
              <c:f>('Gov effectiveness rank'!$B$3,'Gov effectiveness rank'!$B$7,'Gov effectiveness rank'!$B$14,'Gov effectiveness rank'!$B$25,'Gov effectiveness rank'!$B$29,'Gov effectiveness rank'!$B$30,'Gov effectiveness rank'!$B$58,'Gov effectiveness rank'!$B$65,'Gov effectiveness rank'!$B$68,'Gov effectiveness rank'!$B$72,'Gov effectiveness rank'!$B$80,'Gov effectiveness rank'!$B$93)</c:f>
              <c:numCache>
                <c:formatCode>0.00</c:formatCode>
                <c:ptCount val="12"/>
                <c:pt idx="0">
                  <c:v>2.2521286010742188</c:v>
                </c:pt>
                <c:pt idx="1">
                  <c:v>1.8493310213088989</c:v>
                </c:pt>
                <c:pt idx="2">
                  <c:v>1.7387553453445435</c:v>
                </c:pt>
                <c:pt idx="3">
                  <c:v>0.41</c:v>
                </c:pt>
                <c:pt idx="4">
                  <c:v>0.1005861759185791</c:v>
                </c:pt>
                <c:pt idx="5">
                  <c:v>7.6964221894741058E-2</c:v>
                </c:pt>
                <c:pt idx="6">
                  <c:v>-0.66135817766189575</c:v>
                </c:pt>
                <c:pt idx="7">
                  <c:v>-0.72782224416732788</c:v>
                </c:pt>
                <c:pt idx="8">
                  <c:v>-0.7618948221206665</c:v>
                </c:pt>
                <c:pt idx="9">
                  <c:v>-0.81939619779586792</c:v>
                </c:pt>
                <c:pt idx="10">
                  <c:v>-1.01</c:v>
                </c:pt>
                <c:pt idx="11">
                  <c:v>-1.34</c:v>
                </c:pt>
              </c:numCache>
            </c:numRef>
          </c:val>
          <c:extLst>
            <c:ext xmlns:c16="http://schemas.microsoft.com/office/drawing/2014/chart" uri="{C3380CC4-5D6E-409C-BE32-E72D297353CC}">
              <c16:uniqueId val="{00000001-F908-4748-B209-C842D7569654}"/>
            </c:ext>
          </c:extLst>
        </c:ser>
        <c:dLbls>
          <c:dLblPos val="outEnd"/>
          <c:showLegendKey val="0"/>
          <c:showVal val="1"/>
          <c:showCatName val="0"/>
          <c:showSerName val="0"/>
          <c:showPercent val="0"/>
          <c:showBubbleSize val="0"/>
        </c:dLbls>
        <c:gapWidth val="219"/>
        <c:overlap val="-27"/>
        <c:axId val="363803280"/>
        <c:axId val="363820336"/>
      </c:barChart>
      <c:catAx>
        <c:axId val="3638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20336"/>
        <c:crosses val="autoZero"/>
        <c:auto val="1"/>
        <c:lblAlgn val="ctr"/>
        <c:lblOffset val="100"/>
        <c:noMultiLvlLbl val="0"/>
      </c:catAx>
      <c:valAx>
        <c:axId val="36382033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03280"/>
        <c:crosses val="autoZero"/>
        <c:crossBetween val="between"/>
      </c:valAx>
      <c:spPr>
        <a:noFill/>
        <a:ln>
          <a:noFill/>
        </a:ln>
        <a:effectLst/>
      </c:spPr>
    </c:plotArea>
    <c:plotVisOnly val="1"/>
    <c:dispBlanksAs val="gap"/>
    <c:showDLblsOverMax val="0"/>
  </c:chart>
  <c:spPr>
    <a:solidFill>
      <a:schemeClr val="accent3">
        <a:lumMod val="20000"/>
        <a:lumOff val="80000"/>
      </a:schemeClr>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Figure 49: CPIA economic management cluster average for selected countries </a:t>
            </a:r>
            <a:r>
              <a:rPr lang="en-US" sz="1200" b="1" i="0" u="none" strike="noStrike" baseline="0">
                <a:effectLst/>
              </a:rPr>
              <a:t>2015</a:t>
            </a:r>
            <a:endParaRPr lang="en-US" sz="1200" b="1"/>
          </a:p>
          <a:p>
            <a:pPr>
              <a:defRPr/>
            </a:pPr>
            <a:r>
              <a:rPr lang="en-US" sz="900"/>
              <a:t>(1=low to 6=high)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'economic management rank'!$B$2</c:f>
              <c:strCache>
                <c:ptCount val="1"/>
                <c:pt idx="0">
                  <c:v>CPIA economic management cluster average (1=low to 6=high) 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('economic management rank'!$A$7,'economic management rank'!$A$14,'economic management rank'!$A$16,'economic management rank'!$A$17,'economic management rank'!$A$22,'economic management rank'!$A$24,'economic management rank'!$A$26,'economic management rank'!$A$30,'economic management rank'!$A$46,'economic management rank'!$A$49,'economic management rank'!$A$52)</c:f>
              <c:strCache>
                <c:ptCount val="11"/>
                <c:pt idx="0">
                  <c:v>Senegal</c:v>
                </c:pt>
                <c:pt idx="1">
                  <c:v>Tanzania </c:v>
                </c:pt>
                <c:pt idx="2">
                  <c:v>India</c:v>
                </c:pt>
                <c:pt idx="3">
                  <c:v>Vietnam</c:v>
                </c:pt>
                <c:pt idx="4">
                  <c:v>Bangladesh</c:v>
                </c:pt>
                <c:pt idx="5">
                  <c:v>Cambodia</c:v>
                </c:pt>
                <c:pt idx="6">
                  <c:v>Nigeria</c:v>
                </c:pt>
                <c:pt idx="7">
                  <c:v>Cote d'Ivoire</c:v>
                </c:pt>
                <c:pt idx="8">
                  <c:v>Pakistan </c:v>
                </c:pt>
                <c:pt idx="9">
                  <c:v>Nepal</c:v>
                </c:pt>
                <c:pt idx="10">
                  <c:v>Afghanistan</c:v>
                </c:pt>
              </c:strCache>
            </c:strRef>
          </c:cat>
          <c:val>
            <c:numRef>
              <c:f>('economic management rank'!$B$7,'economic management rank'!$B$14,'economic management rank'!$B$16,'economic management rank'!$B$17,'economic management rank'!$B$22,'economic management rank'!$B$24,'economic management rank'!$B$26,'economic management rank'!$B$30,'economic management rank'!$B$46,'economic management rank'!$B$49,'economic management rank'!$B$52)</c:f>
              <c:numCache>
                <c:formatCode>0.00</c:formatCode>
                <c:ptCount val="11"/>
                <c:pt idx="0">
                  <c:v>4.1666699999999999</c:v>
                </c:pt>
                <c:pt idx="1">
                  <c:v>4</c:v>
                </c:pt>
                <c:pt idx="2">
                  <c:v>4</c:v>
                </c:pt>
                <c:pt idx="3">
                  <c:v>4</c:v>
                </c:pt>
                <c:pt idx="4">
                  <c:v>3.8333300000000001</c:v>
                </c:pt>
                <c:pt idx="5">
                  <c:v>3.8333300000000001</c:v>
                </c:pt>
                <c:pt idx="6">
                  <c:v>3.8333300000000001</c:v>
                </c:pt>
                <c:pt idx="7">
                  <c:v>3.6666699999999999</c:v>
                </c:pt>
                <c:pt idx="8">
                  <c:v>3.3333300000000001</c:v>
                </c:pt>
                <c:pt idx="9">
                  <c:v>3.1666699999999999</c:v>
                </c:pt>
                <c:pt idx="10">
                  <c:v>3</c:v>
                </c:pt>
              </c:numCache>
            </c:numRef>
          </c:val>
          <c:extLst>
            <c:ext xmlns:c16="http://schemas.microsoft.com/office/drawing/2014/chart" uri="{C3380CC4-5D6E-409C-BE32-E72D297353CC}">
              <c16:uniqueId val="{00000000-B159-479D-B039-72ECB5F52C66}"/>
            </c:ext>
          </c:extLst>
        </c:ser>
        <c:dLbls>
          <c:dLblPos val="outEnd"/>
          <c:showLegendKey val="0"/>
          <c:showVal val="1"/>
          <c:showCatName val="0"/>
          <c:showSerName val="0"/>
          <c:showPercent val="0"/>
          <c:showBubbleSize val="0"/>
        </c:dLbls>
        <c:gapWidth val="219"/>
        <c:overlap val="-27"/>
        <c:axId val="363799952"/>
        <c:axId val="363807440"/>
      </c:barChart>
      <c:catAx>
        <c:axId val="36379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07440"/>
        <c:crosses val="autoZero"/>
        <c:auto val="1"/>
        <c:lblAlgn val="ctr"/>
        <c:lblOffset val="100"/>
        <c:noMultiLvlLbl val="0"/>
      </c:catAx>
      <c:valAx>
        <c:axId val="36380744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799952"/>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b="1" i="0" spc="0" baseline="0">
                <a:effectLst>
                  <a:outerShdw blurRad="50800" dist="38100" dir="5400000" algn="t" rotWithShape="0">
                    <a:srgbClr val="000000">
                      <a:alpha val="40000"/>
                    </a:srgbClr>
                  </a:outerShdw>
                </a:effectLst>
                <a:latin typeface="Times New Roman" panose="02020603050405020304" pitchFamily="18" charset="0"/>
                <a:cs typeface="Times New Roman" panose="02020603050405020304" pitchFamily="18" charset="0"/>
              </a:rPr>
              <a:t>Figure 50: Colonial history and modern </a:t>
            </a:r>
            <a:r>
              <a:rPr lang="en-US" sz="1200" b="1" i="0" spc="0" baseline="0">
                <a:effectLst/>
                <a:latin typeface="Times New Roman" panose="02020603050405020304" pitchFamily="18" charset="0"/>
                <a:cs typeface="Times New Roman" panose="02020603050405020304" pitchFamily="18" charset="0"/>
              </a:rPr>
              <a:t>growth </a:t>
            </a:r>
            <a:r>
              <a:rPr lang="en-US" sz="1200" b="1" i="0" spc="0" baseline="0">
                <a:effectLst>
                  <a:outerShdw blurRad="50800" dist="38100" dir="5400000" algn="t" rotWithShape="0">
                    <a:srgbClr val="000000">
                      <a:alpha val="40000"/>
                    </a:srgbClr>
                  </a:outerShdw>
                </a:effectLst>
                <a:latin typeface="Times New Roman" panose="02020603050405020304" pitchFamily="18" charset="0"/>
                <a:cs typeface="Times New Roman" panose="02020603050405020304" pitchFamily="18" charset="0"/>
              </a:rPr>
              <a:t>(5-year compound growth) performance</a:t>
            </a:r>
            <a:endParaRPr lang="en-US" sz="1200" spc="0" baseline="0">
              <a:effectLst/>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en-US" sz="1000" b="0" i="0" spc="0" baseline="0">
                <a:effectLst>
                  <a:outerShdw blurRad="50800" dist="38100" dir="5400000" algn="t" rotWithShape="0">
                    <a:srgbClr val="000000">
                      <a:alpha val="40000"/>
                    </a:srgbClr>
                  </a:outerShdw>
                </a:effectLst>
                <a:latin typeface="Times New Roman" panose="02020603050405020304" pitchFamily="18" charset="0"/>
                <a:cs typeface="Times New Roman" panose="02020603050405020304" pitchFamily="18" charset="0"/>
              </a:rPr>
              <a:t>(based on 64 countries with data)</a:t>
            </a:r>
            <a:endParaRPr lang="en-US" sz="1000" spc="0" baseline="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'Colonial past and current growt'!$F$2</c:f>
              <c:strCache>
                <c:ptCount val="1"/>
                <c:pt idx="0">
                  <c:v>Rapid growth (5% and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8.3333333333333332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FB-4C26-9E9C-58E425548B6E}"/>
                </c:ext>
              </c:extLst>
            </c:dLbl>
            <c:dLbl>
              <c:idx val="3"/>
              <c:layout>
                <c:manualLayout>
                  <c:x val="-5.5555555555555558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FB-4C26-9E9C-58E425548B6E}"/>
                </c:ext>
              </c:extLst>
            </c:dLbl>
            <c:dLbl>
              <c:idx val="5"/>
              <c:layout>
                <c:manualLayout>
                  <c:x val="-8.3333333333333835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FB-4C26-9E9C-58E425548B6E}"/>
                </c:ext>
              </c:extLst>
            </c:dLbl>
            <c:dLbl>
              <c:idx val="7"/>
              <c:layout>
                <c:manualLayout>
                  <c:x val="-8.3333333333333332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FB-4C26-9E9C-58E425548B6E}"/>
                </c:ext>
              </c:extLst>
            </c:dLbl>
            <c:dLbl>
              <c:idx val="9"/>
              <c:layout>
                <c:manualLayout>
                  <c:x val="-8.3333333333333332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FB-4C26-9E9C-58E425548B6E}"/>
                </c:ext>
              </c:extLst>
            </c:dLbl>
            <c:dLbl>
              <c:idx val="11"/>
              <c:layout>
                <c:manualLayout>
                  <c:x val="-8.3333333333333332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FB-4C26-9E9C-58E425548B6E}"/>
                </c:ext>
              </c:extLst>
            </c:dLbl>
            <c:dLbl>
              <c:idx val="13"/>
              <c:layout>
                <c:manualLayout>
                  <c:x val="-8.3333333333334356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FB-4C26-9E9C-58E425548B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'Colonial past and current growt'!$E$3:$E$16</c:f>
              <c:strCache>
                <c:ptCount val="14"/>
                <c:pt idx="0">
                  <c:v>Belgium</c:v>
                </c:pt>
                <c:pt idx="1">
                  <c:v>%</c:v>
                </c:pt>
                <c:pt idx="2">
                  <c:v>Britain</c:v>
                </c:pt>
                <c:pt idx="3">
                  <c:v>%</c:v>
                </c:pt>
                <c:pt idx="4">
                  <c:v>France</c:v>
                </c:pt>
                <c:pt idx="5">
                  <c:v>%</c:v>
                </c:pt>
                <c:pt idx="6">
                  <c:v>None</c:v>
                </c:pt>
                <c:pt idx="7">
                  <c:v>%</c:v>
                </c:pt>
                <c:pt idx="8">
                  <c:v>Portugal</c:v>
                </c:pt>
                <c:pt idx="9">
                  <c:v>%</c:v>
                </c:pt>
                <c:pt idx="10">
                  <c:v>Soviet Union </c:v>
                </c:pt>
                <c:pt idx="11">
                  <c:v>%</c:v>
                </c:pt>
                <c:pt idx="12">
                  <c:v>Spain </c:v>
                </c:pt>
                <c:pt idx="13">
                  <c:v>%</c:v>
                </c:pt>
              </c:strCache>
            </c:strRef>
          </c:cat>
          <c:val>
            <c:numRef>
              <c:f>'Colonial past and current growt'!$F$3:$F$16</c:f>
              <c:numCache>
                <c:formatCode>0%</c:formatCode>
                <c:ptCount val="14"/>
                <c:pt idx="0" formatCode="General">
                  <c:v>2</c:v>
                </c:pt>
                <c:pt idx="1">
                  <c:v>0.66666666666666663</c:v>
                </c:pt>
                <c:pt idx="2" formatCode="General">
                  <c:v>11</c:v>
                </c:pt>
                <c:pt idx="3">
                  <c:v>0.52380952380952384</c:v>
                </c:pt>
                <c:pt idx="4" formatCode="General">
                  <c:v>10</c:v>
                </c:pt>
                <c:pt idx="5">
                  <c:v>0.52631578947368418</c:v>
                </c:pt>
                <c:pt idx="6" formatCode="General">
                  <c:v>2</c:v>
                </c:pt>
                <c:pt idx="7">
                  <c:v>0.66666666666666663</c:v>
                </c:pt>
                <c:pt idx="8" formatCode="General">
                  <c:v>2</c:v>
                </c:pt>
                <c:pt idx="9">
                  <c:v>0.5</c:v>
                </c:pt>
                <c:pt idx="10" formatCode="General">
                  <c:v>2</c:v>
                </c:pt>
                <c:pt idx="11">
                  <c:v>0.4</c:v>
                </c:pt>
                <c:pt idx="12" formatCode="General">
                  <c:v>2</c:v>
                </c:pt>
                <c:pt idx="13">
                  <c:v>0.4</c:v>
                </c:pt>
              </c:numCache>
            </c:numRef>
          </c:val>
          <c:extLst>
            <c:ext xmlns:c16="http://schemas.microsoft.com/office/drawing/2014/chart" uri="{C3380CC4-5D6E-409C-BE32-E72D297353CC}">
              <c16:uniqueId val="{00000007-4CFB-4C26-9E9C-58E425548B6E}"/>
            </c:ext>
          </c:extLst>
        </c:ser>
        <c:ser>
          <c:idx val="1"/>
          <c:order val="1"/>
          <c:tx>
            <c:strRef>
              <c:f>'Colonial past and current growt'!$G$2</c:f>
              <c:strCache>
                <c:ptCount val="1"/>
                <c:pt idx="0">
                  <c:v>Modest growth (3 -&lt; 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1"/>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4CFB-4C26-9E9C-58E425548B6E}"/>
                </c:ext>
              </c:extLst>
            </c:dLbl>
            <c:dLbl>
              <c:idx val="3"/>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4CFB-4C26-9E9C-58E425548B6E}"/>
                </c:ext>
              </c:extLst>
            </c:dLbl>
            <c:dLbl>
              <c:idx val="5"/>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4CFB-4C26-9E9C-58E425548B6E}"/>
                </c:ext>
              </c:extLst>
            </c:dLbl>
            <c:dLbl>
              <c:idx val="7"/>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4CFB-4C26-9E9C-58E425548B6E}"/>
                </c:ext>
              </c:extLst>
            </c:dLbl>
            <c:dLbl>
              <c:idx val="9"/>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4CFB-4C26-9E9C-58E425548B6E}"/>
                </c:ext>
              </c:extLst>
            </c:dLbl>
            <c:dLbl>
              <c:idx val="11"/>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4CFB-4C26-9E9C-58E425548B6E}"/>
                </c:ext>
              </c:extLst>
            </c:dLbl>
            <c:dLbl>
              <c:idx val="13"/>
              <c:layout>
                <c:manualLayout>
                  <c:x val="2.7777777777777779E-3"/>
                  <c:y val="-4.6296296296296294E-3"/>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FB-4C26-9E9C-58E425548B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'Colonial past and current growt'!$E$3:$E$16</c:f>
              <c:strCache>
                <c:ptCount val="14"/>
                <c:pt idx="0">
                  <c:v>Belgium</c:v>
                </c:pt>
                <c:pt idx="1">
                  <c:v>%</c:v>
                </c:pt>
                <c:pt idx="2">
                  <c:v>Britain</c:v>
                </c:pt>
                <c:pt idx="3">
                  <c:v>%</c:v>
                </c:pt>
                <c:pt idx="4">
                  <c:v>France</c:v>
                </c:pt>
                <c:pt idx="5">
                  <c:v>%</c:v>
                </c:pt>
                <c:pt idx="6">
                  <c:v>None</c:v>
                </c:pt>
                <c:pt idx="7">
                  <c:v>%</c:v>
                </c:pt>
                <c:pt idx="8">
                  <c:v>Portugal</c:v>
                </c:pt>
                <c:pt idx="9">
                  <c:v>%</c:v>
                </c:pt>
                <c:pt idx="10">
                  <c:v>Soviet Union </c:v>
                </c:pt>
                <c:pt idx="11">
                  <c:v>%</c:v>
                </c:pt>
                <c:pt idx="12">
                  <c:v>Spain </c:v>
                </c:pt>
                <c:pt idx="13">
                  <c:v>%</c:v>
                </c:pt>
              </c:strCache>
            </c:strRef>
          </c:cat>
          <c:val>
            <c:numRef>
              <c:f>'Colonial past and current growt'!$G$3:$G$16</c:f>
              <c:numCache>
                <c:formatCode>0%</c:formatCode>
                <c:ptCount val="14"/>
                <c:pt idx="1">
                  <c:v>0</c:v>
                </c:pt>
                <c:pt idx="2" formatCode="General">
                  <c:v>5</c:v>
                </c:pt>
                <c:pt idx="3">
                  <c:v>0.23809523809523808</c:v>
                </c:pt>
                <c:pt idx="4" formatCode="General">
                  <c:v>6</c:v>
                </c:pt>
                <c:pt idx="5">
                  <c:v>0.31578947368421051</c:v>
                </c:pt>
                <c:pt idx="6" formatCode="General">
                  <c:v>1</c:v>
                </c:pt>
                <c:pt idx="7">
                  <c:v>0.33333333333333331</c:v>
                </c:pt>
                <c:pt idx="8" formatCode="General">
                  <c:v>2</c:v>
                </c:pt>
                <c:pt idx="9">
                  <c:v>0.5</c:v>
                </c:pt>
                <c:pt idx="10" formatCode="General">
                  <c:v>2</c:v>
                </c:pt>
                <c:pt idx="11">
                  <c:v>0.4</c:v>
                </c:pt>
                <c:pt idx="12" formatCode="General">
                  <c:v>2</c:v>
                </c:pt>
                <c:pt idx="13">
                  <c:v>0.4</c:v>
                </c:pt>
              </c:numCache>
            </c:numRef>
          </c:val>
          <c:extLst>
            <c:ext xmlns:c16="http://schemas.microsoft.com/office/drawing/2014/chart" uri="{C3380CC4-5D6E-409C-BE32-E72D297353CC}">
              <c16:uniqueId val="{0000000F-4CFB-4C26-9E9C-58E425548B6E}"/>
            </c:ext>
          </c:extLst>
        </c:ser>
        <c:ser>
          <c:idx val="2"/>
          <c:order val="2"/>
          <c:tx>
            <c:strRef>
              <c:f>'Colonial past and current growt'!$H$2</c:f>
              <c:strCache>
                <c:ptCount val="1"/>
                <c:pt idx="0">
                  <c:v>Slow growth (&lt;3%)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8.3333333333333332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FB-4C26-9E9C-58E425548B6E}"/>
                </c:ext>
              </c:extLst>
            </c:dLbl>
            <c:dLbl>
              <c:idx val="3"/>
              <c:layout>
                <c:manualLayout>
                  <c:x val="2.7777777777777779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FB-4C26-9E9C-58E425548B6E}"/>
                </c:ext>
              </c:extLst>
            </c:dLbl>
            <c:dLbl>
              <c:idx val="5"/>
              <c:layout>
                <c:manualLayout>
                  <c:x val="1.1111111111111112E-2"/>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FB-4C26-9E9C-58E425548B6E}"/>
                </c:ext>
              </c:extLst>
            </c:dLbl>
            <c:dLbl>
              <c:idx val="7"/>
              <c:layout>
                <c:manualLayout>
                  <c:x val="5.5555555555555558E-3"/>
                  <c:y val="-8.4875562720133283E-17"/>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CFB-4C26-9E9C-58E425548B6E}"/>
                </c:ext>
              </c:extLst>
            </c:dLbl>
            <c:dLbl>
              <c:idx val="9"/>
              <c:layout>
                <c:manualLayout>
                  <c:x val="5.5555555555555558E-3"/>
                  <c:y val="-8.4875562720133283E-17"/>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CFB-4C26-9E9C-58E425548B6E}"/>
                </c:ext>
              </c:extLst>
            </c:dLbl>
            <c:dLbl>
              <c:idx val="11"/>
              <c:layout>
                <c:manualLayout>
                  <c:x val="5.5555555555555558E-3"/>
                  <c:y val="0"/>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CFB-4C26-9E9C-58E425548B6E}"/>
                </c:ext>
              </c:extLst>
            </c:dLbl>
            <c:dLbl>
              <c:idx val="13"/>
              <c:layout>
                <c:manualLayout>
                  <c:x val="1.3888888888888888E-2"/>
                  <c:y val="4.6296296296295444E-3"/>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CFB-4C26-9E9C-58E425548B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'Colonial past and current growt'!$E$3:$E$16</c:f>
              <c:strCache>
                <c:ptCount val="14"/>
                <c:pt idx="0">
                  <c:v>Belgium</c:v>
                </c:pt>
                <c:pt idx="1">
                  <c:v>%</c:v>
                </c:pt>
                <c:pt idx="2">
                  <c:v>Britain</c:v>
                </c:pt>
                <c:pt idx="3">
                  <c:v>%</c:v>
                </c:pt>
                <c:pt idx="4">
                  <c:v>France</c:v>
                </c:pt>
                <c:pt idx="5">
                  <c:v>%</c:v>
                </c:pt>
                <c:pt idx="6">
                  <c:v>None</c:v>
                </c:pt>
                <c:pt idx="7">
                  <c:v>%</c:v>
                </c:pt>
                <c:pt idx="8">
                  <c:v>Portugal</c:v>
                </c:pt>
                <c:pt idx="9">
                  <c:v>%</c:v>
                </c:pt>
                <c:pt idx="10">
                  <c:v>Soviet Union </c:v>
                </c:pt>
                <c:pt idx="11">
                  <c:v>%</c:v>
                </c:pt>
                <c:pt idx="12">
                  <c:v>Spain </c:v>
                </c:pt>
                <c:pt idx="13">
                  <c:v>%</c:v>
                </c:pt>
              </c:strCache>
            </c:strRef>
          </c:cat>
          <c:val>
            <c:numRef>
              <c:f>'Colonial past and current growt'!$H$3:$H$16</c:f>
              <c:numCache>
                <c:formatCode>0%</c:formatCode>
                <c:ptCount val="14"/>
                <c:pt idx="0" formatCode="General">
                  <c:v>1</c:v>
                </c:pt>
                <c:pt idx="1">
                  <c:v>0.33333333333333331</c:v>
                </c:pt>
                <c:pt idx="2" formatCode="General">
                  <c:v>5</c:v>
                </c:pt>
                <c:pt idx="3">
                  <c:v>0.23809523809523808</c:v>
                </c:pt>
                <c:pt idx="4" formatCode="General">
                  <c:v>3</c:v>
                </c:pt>
                <c:pt idx="5">
                  <c:v>0.15789473684210525</c:v>
                </c:pt>
                <c:pt idx="7">
                  <c:v>0</c:v>
                </c:pt>
                <c:pt idx="9">
                  <c:v>0</c:v>
                </c:pt>
                <c:pt idx="10" formatCode="General">
                  <c:v>1</c:v>
                </c:pt>
                <c:pt idx="11">
                  <c:v>0.2</c:v>
                </c:pt>
                <c:pt idx="12" formatCode="General">
                  <c:v>1</c:v>
                </c:pt>
                <c:pt idx="13">
                  <c:v>0.2</c:v>
                </c:pt>
              </c:numCache>
            </c:numRef>
          </c:val>
          <c:extLst>
            <c:ext xmlns:c16="http://schemas.microsoft.com/office/drawing/2014/chart" uri="{C3380CC4-5D6E-409C-BE32-E72D297353CC}">
              <c16:uniqueId val="{00000017-4CFB-4C26-9E9C-58E425548B6E}"/>
            </c:ext>
          </c:extLst>
        </c:ser>
        <c:dLbls>
          <c:dLblPos val="outEnd"/>
          <c:showLegendKey val="0"/>
          <c:showVal val="1"/>
          <c:showCatName val="0"/>
          <c:showSerName val="0"/>
          <c:showPercent val="0"/>
          <c:showBubbleSize val="0"/>
        </c:dLbls>
        <c:gapWidth val="100"/>
        <c:overlap val="-24"/>
        <c:axId val="192830160"/>
        <c:axId val="192823088"/>
      </c:barChart>
      <c:catAx>
        <c:axId val="1928301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92823088"/>
        <c:crosses val="autoZero"/>
        <c:auto val="1"/>
        <c:lblAlgn val="ctr"/>
        <c:lblOffset val="100"/>
        <c:noMultiLvlLbl val="0"/>
      </c:catAx>
      <c:valAx>
        <c:axId val="1928230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9283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rgbClr val="532476"/>
    </a:solidFill>
    <a:ln>
      <a:noFill/>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latin typeface="Times New Roman" panose="02020603050405020304" pitchFamily="18" charset="0"/>
                <a:cs typeface="Times New Roman" panose="02020603050405020304" pitchFamily="18" charset="0"/>
              </a:rPr>
              <a:t>Figure 51: Civil war and growth</a:t>
            </a:r>
          </a:p>
          <a:p>
            <a:pPr>
              <a:defRPr/>
            </a:pPr>
            <a:r>
              <a:rPr lang="en-US" sz="1000" b="0">
                <a:latin typeface="Times New Roman" panose="02020603050405020304" pitchFamily="18" charset="0"/>
                <a:cs typeface="Times New Roman" panose="02020603050405020304" pitchFamily="18" charset="0"/>
              </a:rPr>
              <a:t>(on the basis of 64 countries with data)</a:t>
            </a:r>
          </a:p>
        </c:rich>
      </c:tx>
      <c:layout>
        <c:manualLayout>
          <c:xMode val="edge"/>
          <c:yMode val="edge"/>
          <c:x val="0.24165266841644795"/>
          <c:y val="7.4349442379182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'Civil war and growth'!$F$7</c:f>
              <c:strCache>
                <c:ptCount val="1"/>
                <c:pt idx="0">
                  <c:v>Civil war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'Civil war and growth'!$G$6:$I$6</c:f>
              <c:strCache>
                <c:ptCount val="3"/>
                <c:pt idx="0">
                  <c:v>Rapid growth (5% and +)</c:v>
                </c:pt>
                <c:pt idx="1">
                  <c:v>Modest growth (3 -&lt; 5%)</c:v>
                </c:pt>
                <c:pt idx="2">
                  <c:v>Slow growth (&lt;3%)</c:v>
                </c:pt>
              </c:strCache>
            </c:strRef>
          </c:cat>
          <c:val>
            <c:numRef>
              <c:f>'Civil war and growth'!$G$7:$I$7</c:f>
              <c:numCache>
                <c:formatCode>0%</c:formatCode>
                <c:ptCount val="3"/>
                <c:pt idx="0">
                  <c:v>0.61764705882352944</c:v>
                </c:pt>
                <c:pt idx="1">
                  <c:v>0.77777777777777779</c:v>
                </c:pt>
                <c:pt idx="2">
                  <c:v>0.66666666666666663</c:v>
                </c:pt>
              </c:numCache>
            </c:numRef>
          </c:val>
          <c:extLst>
            <c:ext xmlns:c16="http://schemas.microsoft.com/office/drawing/2014/chart" uri="{C3380CC4-5D6E-409C-BE32-E72D297353CC}">
              <c16:uniqueId val="{00000000-096B-4180-BF4B-533AE0FF71CD}"/>
            </c:ext>
          </c:extLst>
        </c:ser>
        <c:ser>
          <c:idx val="1"/>
          <c:order val="1"/>
          <c:tx>
            <c:strRef>
              <c:f>'Civil war and growth'!$F$8</c:f>
              <c:strCache>
                <c:ptCount val="1"/>
                <c:pt idx="0">
                  <c:v>No civil war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'Civil war and growth'!$G$6:$I$6</c:f>
              <c:strCache>
                <c:ptCount val="3"/>
                <c:pt idx="0">
                  <c:v>Rapid growth (5% and +)</c:v>
                </c:pt>
                <c:pt idx="1">
                  <c:v>Modest growth (3 -&lt; 5%)</c:v>
                </c:pt>
                <c:pt idx="2">
                  <c:v>Slow growth (&lt;3%)</c:v>
                </c:pt>
              </c:strCache>
            </c:strRef>
          </c:cat>
          <c:val>
            <c:numRef>
              <c:f>'Civil war and growth'!$G$8:$I$8</c:f>
              <c:numCache>
                <c:formatCode>0%</c:formatCode>
                <c:ptCount val="3"/>
                <c:pt idx="0">
                  <c:v>0.38235294117647056</c:v>
                </c:pt>
                <c:pt idx="1">
                  <c:v>0.22222222222222221</c:v>
                </c:pt>
                <c:pt idx="2">
                  <c:v>0.33333333333333331</c:v>
                </c:pt>
              </c:numCache>
            </c:numRef>
          </c:val>
          <c:extLst>
            <c:ext xmlns:c16="http://schemas.microsoft.com/office/drawing/2014/chart" uri="{C3380CC4-5D6E-409C-BE32-E72D297353CC}">
              <c16:uniqueId val="{00000001-096B-4180-BF4B-533AE0FF71CD}"/>
            </c:ext>
          </c:extLst>
        </c:ser>
        <c:dLbls>
          <c:dLblPos val="ctr"/>
          <c:showLegendKey val="0"/>
          <c:showVal val="1"/>
          <c:showCatName val="0"/>
          <c:showSerName val="0"/>
          <c:showPercent val="0"/>
          <c:showBubbleSize val="0"/>
        </c:dLbls>
        <c:gapWidth val="150"/>
        <c:overlap val="100"/>
        <c:axId val="183304192"/>
        <c:axId val="183293376"/>
      </c:barChart>
      <c:catAx>
        <c:axId val="18330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3293376"/>
        <c:crosses val="autoZero"/>
        <c:auto val="1"/>
        <c:lblAlgn val="ctr"/>
        <c:lblOffset val="100"/>
        <c:noMultiLvlLbl val="0"/>
      </c:catAx>
      <c:valAx>
        <c:axId val="1832933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330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4">
        <a:lumMod val="20000"/>
        <a:lumOff val="80000"/>
      </a:schemeClr>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'Civil war and growth'!$G$18</c:f>
              <c:strCache>
                <c:ptCount val="1"/>
                <c:pt idx="0">
                  <c:v>Rapid growth (5% and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'Civil war and growth'!$F$19:$F$20</c:f>
              <c:strCache>
                <c:ptCount val="2"/>
                <c:pt idx="0">
                  <c:v>Civil war (%)</c:v>
                </c:pt>
                <c:pt idx="1">
                  <c:v>No civil war (%)</c:v>
                </c:pt>
              </c:strCache>
            </c:strRef>
          </c:cat>
          <c:val>
            <c:numRef>
              <c:f>'Civil war and growth'!$G$19:$G$20</c:f>
              <c:numCache>
                <c:formatCode>0%</c:formatCode>
                <c:ptCount val="2"/>
                <c:pt idx="0">
                  <c:v>0.48837209302325579</c:v>
                </c:pt>
                <c:pt idx="1">
                  <c:v>0.61904761904761907</c:v>
                </c:pt>
              </c:numCache>
            </c:numRef>
          </c:val>
          <c:extLst>
            <c:ext xmlns:c16="http://schemas.microsoft.com/office/drawing/2014/chart" uri="{C3380CC4-5D6E-409C-BE32-E72D297353CC}">
              <c16:uniqueId val="{00000000-4BA7-4FB2-B510-06A911043B6B}"/>
            </c:ext>
          </c:extLst>
        </c:ser>
        <c:ser>
          <c:idx val="1"/>
          <c:order val="1"/>
          <c:tx>
            <c:strRef>
              <c:f>'Civil war and growth'!$H$18</c:f>
              <c:strCache>
                <c:ptCount val="1"/>
                <c:pt idx="0">
                  <c:v>Modest growth (3 -&lt; 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'Civil war and growth'!$F$19:$F$20</c:f>
              <c:strCache>
                <c:ptCount val="2"/>
                <c:pt idx="0">
                  <c:v>Civil war (%)</c:v>
                </c:pt>
                <c:pt idx="1">
                  <c:v>No civil war (%)</c:v>
                </c:pt>
              </c:strCache>
            </c:strRef>
          </c:cat>
          <c:val>
            <c:numRef>
              <c:f>'Civil war and growth'!$H$19:$H$20</c:f>
              <c:numCache>
                <c:formatCode>0%</c:formatCode>
                <c:ptCount val="2"/>
                <c:pt idx="0">
                  <c:v>0.32558139534883723</c:v>
                </c:pt>
                <c:pt idx="1">
                  <c:v>0.19047619047619047</c:v>
                </c:pt>
              </c:numCache>
            </c:numRef>
          </c:val>
          <c:extLst>
            <c:ext xmlns:c16="http://schemas.microsoft.com/office/drawing/2014/chart" uri="{C3380CC4-5D6E-409C-BE32-E72D297353CC}">
              <c16:uniqueId val="{00000001-4BA7-4FB2-B510-06A911043B6B}"/>
            </c:ext>
          </c:extLst>
        </c:ser>
        <c:ser>
          <c:idx val="2"/>
          <c:order val="2"/>
          <c:tx>
            <c:strRef>
              <c:f>'Civil war and growth'!$I$18</c:f>
              <c:strCache>
                <c:ptCount val="1"/>
                <c:pt idx="0">
                  <c:v>Slow growth (&lt;3%)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'Civil war and growth'!$F$19:$F$20</c:f>
              <c:strCache>
                <c:ptCount val="2"/>
                <c:pt idx="0">
                  <c:v>Civil war (%)</c:v>
                </c:pt>
                <c:pt idx="1">
                  <c:v>No civil war (%)</c:v>
                </c:pt>
              </c:strCache>
            </c:strRef>
          </c:cat>
          <c:val>
            <c:numRef>
              <c:f>'Civil war and growth'!$I$19:$I$20</c:f>
              <c:numCache>
                <c:formatCode>0%</c:formatCode>
                <c:ptCount val="2"/>
                <c:pt idx="0">
                  <c:v>0.18604651162790697</c:v>
                </c:pt>
                <c:pt idx="1">
                  <c:v>0.19047619047619047</c:v>
                </c:pt>
              </c:numCache>
            </c:numRef>
          </c:val>
          <c:extLst>
            <c:ext xmlns:c16="http://schemas.microsoft.com/office/drawing/2014/chart" uri="{C3380CC4-5D6E-409C-BE32-E72D297353CC}">
              <c16:uniqueId val="{00000002-4BA7-4FB2-B510-06A911043B6B}"/>
            </c:ext>
          </c:extLst>
        </c:ser>
        <c:dLbls>
          <c:dLblPos val="ctr"/>
          <c:showLegendKey val="0"/>
          <c:showVal val="1"/>
          <c:showCatName val="0"/>
          <c:showSerName val="0"/>
          <c:showPercent val="0"/>
          <c:showBubbleSize val="0"/>
        </c:dLbls>
        <c:gapWidth val="150"/>
        <c:overlap val="100"/>
        <c:axId val="192821840"/>
        <c:axId val="192826416"/>
      </c:barChart>
      <c:catAx>
        <c:axId val="19282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2826416"/>
        <c:crosses val="autoZero"/>
        <c:auto val="1"/>
        <c:lblAlgn val="ctr"/>
        <c:lblOffset val="100"/>
        <c:noMultiLvlLbl val="0"/>
      </c:catAx>
      <c:valAx>
        <c:axId val="1928264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28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rgbClr val="CCFF99"/>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latin typeface="Times New Roman" panose="02020603050405020304" pitchFamily="18" charset="0"/>
                <a:cs typeface="Times New Roman" panose="02020603050405020304" pitchFamily="18" charset="0"/>
              </a:rPr>
              <a:t>Figure 52: Number and % of countries by growth and strengthening of democratic institutions</a:t>
            </a:r>
          </a:p>
          <a:p>
            <a:pPr>
              <a:defRPr/>
            </a:pPr>
            <a:r>
              <a:rPr lang="en-US" sz="1000" b="0">
                <a:latin typeface="Times New Roman" panose="02020603050405020304" pitchFamily="18" charset="0"/>
                <a:cs typeface="Times New Roman" panose="02020603050405020304" pitchFamily="18" charset="0"/>
              </a:rPr>
              <a:t>(based on 60 countries with data)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cked"/>
        <c:varyColors val="0"/>
        <c:ser>
          <c:idx val="0"/>
          <c:order val="0"/>
          <c:tx>
            <c:strRef>
              <c:f>'Country analy by gr &amp; democracy'!$G$29</c:f>
              <c:strCache>
                <c:ptCount val="1"/>
                <c:pt idx="0">
                  <c:v>Strengthened</c:v>
                </c:pt>
              </c:strCache>
            </c:strRef>
          </c:tx>
          <c:spPr>
            <a:solidFill>
              <a:schemeClr val="accent1"/>
            </a:solidFill>
            <a:ln>
              <a:noFill/>
            </a:ln>
            <a:effectLst/>
          </c:spPr>
          <c:dLbls>
            <c:dLbl>
              <c:idx val="0"/>
              <c:layout>
                <c:manualLayout>
                  <c:x val="6.666666666666663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D7-45A4-BA88-5A56A41F9D84}"/>
                </c:ext>
              </c:extLst>
            </c:dLbl>
            <c:dLbl>
              <c:idx val="1"/>
              <c:layout>
                <c:manualLayout>
                  <c:x val="-1.3888888888888888E-2"/>
                  <c:y val="-0.296296296296296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D7-45A4-BA88-5A56A41F9D84}"/>
                </c:ext>
              </c:extLst>
            </c:dLbl>
            <c:dLbl>
              <c:idx val="2"/>
              <c:layout>
                <c:manualLayout>
                  <c:x val="-5.277777777777777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D7-45A4-BA88-5A56A41F9D84}"/>
                </c:ext>
              </c:extLst>
            </c:dLbl>
            <c:dLbl>
              <c:idx val="3"/>
              <c:layout>
                <c:manualLayout>
                  <c:x val="8.3333333333333332E-3"/>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D7-45A4-BA88-5A56A41F9D84}"/>
                </c:ext>
              </c:extLst>
            </c:dLbl>
            <c:dLbl>
              <c:idx val="4"/>
              <c:layout>
                <c:manualLayout>
                  <c:x val="-5.5555555555555657E-2"/>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D7-45A4-BA88-5A56A41F9D84}"/>
                </c:ext>
              </c:extLst>
            </c:dLbl>
            <c:dLbl>
              <c:idx val="5"/>
              <c:layout>
                <c:manualLayout>
                  <c:x val="-6.6666666666666763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D7-45A4-BA88-5A56A41F9D8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'Country analy by gr &amp; democracy'!$F$30:$F$35</c:f>
              <c:strCache>
                <c:ptCount val="5"/>
                <c:pt idx="0">
                  <c:v>Rapid growth (5% and +)</c:v>
                </c:pt>
                <c:pt idx="2">
                  <c:v>Modest growth (3 -&lt; 5%)</c:v>
                </c:pt>
                <c:pt idx="4">
                  <c:v>Slow growth (&lt;3%)</c:v>
                </c:pt>
              </c:strCache>
            </c:strRef>
          </c:cat>
          <c:val>
            <c:numRef>
              <c:f>'Country analy by gr &amp; democracy'!$G$30:$G$35</c:f>
              <c:numCache>
                <c:formatCode>0%</c:formatCode>
                <c:ptCount val="6"/>
                <c:pt idx="0" formatCode="0">
                  <c:v>19</c:v>
                </c:pt>
                <c:pt idx="1">
                  <c:v>0.59375</c:v>
                </c:pt>
                <c:pt idx="2" formatCode="0">
                  <c:v>8</c:v>
                </c:pt>
                <c:pt idx="3">
                  <c:v>0.44444444444444442</c:v>
                </c:pt>
                <c:pt idx="4" formatCode="0">
                  <c:v>9</c:v>
                </c:pt>
                <c:pt idx="5">
                  <c:v>0.9</c:v>
                </c:pt>
              </c:numCache>
            </c:numRef>
          </c:val>
          <c:extLst>
            <c:ext xmlns:c16="http://schemas.microsoft.com/office/drawing/2014/chart" uri="{C3380CC4-5D6E-409C-BE32-E72D297353CC}">
              <c16:uniqueId val="{00000006-40D7-45A4-BA88-5A56A41F9D84}"/>
            </c:ext>
          </c:extLst>
        </c:ser>
        <c:ser>
          <c:idx val="1"/>
          <c:order val="1"/>
          <c:tx>
            <c:strRef>
              <c:f>'Country analy by gr &amp; democracy'!$H$29</c:f>
              <c:strCache>
                <c:ptCount val="1"/>
                <c:pt idx="0">
                  <c:v>Not strengthened</c:v>
                </c:pt>
              </c:strCache>
            </c:strRef>
          </c:tx>
          <c:spPr>
            <a:solidFill>
              <a:schemeClr val="accent2"/>
            </a:solidFill>
            <a:ln>
              <a:noFill/>
            </a:ln>
            <a:effectLst/>
          </c:spPr>
          <c:dLbls>
            <c:dLbl>
              <c:idx val="0"/>
              <c:layout>
                <c:manualLayout>
                  <c:x val="5.277777777777775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D7-45A4-BA88-5A56A41F9D84}"/>
                </c:ext>
              </c:extLst>
            </c:dLbl>
            <c:dLbl>
              <c:idx val="1"/>
              <c:layout>
                <c:manualLayout>
                  <c:x val="-2.7777777777777776E-2"/>
                  <c:y val="-0.1574074074074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D7-45A4-BA88-5A56A41F9D84}"/>
                </c:ext>
              </c:extLst>
            </c:dLbl>
            <c:dLbl>
              <c:idx val="2"/>
              <c:layout>
                <c:manualLayout>
                  <c:x val="-4.9999999999999947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D7-45A4-BA88-5A56A41F9D84}"/>
                </c:ext>
              </c:extLst>
            </c:dLbl>
            <c:dLbl>
              <c:idx val="3"/>
              <c:layout>
                <c:manualLayout>
                  <c:x val="-3.6111111111111108E-2"/>
                  <c:y val="-0.175925925925926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D7-45A4-BA88-5A56A41F9D84}"/>
                </c:ext>
              </c:extLst>
            </c:dLbl>
            <c:dLbl>
              <c:idx val="4"/>
              <c:layout>
                <c:manualLayout>
                  <c:x val="-4.7222222222222325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D7-45A4-BA88-5A56A41F9D84}"/>
                </c:ext>
              </c:extLst>
            </c:dLbl>
            <c:dLbl>
              <c:idx val="5"/>
              <c:layout>
                <c:manualLayout>
                  <c:x val="4.4444444444444342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D7-45A4-BA88-5A56A41F9D8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'Country analy by gr &amp; democracy'!$F$30:$F$35</c:f>
              <c:strCache>
                <c:ptCount val="5"/>
                <c:pt idx="0">
                  <c:v>Rapid growth (5% and +)</c:v>
                </c:pt>
                <c:pt idx="2">
                  <c:v>Modest growth (3 -&lt; 5%)</c:v>
                </c:pt>
                <c:pt idx="4">
                  <c:v>Slow growth (&lt;3%)</c:v>
                </c:pt>
              </c:strCache>
            </c:strRef>
          </c:cat>
          <c:val>
            <c:numRef>
              <c:f>'Country analy by gr &amp; democracy'!$H$30:$H$35</c:f>
              <c:numCache>
                <c:formatCode>0%</c:formatCode>
                <c:ptCount val="6"/>
                <c:pt idx="0" formatCode="0">
                  <c:v>13</c:v>
                </c:pt>
                <c:pt idx="1">
                  <c:v>0.40625</c:v>
                </c:pt>
                <c:pt idx="2" formatCode="0">
                  <c:v>10</c:v>
                </c:pt>
                <c:pt idx="3">
                  <c:v>0.55555555555555558</c:v>
                </c:pt>
                <c:pt idx="4" formatCode="0">
                  <c:v>1</c:v>
                </c:pt>
                <c:pt idx="5">
                  <c:v>0.1</c:v>
                </c:pt>
              </c:numCache>
            </c:numRef>
          </c:val>
          <c:extLst>
            <c:ext xmlns:c16="http://schemas.microsoft.com/office/drawing/2014/chart" uri="{C3380CC4-5D6E-409C-BE32-E72D297353CC}">
              <c16:uniqueId val="{0000000D-40D7-45A4-BA88-5A56A41F9D84}"/>
            </c:ext>
          </c:extLst>
        </c:ser>
        <c:dLbls>
          <c:showLegendKey val="0"/>
          <c:showVal val="0"/>
          <c:showCatName val="0"/>
          <c:showSerName val="0"/>
          <c:showPercent val="0"/>
          <c:showBubbleSize val="0"/>
        </c:dLbls>
        <c:axId val="555916160"/>
        <c:axId val="555916576"/>
      </c:areaChart>
      <c:barChart>
        <c:barDir val="col"/>
        <c:grouping val="clustered"/>
        <c:varyColors val="0"/>
        <c:ser>
          <c:idx val="2"/>
          <c:order val="2"/>
          <c:tx>
            <c:strRef>
              <c:f>'Country analy by gr &amp; democracy'!$I$29</c:f>
              <c:strCache>
                <c:ptCount val="1"/>
                <c:pt idx="0">
                  <c:v>Total</c:v>
                </c:pt>
              </c:strCache>
            </c:strRef>
          </c:tx>
          <c:spPr>
            <a:solidFill>
              <a:schemeClr val="accent3"/>
            </a:solidFill>
            <a:ln>
              <a:noFill/>
            </a:ln>
            <a:effectLst/>
          </c:spPr>
          <c:invertIfNegative val="0"/>
          <c:dLbls>
            <c:dLbl>
              <c:idx val="1"/>
              <c:layout>
                <c:manualLayout>
                  <c:x val="2.7777777777777267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0D7-45A4-BA88-5A56A41F9D84}"/>
                </c:ext>
              </c:extLst>
            </c:dLbl>
            <c:dLbl>
              <c:idx val="3"/>
              <c:layout>
                <c:manualLayout>
                  <c:x val="2.777777777777676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0D7-45A4-BA88-5A56A41F9D84}"/>
                </c:ext>
              </c:extLst>
            </c:dLbl>
            <c:dLbl>
              <c:idx val="5"/>
              <c:layout>
                <c:manualLayout>
                  <c:x val="8.3333333333333332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0D7-45A4-BA88-5A56A41F9D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'Country analy by gr &amp; democracy'!$F$30:$F$35</c:f>
              <c:strCache>
                <c:ptCount val="5"/>
                <c:pt idx="0">
                  <c:v>Rapid growth (5% and +)</c:v>
                </c:pt>
                <c:pt idx="2">
                  <c:v>Modest growth (3 -&lt; 5%)</c:v>
                </c:pt>
                <c:pt idx="4">
                  <c:v>Slow growth (&lt;3%)</c:v>
                </c:pt>
              </c:strCache>
            </c:strRef>
          </c:cat>
          <c:val>
            <c:numRef>
              <c:f>'Country analy by gr &amp; democracy'!$I$30:$I$35</c:f>
              <c:numCache>
                <c:formatCode>0%</c:formatCode>
                <c:ptCount val="6"/>
                <c:pt idx="0" formatCode="0">
                  <c:v>32</c:v>
                </c:pt>
                <c:pt idx="1">
                  <c:v>1</c:v>
                </c:pt>
                <c:pt idx="2" formatCode="0">
                  <c:v>18</c:v>
                </c:pt>
                <c:pt idx="3">
                  <c:v>1</c:v>
                </c:pt>
                <c:pt idx="4" formatCode="0">
                  <c:v>10</c:v>
                </c:pt>
                <c:pt idx="5">
                  <c:v>1</c:v>
                </c:pt>
              </c:numCache>
            </c:numRef>
          </c:val>
          <c:extLst>
            <c:ext xmlns:c16="http://schemas.microsoft.com/office/drawing/2014/chart" uri="{C3380CC4-5D6E-409C-BE32-E72D297353CC}">
              <c16:uniqueId val="{00000011-40D7-45A4-BA88-5A56A41F9D84}"/>
            </c:ext>
          </c:extLst>
        </c:ser>
        <c:dLbls>
          <c:showLegendKey val="0"/>
          <c:showVal val="0"/>
          <c:showCatName val="0"/>
          <c:showSerName val="0"/>
          <c:showPercent val="0"/>
          <c:showBubbleSize val="0"/>
        </c:dLbls>
        <c:gapWidth val="150"/>
        <c:axId val="555916160"/>
        <c:axId val="555916576"/>
      </c:barChart>
      <c:catAx>
        <c:axId val="55591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16576"/>
        <c:crosses val="autoZero"/>
        <c:auto val="1"/>
        <c:lblAlgn val="ctr"/>
        <c:lblOffset val="100"/>
        <c:noMultiLvlLbl val="0"/>
      </c:catAx>
      <c:valAx>
        <c:axId val="5559165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1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gradFill flip="none" rotWithShape="1">
      <a:gsLst>
        <a:gs pos="0">
          <a:schemeClr val="accent6">
            <a:lumMod val="40000"/>
            <a:lumOff val="60000"/>
            <a:tint val="66000"/>
            <a:satMod val="160000"/>
          </a:schemeClr>
        </a:gs>
        <a:gs pos="50000">
          <a:schemeClr val="accent6">
            <a:lumMod val="40000"/>
            <a:lumOff val="60000"/>
            <a:tint val="44500"/>
            <a:satMod val="160000"/>
          </a:schemeClr>
        </a:gs>
        <a:gs pos="100000">
          <a:schemeClr val="accent6">
            <a:lumMod val="40000"/>
            <a:lumOff val="60000"/>
            <a:tint val="23500"/>
            <a:satMod val="160000"/>
          </a:schemeClr>
        </a:gs>
      </a:gsLst>
      <a:lin ang="2700000" scaled="1"/>
      <a:tileRect/>
    </a:gra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100" b="1"/>
              <a:t>Figure 54: ITUC Global rights index 2017 </a:t>
            </a:r>
          </a:p>
        </c:rich>
      </c:tx>
      <c:layout>
        <c:manualLayout>
          <c:xMode val="edge"/>
          <c:yMode val="edge"/>
          <c:x val="0.17934383202099738"/>
          <c:y val="6.55737704918032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'Rights index'!$B$2</c:f>
              <c:strCache>
                <c:ptCount val="1"/>
                <c:pt idx="0">
                  <c:v>ITUC Global rights index 2017 (Rating 5+  = No guarantee of rights due to the breakdown of the rule of law; Rating 5 =  No guarantee of rights; Rating 4 = Systematic violation of rights; Rating 3 = Regular violation of rights; Rating 2  = Repeated violati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('Rights index'!$A$3,'Rights index'!$A$7,'Rights index'!$A$13,'Rights index'!$A$18,'Rights index'!$A$21:$A$22,'Rights index'!$A$33:$A$35,'Rights index'!$A$50:$A$59)</c:f>
              <c:strCache>
                <c:ptCount val="19"/>
                <c:pt idx="0">
                  <c:v>Austria </c:v>
                </c:pt>
                <c:pt idx="1">
                  <c:v>Germany </c:v>
                </c:pt>
                <c:pt idx="2">
                  <c:v>Barbados </c:v>
                </c:pt>
                <c:pt idx="3">
                  <c:v>New Zealand </c:v>
                </c:pt>
                <c:pt idx="4">
                  <c:v>Haiti</c:v>
                </c:pt>
                <c:pt idx="5">
                  <c:v>Nepal</c:v>
                </c:pt>
                <c:pt idx="6">
                  <c:v>Angola</c:v>
                </c:pt>
                <c:pt idx="7">
                  <c:v>Chad</c:v>
                </c:pt>
                <c:pt idx="8">
                  <c:v>Congo, Dem. Rep.</c:v>
                </c:pt>
                <c:pt idx="9">
                  <c:v>United Kingdom </c:v>
                </c:pt>
                <c:pt idx="10">
                  <c:v>United States </c:v>
                </c:pt>
                <c:pt idx="11">
                  <c:v>Myanmar</c:v>
                </c:pt>
                <c:pt idx="12">
                  <c:v>Zimbabwe</c:v>
                </c:pt>
                <c:pt idx="13">
                  <c:v>Algeria</c:v>
                </c:pt>
                <c:pt idx="14">
                  <c:v>Bangladesh</c:v>
                </c:pt>
                <c:pt idx="15">
                  <c:v>Benin</c:v>
                </c:pt>
                <c:pt idx="16">
                  <c:v>Bolivia</c:v>
                </c:pt>
                <c:pt idx="17">
                  <c:v>Bosnia and Herzegovina</c:v>
                </c:pt>
                <c:pt idx="18">
                  <c:v>Cambodia</c:v>
                </c:pt>
              </c:strCache>
            </c:strRef>
          </c:cat>
          <c:val>
            <c:numRef>
              <c:f>('Rights index'!$B$3,'Rights index'!$B$7,'Rights index'!$B$13,'Rights index'!$B$18,'Rights index'!$B$21:$B$22,'Rights index'!$B$33:$B$35,'Rights index'!$B$50:$B$59)</c:f>
              <c:numCache>
                <c:formatCode>0</c:formatCode>
                <c:ptCount val="19"/>
                <c:pt idx="0">
                  <c:v>1</c:v>
                </c:pt>
                <c:pt idx="1">
                  <c:v>1</c:v>
                </c:pt>
                <c:pt idx="2">
                  <c:v>2</c:v>
                </c:pt>
                <c:pt idx="3">
                  <c:v>2</c:v>
                </c:pt>
                <c:pt idx="4">
                  <c:v>3</c:v>
                </c:pt>
                <c:pt idx="5">
                  <c:v>3</c:v>
                </c:pt>
                <c:pt idx="6">
                  <c:v>4</c:v>
                </c:pt>
                <c:pt idx="7">
                  <c:v>4</c:v>
                </c:pt>
                <c:pt idx="8">
                  <c:v>4</c:v>
                </c:pt>
                <c:pt idx="9">
                  <c:v>4</c:v>
                </c:pt>
                <c:pt idx="10">
                  <c:v>4</c:v>
                </c:pt>
                <c:pt idx="11">
                  <c:v>5</c:v>
                </c:pt>
                <c:pt idx="12">
                  <c:v>5</c:v>
                </c:pt>
                <c:pt idx="13">
                  <c:v>5</c:v>
                </c:pt>
                <c:pt idx="14">
                  <c:v>5</c:v>
                </c:pt>
                <c:pt idx="15">
                  <c:v>5</c:v>
                </c:pt>
                <c:pt idx="16">
                  <c:v>5</c:v>
                </c:pt>
                <c:pt idx="17">
                  <c:v>5</c:v>
                </c:pt>
                <c:pt idx="18">
                  <c:v>5</c:v>
                </c:pt>
              </c:numCache>
            </c:numRef>
          </c:val>
          <c:extLst>
            <c:ext xmlns:c16="http://schemas.microsoft.com/office/drawing/2014/chart" uri="{C3380CC4-5D6E-409C-BE32-E72D297353CC}">
              <c16:uniqueId val="{00000000-EAB7-4D83-B37F-B34969C3C2AF}"/>
            </c:ext>
          </c:extLst>
        </c:ser>
        <c:dLbls>
          <c:dLblPos val="outEnd"/>
          <c:showLegendKey val="0"/>
          <c:showVal val="1"/>
          <c:showCatName val="0"/>
          <c:showSerName val="0"/>
          <c:showPercent val="0"/>
          <c:showBubbleSize val="0"/>
        </c:dLbls>
        <c:gapWidth val="219"/>
        <c:overlap val="-27"/>
        <c:axId val="363827824"/>
        <c:axId val="363831984"/>
      </c:barChart>
      <c:catAx>
        <c:axId val="36382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31984"/>
        <c:crosses val="autoZero"/>
        <c:auto val="1"/>
        <c:lblAlgn val="ctr"/>
        <c:lblOffset val="100"/>
        <c:noMultiLvlLbl val="0"/>
      </c:catAx>
      <c:valAx>
        <c:axId val="3638319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27824"/>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100" b="1">
                <a:latin typeface="Times New Roman" panose="02020603050405020304" pitchFamily="18" charset="0"/>
                <a:cs typeface="Times New Roman" panose="02020603050405020304" pitchFamily="18" charset="0"/>
              </a:rPr>
              <a:t>Figure 55: Global Freedom score</a:t>
            </a:r>
            <a:r>
              <a:rPr lang="en-US" sz="1100">
                <a:latin typeface="Times New Roman" panose="02020603050405020304" pitchFamily="18" charset="0"/>
                <a:cs typeface="Times New Roman" panose="02020603050405020304" pitchFamily="18" charset="0"/>
              </a:rPr>
              <a:t> (1-100)</a:t>
            </a:r>
          </a:p>
          <a:p>
            <a:pPr>
              <a:defRPr/>
            </a:pPr>
            <a:r>
              <a:rPr lang="en-US" sz="1000"/>
              <a:t>(A larger aggregate score indicates a greater level of freedom)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'Freedom score'!$B$2</c:f>
              <c:strCache>
                <c:ptCount val="1"/>
                <c:pt idx="0">
                  <c:v>Global Freedom score 2016</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11"/>
              <c:layout>
                <c:manualLayout>
                  <c:x val="-0.1"/>
                  <c:y val="-7.4074074074074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30-47A6-9605-36E716E73DCB}"/>
                </c:ext>
              </c:extLst>
            </c:dLbl>
            <c:dLbl>
              <c:idx val="14"/>
              <c:layout>
                <c:manualLayout>
                  <c:x val="-1.1111111111111112E-2"/>
                  <c:y val="-2.31481481481482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30-47A6-9605-36E716E73DCB}"/>
                </c:ext>
              </c:extLst>
            </c:dLbl>
            <c:dLbl>
              <c:idx val="16"/>
              <c:layout>
                <c:manualLayout>
                  <c:x val="-0.13611111111111113"/>
                  <c:y val="3.240740740740723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30-47A6-9605-36E716E73DCB}"/>
                </c:ext>
              </c:extLst>
            </c:dLbl>
            <c:dLbl>
              <c:idx val="24"/>
              <c:layout>
                <c:manualLayout>
                  <c:x val="-3.3333333333333381E-2"/>
                  <c:y val="5.09259259259259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30-47A6-9605-36E716E73DCB}"/>
                </c:ext>
              </c:extLst>
            </c:dLbl>
            <c:dLbl>
              <c:idx val="25"/>
              <c:layout>
                <c:manualLayout>
                  <c:x val="-3.3333333333333333E-2"/>
                  <c:y val="6.0185185185185099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4-0A30-47A6-9605-36E716E73DCB}"/>
                </c:ext>
              </c:extLst>
            </c:dLbl>
            <c:dLbl>
              <c:idx val="26"/>
              <c:layout>
                <c:manualLayout>
                  <c:x val="-1.6666666666666718E-2"/>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30-47A6-9605-36E716E73DCB}"/>
                </c:ext>
              </c:extLst>
            </c:dLbl>
            <c:dLbl>
              <c:idx val="3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30-47A6-9605-36E716E73DCB}"/>
                </c:ext>
              </c:extLst>
            </c:dLbl>
            <c:dLbl>
              <c:idx val="34"/>
              <c:layout>
                <c:manualLayout>
                  <c:x val="-5.2777777777777826E-2"/>
                  <c:y val="-6.48148148148148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30-47A6-9605-36E716E73DCB}"/>
                </c:ext>
              </c:extLst>
            </c:dLbl>
            <c:dLbl>
              <c:idx val="3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30-47A6-9605-36E716E73DCB}"/>
                </c:ext>
              </c:extLst>
            </c:dLbl>
            <c:dLbl>
              <c:idx val="43"/>
              <c:layout>
                <c:manualLayout>
                  <c:x val="0.18611111111111112"/>
                  <c:y val="0.120370370370370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30-47A6-9605-36E716E73DCB}"/>
                </c:ext>
              </c:extLst>
            </c:dLbl>
            <c:dLbl>
              <c:idx val="44"/>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30-47A6-9605-36E716E73DCB}"/>
                </c:ext>
              </c:extLst>
            </c:dLbl>
            <c:dLbl>
              <c:idx val="56"/>
              <c:layout>
                <c:manualLayout>
                  <c:x val="-9.1666666666666771E-2"/>
                  <c:y val="6.018518518518518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30-47A6-9605-36E716E73DCB}"/>
                </c:ext>
              </c:extLst>
            </c:dLbl>
            <c:dLbl>
              <c:idx val="58"/>
              <c:layout>
                <c:manualLayout>
                  <c:x val="0.18888888888888899"/>
                  <c:y val="-6.48148148148148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A30-47A6-9605-36E716E73DCB}"/>
                </c:ext>
              </c:extLst>
            </c:dLbl>
            <c:dLbl>
              <c:idx val="6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30-47A6-9605-36E716E73DCB}"/>
                </c:ext>
              </c:extLst>
            </c:dLbl>
            <c:dLbl>
              <c:idx val="64"/>
              <c:layout>
                <c:manualLayout>
                  <c:x val="2.777777777777676E-3"/>
                  <c:y val="7.4074074074074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A30-47A6-9605-36E716E73DCB}"/>
                </c:ext>
              </c:extLst>
            </c:dLbl>
            <c:dLbl>
              <c:idx val="67"/>
              <c:layout>
                <c:manualLayout>
                  <c:x val="0"/>
                  <c:y val="-1.388888888888893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A30-47A6-9605-36E716E73DCB}"/>
                </c:ext>
              </c:extLst>
            </c:dLbl>
            <c:dLbl>
              <c:idx val="6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A30-47A6-9605-36E716E73DCB}"/>
                </c:ext>
              </c:extLst>
            </c:dLbl>
            <c:dLbl>
              <c:idx val="69"/>
              <c:layout>
                <c:manualLayout>
                  <c:x val="5.833333333333323E-2"/>
                  <c:y val="-1.6975112544026657E-1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30-47A6-9605-36E716E73DCB}"/>
                </c:ext>
              </c:extLst>
            </c:dLbl>
            <c:dLbl>
              <c:idx val="70"/>
              <c:layout>
                <c:manualLayout>
                  <c:x val="-0.12500000000000011"/>
                  <c:y val="-7.4074074074074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A30-47A6-9605-36E716E73DCB}"/>
                </c:ext>
              </c:extLst>
            </c:dLbl>
            <c:dLbl>
              <c:idx val="86"/>
              <c:layout>
                <c:manualLayout>
                  <c:x val="-1.6666666666666666E-2"/>
                  <c:y val="-0.12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30-47A6-9605-36E716E73DCB}"/>
                </c:ext>
              </c:extLst>
            </c:dLbl>
            <c:dLbl>
              <c:idx val="88"/>
              <c:layout>
                <c:manualLayout>
                  <c:x val="-5.5555555555554534E-3"/>
                  <c:y val="4.62962962962962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A30-47A6-9605-36E716E73DCB}"/>
                </c:ext>
              </c:extLst>
            </c:dLbl>
            <c:dLbl>
              <c:idx val="89"/>
              <c:layout>
                <c:manualLayout>
                  <c:x val="-1.0185067526415994E-16"/>
                  <c:y val="8.79629629629629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A30-47A6-9605-36E716E73DC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'Freedom score'!$A$3:$A$92</c:f>
              <c:strCache>
                <c:ptCount val="90"/>
                <c:pt idx="0">
                  <c:v>Afghanistan</c:v>
                </c:pt>
                <c:pt idx="1">
                  <c:v>Angola</c:v>
                </c:pt>
                <c:pt idx="2">
                  <c:v>Burundi</c:v>
                </c:pt>
                <c:pt idx="3">
                  <c:v>Chad</c:v>
                </c:pt>
                <c:pt idx="4">
                  <c:v>Central African Republic</c:v>
                </c:pt>
                <c:pt idx="5">
                  <c:v>Comoros</c:v>
                </c:pt>
                <c:pt idx="6">
                  <c:v>Congo, Dem. Rep.</c:v>
                </c:pt>
                <c:pt idx="7">
                  <c:v>Congo, Rep.</c:v>
                </c:pt>
                <c:pt idx="8">
                  <c:v>Guinea</c:v>
                </c:pt>
                <c:pt idx="9">
                  <c:v>Guinea-Bissau</c:v>
                </c:pt>
                <c:pt idx="10">
                  <c:v>Haiti</c:v>
                </c:pt>
                <c:pt idx="11">
                  <c:v>Liberia</c:v>
                </c:pt>
                <c:pt idx="12">
                  <c:v>Madagascar</c:v>
                </c:pt>
                <c:pt idx="13">
                  <c:v>Mauritania</c:v>
                </c:pt>
                <c:pt idx="14">
                  <c:v>Nepal</c:v>
                </c:pt>
                <c:pt idx="15">
                  <c:v>Sierra Leone</c:v>
                </c:pt>
                <c:pt idx="16">
                  <c:v>Sudan</c:v>
                </c:pt>
                <c:pt idx="17">
                  <c:v>Timor-Leste</c:v>
                </c:pt>
                <c:pt idx="18">
                  <c:v>Togo</c:v>
                </c:pt>
                <c:pt idx="19">
                  <c:v>Yemen, Rep.</c:v>
                </c:pt>
                <c:pt idx="20">
                  <c:v>Zimbabwe</c:v>
                </c:pt>
                <c:pt idx="21">
                  <c:v>Algeria</c:v>
                </c:pt>
                <c:pt idx="22">
                  <c:v>Argentina</c:v>
                </c:pt>
                <c:pt idx="23">
                  <c:v>Armenia</c:v>
                </c:pt>
                <c:pt idx="24">
                  <c:v>Azerbaijan</c:v>
                </c:pt>
                <c:pt idx="25">
                  <c:v>Bangladesh</c:v>
                </c:pt>
                <c:pt idx="26">
                  <c:v>Belize</c:v>
                </c:pt>
                <c:pt idx="27">
                  <c:v>Benin</c:v>
                </c:pt>
                <c:pt idx="28">
                  <c:v>Bolivia</c:v>
                </c:pt>
                <c:pt idx="29">
                  <c:v>Bosnia and Herzegovina</c:v>
                </c:pt>
                <c:pt idx="30">
                  <c:v>Burkina Faso</c:v>
                </c:pt>
                <c:pt idx="31">
                  <c:v>Cambodia</c:v>
                </c:pt>
                <c:pt idx="32">
                  <c:v>Cameroon</c:v>
                </c:pt>
                <c:pt idx="33">
                  <c:v>Cote d'Ivoire</c:v>
                </c:pt>
                <c:pt idx="34">
                  <c:v>Ecuador</c:v>
                </c:pt>
                <c:pt idx="35">
                  <c:v>Egypt </c:v>
                </c:pt>
                <c:pt idx="36">
                  <c:v>Ethiopia</c:v>
                </c:pt>
                <c:pt idx="37">
                  <c:v>Gambia, The</c:v>
                </c:pt>
                <c:pt idx="38">
                  <c:v>Ghana</c:v>
                </c:pt>
                <c:pt idx="39">
                  <c:v>Grenada</c:v>
                </c:pt>
                <c:pt idx="40">
                  <c:v>Guatemala </c:v>
                </c:pt>
                <c:pt idx="41">
                  <c:v>Guyana</c:v>
                </c:pt>
                <c:pt idx="42">
                  <c:v>Honduras </c:v>
                </c:pt>
                <c:pt idx="43">
                  <c:v>Kenya</c:v>
                </c:pt>
                <c:pt idx="44">
                  <c:v>Kyrgyz Rep </c:v>
                </c:pt>
                <c:pt idx="45">
                  <c:v>Lao PDR</c:v>
                </c:pt>
                <c:pt idx="46">
                  <c:v>Malawi</c:v>
                </c:pt>
                <c:pt idx="47">
                  <c:v>Mali</c:v>
                </c:pt>
                <c:pt idx="48">
                  <c:v>Moldova</c:v>
                </c:pt>
                <c:pt idx="49">
                  <c:v>Mongolia</c:v>
                </c:pt>
                <c:pt idx="50">
                  <c:v>Mozambique</c:v>
                </c:pt>
                <c:pt idx="51">
                  <c:v>Nicaragua</c:v>
                </c:pt>
                <c:pt idx="52">
                  <c:v>Niger</c:v>
                </c:pt>
                <c:pt idx="53">
                  <c:v>Nigeria</c:v>
                </c:pt>
                <c:pt idx="54">
                  <c:v>Pakistan </c:v>
                </c:pt>
                <c:pt idx="55">
                  <c:v>Paraguay </c:v>
                </c:pt>
                <c:pt idx="56">
                  <c:v>Rwanda</c:v>
                </c:pt>
                <c:pt idx="57">
                  <c:v>Senegal</c:v>
                </c:pt>
                <c:pt idx="58">
                  <c:v>Tanzania </c:v>
                </c:pt>
                <c:pt idx="59">
                  <c:v>Uganda</c:v>
                </c:pt>
                <c:pt idx="60">
                  <c:v>Uzbekistan</c:v>
                </c:pt>
                <c:pt idx="61">
                  <c:v>Zambia</c:v>
                </c:pt>
                <c:pt idx="62">
                  <c:v>Albania</c:v>
                </c:pt>
                <c:pt idx="63">
                  <c:v>Barbados </c:v>
                </c:pt>
                <c:pt idx="64">
                  <c:v>Bhutan</c:v>
                </c:pt>
                <c:pt idx="65">
                  <c:v>Dominica</c:v>
                </c:pt>
                <c:pt idx="66">
                  <c:v>Georgia</c:v>
                </c:pt>
                <c:pt idx="67">
                  <c:v>India</c:v>
                </c:pt>
                <c:pt idx="68">
                  <c:v>Sri Lanka</c:v>
                </c:pt>
                <c:pt idx="69">
                  <c:v>Vietnam</c:v>
                </c:pt>
                <c:pt idx="70">
                  <c:v>Australia </c:v>
                </c:pt>
                <c:pt idx="71">
                  <c:v>Austria </c:v>
                </c:pt>
                <c:pt idx="72">
                  <c:v>Belgium </c:v>
                </c:pt>
                <c:pt idx="73">
                  <c:v>Canada </c:v>
                </c:pt>
                <c:pt idx="74">
                  <c:v>Denmark </c:v>
                </c:pt>
                <c:pt idx="75">
                  <c:v>Finland </c:v>
                </c:pt>
                <c:pt idx="76">
                  <c:v>France </c:v>
                </c:pt>
                <c:pt idx="77">
                  <c:v>Germany </c:v>
                </c:pt>
                <c:pt idx="78">
                  <c:v>Iceland </c:v>
                </c:pt>
                <c:pt idx="79">
                  <c:v>Ireland </c:v>
                </c:pt>
                <c:pt idx="80">
                  <c:v>Japan </c:v>
                </c:pt>
                <c:pt idx="81">
                  <c:v>Luxembourg </c:v>
                </c:pt>
                <c:pt idx="82">
                  <c:v>New Zealand </c:v>
                </c:pt>
                <c:pt idx="83">
                  <c:v>Netherlands </c:v>
                </c:pt>
                <c:pt idx="84">
                  <c:v>Norway </c:v>
                </c:pt>
                <c:pt idx="85">
                  <c:v>Sweden </c:v>
                </c:pt>
                <c:pt idx="86">
                  <c:v>United Kingdom </c:v>
                </c:pt>
                <c:pt idx="87">
                  <c:v>United States </c:v>
                </c:pt>
                <c:pt idx="88">
                  <c:v>Singapore </c:v>
                </c:pt>
                <c:pt idx="89">
                  <c:v>Switzerland</c:v>
                </c:pt>
              </c:strCache>
            </c:strRef>
          </c:xVal>
          <c:yVal>
            <c:numRef>
              <c:f>'Freedom score'!$B$3:$B$92</c:f>
              <c:numCache>
                <c:formatCode>General</c:formatCode>
                <c:ptCount val="90"/>
                <c:pt idx="0">
                  <c:v>24</c:v>
                </c:pt>
                <c:pt idx="1">
                  <c:v>24</c:v>
                </c:pt>
                <c:pt idx="2">
                  <c:v>19</c:v>
                </c:pt>
                <c:pt idx="3">
                  <c:v>18</c:v>
                </c:pt>
                <c:pt idx="4">
                  <c:v>10</c:v>
                </c:pt>
                <c:pt idx="5">
                  <c:v>55</c:v>
                </c:pt>
                <c:pt idx="6">
                  <c:v>27</c:v>
                </c:pt>
                <c:pt idx="7">
                  <c:v>19</c:v>
                </c:pt>
                <c:pt idx="8">
                  <c:v>41</c:v>
                </c:pt>
                <c:pt idx="9">
                  <c:v>40</c:v>
                </c:pt>
                <c:pt idx="10">
                  <c:v>39</c:v>
                </c:pt>
                <c:pt idx="11">
                  <c:v>62</c:v>
                </c:pt>
                <c:pt idx="12">
                  <c:v>56</c:v>
                </c:pt>
                <c:pt idx="13">
                  <c:v>30</c:v>
                </c:pt>
                <c:pt idx="14">
                  <c:v>52</c:v>
                </c:pt>
                <c:pt idx="15">
                  <c:v>66</c:v>
                </c:pt>
                <c:pt idx="16">
                  <c:v>6</c:v>
                </c:pt>
                <c:pt idx="17">
                  <c:v>65</c:v>
                </c:pt>
                <c:pt idx="18">
                  <c:v>48</c:v>
                </c:pt>
                <c:pt idx="19">
                  <c:v>14</c:v>
                </c:pt>
                <c:pt idx="20">
                  <c:v>32</c:v>
                </c:pt>
                <c:pt idx="21">
                  <c:v>35</c:v>
                </c:pt>
                <c:pt idx="22">
                  <c:v>82</c:v>
                </c:pt>
                <c:pt idx="23">
                  <c:v>45</c:v>
                </c:pt>
                <c:pt idx="24">
                  <c:v>14</c:v>
                </c:pt>
                <c:pt idx="25">
                  <c:v>47</c:v>
                </c:pt>
                <c:pt idx="26">
                  <c:v>87</c:v>
                </c:pt>
                <c:pt idx="27">
                  <c:v>82</c:v>
                </c:pt>
                <c:pt idx="28">
                  <c:v>68</c:v>
                </c:pt>
                <c:pt idx="29">
                  <c:v>55</c:v>
                </c:pt>
                <c:pt idx="30">
                  <c:v>63</c:v>
                </c:pt>
                <c:pt idx="31">
                  <c:v>31</c:v>
                </c:pt>
                <c:pt idx="32">
                  <c:v>24</c:v>
                </c:pt>
                <c:pt idx="33">
                  <c:v>52</c:v>
                </c:pt>
                <c:pt idx="34">
                  <c:v>57</c:v>
                </c:pt>
                <c:pt idx="35">
                  <c:v>26</c:v>
                </c:pt>
                <c:pt idx="36">
                  <c:v>12</c:v>
                </c:pt>
                <c:pt idx="37">
                  <c:v>20</c:v>
                </c:pt>
                <c:pt idx="38">
                  <c:v>83</c:v>
                </c:pt>
                <c:pt idx="39">
                  <c:v>89</c:v>
                </c:pt>
                <c:pt idx="40">
                  <c:v>54</c:v>
                </c:pt>
                <c:pt idx="41">
                  <c:v>74</c:v>
                </c:pt>
                <c:pt idx="42">
                  <c:v>46</c:v>
                </c:pt>
                <c:pt idx="43">
                  <c:v>51</c:v>
                </c:pt>
                <c:pt idx="44">
                  <c:v>37</c:v>
                </c:pt>
                <c:pt idx="45">
                  <c:v>12</c:v>
                </c:pt>
                <c:pt idx="46">
                  <c:v>63</c:v>
                </c:pt>
                <c:pt idx="47">
                  <c:v>45</c:v>
                </c:pt>
                <c:pt idx="48">
                  <c:v>62</c:v>
                </c:pt>
                <c:pt idx="49">
                  <c:v>85</c:v>
                </c:pt>
                <c:pt idx="50">
                  <c:v>53</c:v>
                </c:pt>
                <c:pt idx="51">
                  <c:v>47</c:v>
                </c:pt>
                <c:pt idx="52">
                  <c:v>49</c:v>
                </c:pt>
                <c:pt idx="53">
                  <c:v>50</c:v>
                </c:pt>
                <c:pt idx="54">
                  <c:v>43</c:v>
                </c:pt>
                <c:pt idx="55">
                  <c:v>64</c:v>
                </c:pt>
                <c:pt idx="56">
                  <c:v>24</c:v>
                </c:pt>
                <c:pt idx="57">
                  <c:v>78</c:v>
                </c:pt>
                <c:pt idx="58">
                  <c:v>58</c:v>
                </c:pt>
                <c:pt idx="59">
                  <c:v>35</c:v>
                </c:pt>
                <c:pt idx="60">
                  <c:v>3</c:v>
                </c:pt>
                <c:pt idx="61">
                  <c:v>56</c:v>
                </c:pt>
                <c:pt idx="62">
                  <c:v>68</c:v>
                </c:pt>
                <c:pt idx="63">
                  <c:v>97</c:v>
                </c:pt>
                <c:pt idx="64">
                  <c:v>55</c:v>
                </c:pt>
                <c:pt idx="65">
                  <c:v>95</c:v>
                </c:pt>
                <c:pt idx="66">
                  <c:v>64</c:v>
                </c:pt>
                <c:pt idx="67">
                  <c:v>77</c:v>
                </c:pt>
                <c:pt idx="68">
                  <c:v>56</c:v>
                </c:pt>
                <c:pt idx="69">
                  <c:v>20</c:v>
                </c:pt>
                <c:pt idx="70">
                  <c:v>98</c:v>
                </c:pt>
                <c:pt idx="71">
                  <c:v>95</c:v>
                </c:pt>
                <c:pt idx="72">
                  <c:v>95</c:v>
                </c:pt>
                <c:pt idx="73">
                  <c:v>99</c:v>
                </c:pt>
                <c:pt idx="74">
                  <c:v>97</c:v>
                </c:pt>
                <c:pt idx="75">
                  <c:v>100</c:v>
                </c:pt>
                <c:pt idx="76">
                  <c:v>90</c:v>
                </c:pt>
                <c:pt idx="77">
                  <c:v>95</c:v>
                </c:pt>
                <c:pt idx="78">
                  <c:v>97</c:v>
                </c:pt>
                <c:pt idx="79">
                  <c:v>96</c:v>
                </c:pt>
                <c:pt idx="80">
                  <c:v>96</c:v>
                </c:pt>
                <c:pt idx="81">
                  <c:v>98</c:v>
                </c:pt>
                <c:pt idx="82">
                  <c:v>99</c:v>
                </c:pt>
                <c:pt idx="83">
                  <c:v>99</c:v>
                </c:pt>
                <c:pt idx="84">
                  <c:v>100</c:v>
                </c:pt>
                <c:pt idx="85">
                  <c:v>100</c:v>
                </c:pt>
                <c:pt idx="86">
                  <c:v>95</c:v>
                </c:pt>
                <c:pt idx="87">
                  <c:v>89</c:v>
                </c:pt>
                <c:pt idx="88">
                  <c:v>51</c:v>
                </c:pt>
                <c:pt idx="89">
                  <c:v>96</c:v>
                </c:pt>
              </c:numCache>
            </c:numRef>
          </c:yVal>
          <c:smooth val="0"/>
          <c:extLst>
            <c:ext xmlns:c16="http://schemas.microsoft.com/office/drawing/2014/chart" uri="{C3380CC4-5D6E-409C-BE32-E72D297353CC}">
              <c16:uniqueId val="{00000016-0A30-47A6-9605-36E716E73DCB}"/>
            </c:ext>
          </c:extLst>
        </c:ser>
        <c:dLbls>
          <c:showLegendKey val="0"/>
          <c:showVal val="0"/>
          <c:showCatName val="0"/>
          <c:showSerName val="0"/>
          <c:showPercent val="0"/>
          <c:showBubbleSize val="0"/>
        </c:dLbls>
        <c:axId val="1083781056"/>
        <c:axId val="1083762336"/>
      </c:scatterChart>
      <c:valAx>
        <c:axId val="1083781056"/>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3762336"/>
        <c:crosses val="autoZero"/>
        <c:crossBetween val="midCat"/>
      </c:valAx>
      <c:valAx>
        <c:axId val="108376233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3781056"/>
        <c:crosses val="autoZero"/>
        <c:crossBetween val="midCat"/>
      </c:valAx>
      <c:spPr>
        <a:noFill/>
        <a:ln>
          <a:noFill/>
        </a:ln>
        <a:effectLst/>
      </c:spPr>
    </c:plotArea>
    <c:plotVisOnly val="1"/>
    <c:dispBlanksAs val="gap"/>
    <c:showDLblsOverMax val="0"/>
  </c:chart>
  <c:spPr>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path path="circle">
        <a:fillToRect l="100000" t="100000"/>
      </a:path>
      <a:tileRect r="-100000" b="-100000"/>
    </a:gra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t>CPIA debt policy rating </a:t>
            </a:r>
            <a:r>
              <a:rPr lang="en-US" sz="1000"/>
              <a:t>(1=low to 6=high)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'CPIA scatter'!$E$2</c:f>
              <c:strCache>
                <c:ptCount val="1"/>
                <c:pt idx="0">
                  <c:v>CPIA debt policy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3"/>
              <c:layout>
                <c:manualLayout>
                  <c:x val="-3.6994979320766723E-2"/>
                  <c:y val="0.33822024561744596"/>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295842281078501"/>
                      <c:h val="4.7373707916140109E-2"/>
                    </c:manualLayout>
                  </c15:layout>
                </c:ext>
                <c:ext xmlns:c16="http://schemas.microsoft.com/office/drawing/2014/chart" uri="{C3380CC4-5D6E-409C-BE32-E72D297353CC}">
                  <c16:uniqueId val="{00000000-911C-46EC-B477-6BFD33E1F9CF}"/>
                </c:ext>
              </c:extLst>
            </c:dLbl>
            <c:dLbl>
              <c:idx val="6"/>
              <c:layout>
                <c:manualLayout>
                  <c:x val="-6.1111111111111109E-2"/>
                  <c:y val="-6.944444444444446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1C-46EC-B477-6BFD33E1F9CF}"/>
                </c:ext>
              </c:extLst>
            </c:dLbl>
            <c:dLbl>
              <c:idx val="9"/>
              <c:layout>
                <c:manualLayout>
                  <c:x val="6.3812897745658501E-2"/>
                  <c:y val="6.9187445319334989E-2"/>
                </c:manualLayout>
              </c:layout>
              <c:showLegendKey val="0"/>
              <c:showVal val="1"/>
              <c:showCatName val="1"/>
              <c:showSerName val="0"/>
              <c:showPercent val="0"/>
              <c:showBubbleSize val="0"/>
              <c:extLst>
                <c:ext xmlns:c15="http://schemas.microsoft.com/office/drawing/2012/chart" uri="{CE6537A1-D6FC-4f65-9D91-7224C49458BB}">
                  <c15:layout>
                    <c:manualLayout>
                      <c:w val="0.15497090988626422"/>
                      <c:h val="4.222951297754448E-2"/>
                    </c:manualLayout>
                  </c15:layout>
                </c:ext>
                <c:ext xmlns:c16="http://schemas.microsoft.com/office/drawing/2014/chart" uri="{C3380CC4-5D6E-409C-BE32-E72D297353CC}">
                  <c16:uniqueId val="{00000002-911C-46EC-B477-6BFD33E1F9CF}"/>
                </c:ext>
              </c:extLst>
            </c:dLbl>
            <c:dLbl>
              <c:idx val="2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1C-46EC-B477-6BFD33E1F9CF}"/>
                </c:ext>
              </c:extLst>
            </c:dLbl>
            <c:dLbl>
              <c:idx val="22"/>
              <c:layout>
                <c:manualLayout>
                  <c:x val="0.19691780821917809"/>
                  <c:y val="0.4938271604938271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25-45F9-8AA4-EC04F70AB7D7}"/>
                </c:ext>
              </c:extLst>
            </c:dLbl>
            <c:dLbl>
              <c:idx val="25"/>
              <c:layout>
                <c:manualLayout>
                  <c:x val="0.11944444444444445"/>
                  <c:y val="0.2013888888888889"/>
                </c:manualLayout>
              </c:layout>
              <c:showLegendKey val="0"/>
              <c:showVal val="1"/>
              <c:showCatName val="1"/>
              <c:showSerName val="0"/>
              <c:showPercent val="0"/>
              <c:showBubbleSize val="0"/>
              <c:extLst>
                <c:ext xmlns:c15="http://schemas.microsoft.com/office/drawing/2012/chart" uri="{CE6537A1-D6FC-4f65-9D91-7224C49458BB}">
                  <c15:layout>
                    <c:manualLayout>
                      <c:w val="0.14021719160104987"/>
                      <c:h val="5.1488772236803731E-2"/>
                    </c:manualLayout>
                  </c15:layout>
                </c:ext>
                <c:ext xmlns:c16="http://schemas.microsoft.com/office/drawing/2014/chart" uri="{C3380CC4-5D6E-409C-BE32-E72D297353CC}">
                  <c16:uniqueId val="{00000004-911C-46EC-B477-6BFD33E1F9CF}"/>
                </c:ext>
              </c:extLst>
            </c:dLbl>
            <c:dLbl>
              <c:idx val="30"/>
              <c:layout>
                <c:manualLayout>
                  <c:x val="-0.14166666666666666"/>
                  <c:y val="-8.33333333333333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1C-46EC-B477-6BFD33E1F9CF}"/>
                </c:ext>
              </c:extLst>
            </c:dLbl>
            <c:dLbl>
              <c:idx val="31"/>
              <c:layout>
                <c:manualLayout>
                  <c:x val="0.42522831050228321"/>
                  <c:y val="-0.2726337448559670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25-45F9-8AA4-EC04F70AB7D7}"/>
                </c:ext>
              </c:extLst>
            </c:dLbl>
            <c:dLbl>
              <c:idx val="33"/>
              <c:layout>
                <c:manualLayout>
                  <c:x val="0.13047956441232517"/>
                  <c:y val="0.29732530540163954"/>
                </c:manualLayout>
              </c:layout>
              <c:showLegendKey val="0"/>
              <c:showVal val="1"/>
              <c:showCatName val="1"/>
              <c:showSerName val="0"/>
              <c:showPercent val="0"/>
              <c:showBubbleSize val="0"/>
              <c:extLst>
                <c:ext xmlns:c15="http://schemas.microsoft.com/office/drawing/2012/chart" uri="{CE6537A1-D6FC-4f65-9D91-7224C49458BB}">
                  <c15:layout>
                    <c:manualLayout>
                      <c:w val="0.12435564304461942"/>
                      <c:h val="4.6859142607174095E-2"/>
                    </c:manualLayout>
                  </c15:layout>
                </c:ext>
                <c:ext xmlns:c16="http://schemas.microsoft.com/office/drawing/2014/chart" uri="{C3380CC4-5D6E-409C-BE32-E72D297353CC}">
                  <c16:uniqueId val="{00000006-911C-46EC-B477-6BFD33E1F9CF}"/>
                </c:ext>
              </c:extLst>
            </c:dLbl>
            <c:dLbl>
              <c:idx val="34"/>
              <c:layout>
                <c:manualLayout>
                  <c:x val="-7.7054794520548003E-2"/>
                  <c:y val="-9.259259259259261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25-45F9-8AA4-EC04F70AB7D7}"/>
                </c:ext>
              </c:extLst>
            </c:dLbl>
            <c:dLbl>
              <c:idx val="38"/>
              <c:layout>
                <c:manualLayout>
                  <c:x val="0.33675799086758001"/>
                  <c:y val="0.2983539094650205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25-45F9-8AA4-EC04F70AB7D7}"/>
                </c:ext>
              </c:extLst>
            </c:dLbl>
            <c:dLbl>
              <c:idx val="42"/>
              <c:layout>
                <c:manualLayout>
                  <c:x val="0.32534246575342474"/>
                  <c:y val="0.2263374485596707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25-45F9-8AA4-EC04F70AB7D7}"/>
                </c:ext>
              </c:extLst>
            </c:dLbl>
            <c:dLbl>
              <c:idx val="48"/>
              <c:layout>
                <c:manualLayout>
                  <c:x val="-8.3333333333333329E-2"/>
                  <c:y val="-0.13888888888888892"/>
                </c:manualLayout>
              </c:layout>
              <c:showLegendKey val="0"/>
              <c:showVal val="1"/>
              <c:showCatName val="1"/>
              <c:showSerName val="0"/>
              <c:showPercent val="0"/>
              <c:showBubbleSize val="0"/>
              <c:extLst>
                <c:ext xmlns:c15="http://schemas.microsoft.com/office/drawing/2012/chart" uri="{CE6537A1-D6FC-4f65-9D91-7224C49458BB}">
                  <c15:layout>
                    <c:manualLayout>
                      <c:w val="0.17300656167979003"/>
                      <c:h val="4.222951297754448E-2"/>
                    </c:manualLayout>
                  </c15:layout>
                </c:ext>
                <c:ext xmlns:c16="http://schemas.microsoft.com/office/drawing/2014/chart" uri="{C3380CC4-5D6E-409C-BE32-E72D297353CC}">
                  <c16:uniqueId val="{00000007-911C-46EC-B477-6BFD33E1F9CF}"/>
                </c:ext>
              </c:extLst>
            </c:dLbl>
            <c:dLbl>
              <c:idx val="5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1C-46EC-B477-6BFD33E1F9CF}"/>
                </c:ext>
              </c:extLst>
            </c:dLbl>
            <c:dLbl>
              <c:idx val="54"/>
              <c:layout>
                <c:manualLayout>
                  <c:x val="0.23116438356164384"/>
                  <c:y val="0.2263374485596707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25-45F9-8AA4-EC04F70AB7D7}"/>
                </c:ext>
              </c:extLst>
            </c:dLbl>
            <c:dLbl>
              <c:idx val="56"/>
              <c:layout>
                <c:manualLayout>
                  <c:x val="0.2226027397260274"/>
                  <c:y val="3.086419753086419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25-45F9-8AA4-EC04F70AB7D7}"/>
                </c:ext>
              </c:extLst>
            </c:dLbl>
            <c:dLbl>
              <c:idx val="57"/>
              <c:layout>
                <c:manualLayout>
                  <c:x val="0.18162100456620994"/>
                  <c:y val="-6.48148148148148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1C-46EC-B477-6BFD33E1F9CF}"/>
                </c:ext>
              </c:extLst>
            </c:dLbl>
            <c:dLbl>
              <c:idx val="61"/>
              <c:layout>
                <c:manualLayout>
                  <c:x val="-1.0185067526415994E-16"/>
                  <c:y val="-6.0185185185185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1C-46EC-B477-6BFD33E1F9CF}"/>
                </c:ext>
              </c:extLst>
            </c:dLbl>
            <c:dLbl>
              <c:idx val="66"/>
              <c:layout>
                <c:manualLayout>
                  <c:x val="-5.5555555555556572E-3"/>
                  <c:y val="6.944444444444428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1C-46EC-B477-6BFD33E1F9CF}"/>
                </c:ext>
              </c:extLst>
            </c:dLbl>
            <c:dLbl>
              <c:idx val="67"/>
              <c:layout>
                <c:manualLayout>
                  <c:x val="1.9444444444444445E-2"/>
                  <c:y val="0.138888888888888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1C-46EC-B477-6BFD33E1F9CF}"/>
                </c:ext>
              </c:extLst>
            </c:dLbl>
            <c:dLbl>
              <c:idx val="71"/>
              <c:layout>
                <c:manualLayout>
                  <c:x val="3.9954337899543377E-2"/>
                  <c:y val="-7.71604938271605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25-45F9-8AA4-EC04F70AB7D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scatter'!$E$3:$E$83</c:f>
              <c:numCache>
                <c:formatCode>0.00</c:formatCode>
                <c:ptCount val="81"/>
                <c:pt idx="0">
                  <c:v>3</c:v>
                </c:pt>
                <c:pt idx="1">
                  <c:v>3</c:v>
                </c:pt>
                <c:pt idx="2">
                  <c:v>4</c:v>
                </c:pt>
                <c:pt idx="3">
                  <c:v>4</c:v>
                </c:pt>
                <c:pt idx="4">
                  <c:v>4</c:v>
                </c:pt>
                <c:pt idx="5">
                  <c:v>4</c:v>
                </c:pt>
                <c:pt idx="6">
                  <c:v>4.5</c:v>
                </c:pt>
                <c:pt idx="7">
                  <c:v>4</c:v>
                </c:pt>
                <c:pt idx="8">
                  <c:v>4</c:v>
                </c:pt>
                <c:pt idx="9">
                  <c:v>2.5</c:v>
                </c:pt>
                <c:pt idx="10">
                  <c:v>3.5</c:v>
                </c:pt>
                <c:pt idx="11">
                  <c:v>4.5</c:v>
                </c:pt>
                <c:pt idx="12">
                  <c:v>3.5</c:v>
                </c:pt>
                <c:pt idx="13">
                  <c:v>3</c:v>
                </c:pt>
                <c:pt idx="14">
                  <c:v>3.5</c:v>
                </c:pt>
                <c:pt idx="15">
                  <c:v>3</c:v>
                </c:pt>
                <c:pt idx="16">
                  <c:v>3.5</c:v>
                </c:pt>
                <c:pt idx="17">
                  <c:v>3.5</c:v>
                </c:pt>
                <c:pt idx="18">
                  <c:v>3.5</c:v>
                </c:pt>
                <c:pt idx="19">
                  <c:v>2.5</c:v>
                </c:pt>
                <c:pt idx="20">
                  <c:v>3</c:v>
                </c:pt>
                <c:pt idx="21">
                  <c:v>1</c:v>
                </c:pt>
                <c:pt idx="22">
                  <c:v>4</c:v>
                </c:pt>
                <c:pt idx="23">
                  <c:v>2.5</c:v>
                </c:pt>
                <c:pt idx="25">
                  <c:v>3</c:v>
                </c:pt>
                <c:pt idx="26">
                  <c:v>3</c:v>
                </c:pt>
                <c:pt idx="27">
                  <c:v>2.5</c:v>
                </c:pt>
                <c:pt idx="28">
                  <c:v>2.5</c:v>
                </c:pt>
                <c:pt idx="29">
                  <c:v>2.5</c:v>
                </c:pt>
                <c:pt idx="30">
                  <c:v>4</c:v>
                </c:pt>
                <c:pt idx="31">
                  <c:v>3.5</c:v>
                </c:pt>
                <c:pt idx="32">
                  <c:v>3</c:v>
                </c:pt>
                <c:pt idx="33">
                  <c:v>4</c:v>
                </c:pt>
                <c:pt idx="34">
                  <c:v>4.5</c:v>
                </c:pt>
                <c:pt idx="35">
                  <c:v>4</c:v>
                </c:pt>
                <c:pt idx="36">
                  <c:v>2</c:v>
                </c:pt>
                <c:pt idx="37">
                  <c:v>4.5</c:v>
                </c:pt>
                <c:pt idx="38">
                  <c:v>3</c:v>
                </c:pt>
                <c:pt idx="39">
                  <c:v>3.5</c:v>
                </c:pt>
                <c:pt idx="40">
                  <c:v>3.5</c:v>
                </c:pt>
                <c:pt idx="41">
                  <c:v>2.5</c:v>
                </c:pt>
                <c:pt idx="42">
                  <c:v>3.5</c:v>
                </c:pt>
                <c:pt idx="43">
                  <c:v>4</c:v>
                </c:pt>
                <c:pt idx="44">
                  <c:v>4.5</c:v>
                </c:pt>
                <c:pt idx="45">
                  <c:v>2.5</c:v>
                </c:pt>
                <c:pt idx="46">
                  <c:v>2</c:v>
                </c:pt>
                <c:pt idx="47">
                  <c:v>4</c:v>
                </c:pt>
                <c:pt idx="48">
                  <c:v>4</c:v>
                </c:pt>
                <c:pt idx="49">
                  <c:v>3</c:v>
                </c:pt>
                <c:pt idx="50">
                  <c:v>3.5</c:v>
                </c:pt>
                <c:pt idx="51">
                  <c:v>3</c:v>
                </c:pt>
                <c:pt idx="52">
                  <c:v>3</c:v>
                </c:pt>
                <c:pt idx="53">
                  <c:v>4</c:v>
                </c:pt>
                <c:pt idx="54">
                  <c:v>4.5</c:v>
                </c:pt>
                <c:pt idx="55">
                  <c:v>4.5</c:v>
                </c:pt>
                <c:pt idx="56">
                  <c:v>3.5</c:v>
                </c:pt>
                <c:pt idx="57">
                  <c:v>3.5</c:v>
                </c:pt>
                <c:pt idx="58">
                  <c:v>3.5</c:v>
                </c:pt>
                <c:pt idx="59">
                  <c:v>4</c:v>
                </c:pt>
                <c:pt idx="60">
                  <c:v>1.5</c:v>
                </c:pt>
                <c:pt idx="61">
                  <c:v>4.5</c:v>
                </c:pt>
                <c:pt idx="62">
                  <c:v>3.5</c:v>
                </c:pt>
                <c:pt idx="63">
                  <c:v>3.5</c:v>
                </c:pt>
                <c:pt idx="64">
                  <c:v>1.5</c:v>
                </c:pt>
                <c:pt idx="65">
                  <c:v>2.5</c:v>
                </c:pt>
                <c:pt idx="66">
                  <c:v>2</c:v>
                </c:pt>
                <c:pt idx="67">
                  <c:v>3.5</c:v>
                </c:pt>
                <c:pt idx="68">
                  <c:v>4.5</c:v>
                </c:pt>
                <c:pt idx="69">
                  <c:v>3.5</c:v>
                </c:pt>
                <c:pt idx="70">
                  <c:v>2</c:v>
                </c:pt>
                <c:pt idx="71">
                  <c:v>4</c:v>
                </c:pt>
                <c:pt idx="72">
                  <c:v>4.5</c:v>
                </c:pt>
                <c:pt idx="73">
                  <c:v>4</c:v>
                </c:pt>
                <c:pt idx="74">
                  <c:v>3</c:v>
                </c:pt>
                <c:pt idx="75">
                  <c:v>3.5</c:v>
                </c:pt>
                <c:pt idx="76">
                  <c:v>4</c:v>
                </c:pt>
                <c:pt idx="77">
                  <c:v>3.5</c:v>
                </c:pt>
                <c:pt idx="78">
                  <c:v>3</c:v>
                </c:pt>
                <c:pt idx="79">
                  <c:v>3.5</c:v>
                </c:pt>
                <c:pt idx="80">
                  <c:v>2</c:v>
                </c:pt>
              </c:numCache>
            </c:numRef>
          </c:yVal>
          <c:smooth val="0"/>
          <c:extLst>
            <c:ext xmlns:c16="http://schemas.microsoft.com/office/drawing/2014/chart" uri="{C3380CC4-5D6E-409C-BE32-E72D297353CC}">
              <c16:uniqueId val="{0000000D-911C-46EC-B477-6BFD33E1F9CF}"/>
            </c:ext>
          </c:extLst>
        </c:ser>
        <c:dLbls>
          <c:showLegendKey val="0"/>
          <c:showVal val="0"/>
          <c:showCatName val="0"/>
          <c:showSerName val="0"/>
          <c:showPercent val="0"/>
          <c:showBubbleSize val="0"/>
        </c:dLbls>
        <c:axId val="1666844384"/>
        <c:axId val="1666845216"/>
      </c:scatterChart>
      <c:valAx>
        <c:axId val="1666844384"/>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45216"/>
        <c:crosses val="autoZero"/>
        <c:crossBetween val="midCat"/>
      </c:valAx>
      <c:valAx>
        <c:axId val="1666845216"/>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44384"/>
        <c:crosses val="autoZero"/>
        <c:crossBetween val="midCat"/>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100" b="1"/>
              <a:t>Figure 56: Index of economic freedom 2017 </a:t>
            </a:r>
          </a:p>
          <a:p>
            <a:pPr>
              <a:defRPr/>
            </a:pPr>
            <a:r>
              <a:rPr lang="en-US" sz="900" b="0"/>
              <a:t>(on a scale of 0 to 100 free 100-80, mostly free 79.9-70, moderately free 69.9-60, mostly unfree 59.9-50, repressed 49.9-0)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'Economic freedom rank'!$B$2</c:f>
              <c:strCache>
                <c:ptCount val="1"/>
                <c:pt idx="0">
                  <c:v>Index of economic freedom 2017 (on a scale of 0 to 100 free 100-80, mostly free 79.9-70, moderately free 69.9-60, mostly unfree 59.9-50, repressed 49.9-0)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('Economic freedom rank'!$A$3,'Economic freedom rank'!$A$9,'Economic freedom rank'!$A$13,'Economic freedom rank'!$A$29,'Economic freedom rank'!$A$44,'Economic freedom rank'!$A$49,'Economic freedom rank'!$A$61,'Economic freedom rank'!$A$74,'Economic freedom rank'!$A$75,'Economic freedom rank'!$A$76,'Economic freedom rank'!$A$77)</c:f>
              <c:strCache>
                <c:ptCount val="11"/>
                <c:pt idx="0">
                  <c:v>Singapore </c:v>
                </c:pt>
                <c:pt idx="1">
                  <c:v>United Kingdom </c:v>
                </c:pt>
                <c:pt idx="2">
                  <c:v>Denmark </c:v>
                </c:pt>
                <c:pt idx="3">
                  <c:v>Cote d'Ivoire</c:v>
                </c:pt>
                <c:pt idx="4">
                  <c:v>Bhutan</c:v>
                </c:pt>
                <c:pt idx="5">
                  <c:v>Sri Lanka</c:v>
                </c:pt>
                <c:pt idx="6">
                  <c:v>Bangladesh</c:v>
                </c:pt>
                <c:pt idx="7">
                  <c:v>Egypt </c:v>
                </c:pt>
                <c:pt idx="8">
                  <c:v>India</c:v>
                </c:pt>
                <c:pt idx="9">
                  <c:v>Myanmar</c:v>
                </c:pt>
                <c:pt idx="10">
                  <c:v>Vietnam</c:v>
                </c:pt>
              </c:strCache>
            </c:strRef>
          </c:cat>
          <c:val>
            <c:numRef>
              <c:f>('Economic freedom rank'!$B$3,'Economic freedom rank'!$B$9,'Economic freedom rank'!$B$13,'Economic freedom rank'!$B$29,'Economic freedom rank'!$B$44,'Economic freedom rank'!$B$49,'Economic freedom rank'!$B$61,'Economic freedom rank'!$B$74,'Economic freedom rank'!$B$75,'Economic freedom rank'!$B$76,'Economic freedom rank'!$B$77)</c:f>
              <c:numCache>
                <c:formatCode>0.0</c:formatCode>
                <c:ptCount val="11"/>
                <c:pt idx="0">
                  <c:v>88.6</c:v>
                </c:pt>
                <c:pt idx="1">
                  <c:v>76.400000000000006</c:v>
                </c:pt>
                <c:pt idx="2">
                  <c:v>75.099999999999994</c:v>
                </c:pt>
                <c:pt idx="3">
                  <c:v>63</c:v>
                </c:pt>
                <c:pt idx="4">
                  <c:v>58.4</c:v>
                </c:pt>
                <c:pt idx="5">
                  <c:v>57.4</c:v>
                </c:pt>
                <c:pt idx="6">
                  <c:v>55</c:v>
                </c:pt>
                <c:pt idx="7">
                  <c:v>52.6</c:v>
                </c:pt>
                <c:pt idx="8">
                  <c:v>52.6</c:v>
                </c:pt>
                <c:pt idx="9">
                  <c:v>52.5</c:v>
                </c:pt>
                <c:pt idx="10">
                  <c:v>52.4</c:v>
                </c:pt>
              </c:numCache>
            </c:numRef>
          </c:val>
          <c:extLst>
            <c:ext xmlns:c16="http://schemas.microsoft.com/office/drawing/2014/chart" uri="{C3380CC4-5D6E-409C-BE32-E72D297353CC}">
              <c16:uniqueId val="{00000000-11DB-435D-995A-CAFE8B5359F5}"/>
            </c:ext>
          </c:extLst>
        </c:ser>
        <c:dLbls>
          <c:dLblPos val="outEnd"/>
          <c:showLegendKey val="0"/>
          <c:showVal val="1"/>
          <c:showCatName val="0"/>
          <c:showSerName val="0"/>
          <c:showPercent val="0"/>
          <c:showBubbleSize val="0"/>
        </c:dLbls>
        <c:gapWidth val="219"/>
        <c:overlap val="-27"/>
        <c:axId val="363799536"/>
        <c:axId val="363810352"/>
      </c:barChart>
      <c:catAx>
        <c:axId val="36379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810352"/>
        <c:crosses val="autoZero"/>
        <c:auto val="1"/>
        <c:lblAlgn val="ctr"/>
        <c:lblOffset val="100"/>
        <c:noMultiLvlLbl val="0"/>
      </c:catAx>
      <c:valAx>
        <c:axId val="36381035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3799536"/>
        <c:crosses val="autoZero"/>
        <c:crossBetween val="between"/>
      </c:valAx>
      <c:spPr>
        <a:noFill/>
        <a:ln>
          <a:noFill/>
        </a:ln>
        <a:effectLst/>
      </c:spPr>
    </c:plotArea>
    <c:plotVisOnly val="1"/>
    <c:dispBlanksAs val="gap"/>
    <c:showDLblsOverMax val="0"/>
  </c:chart>
  <c:spPr>
    <a:solidFill>
      <a:schemeClr val="accent6">
        <a:lumMod val="20000"/>
        <a:lumOff val="80000"/>
      </a:schemeClr>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Figure 57: Freedom score of Bangladesh and Comparator Countries 2016</a:t>
            </a:r>
          </a:p>
          <a:p>
            <a:pPr>
              <a:defRPr/>
            </a:pPr>
            <a:r>
              <a:rPr lang="en-US" sz="900" b="0" i="0" u="none" strike="noStrike" baseline="0">
                <a:effectLst/>
                <a:latin typeface="Times New Roman" panose="02020603050405020304" pitchFamily="18" charset="0"/>
                <a:cs typeface="Times New Roman" panose="02020603050405020304" pitchFamily="18" charset="0"/>
              </a:rPr>
              <a:t>(on a scale of 0 to 100 free 100-80, mostly free 79.9-70, moderately free 69.9-60, mostly unfree 59.9-50, repressed 49.9-0)</a:t>
            </a:r>
            <a:endParaRPr lang="en-US" sz="900">
              <a:latin typeface="Times New Roman" panose="02020603050405020304" pitchFamily="18" charset="0"/>
              <a:cs typeface="Times New Roman" panose="02020603050405020304" pitchFamily="18" charset="0"/>
            </a:endParaRPr>
          </a:p>
        </c:rich>
      </c:tx>
      <c:layout>
        <c:manualLayout>
          <c:xMode val="edge"/>
          <c:yMode val="edge"/>
          <c:x val="9.2534558180227475E-2"/>
          <c:y val="1.85185185185185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3533092738407699"/>
          <c:y val="0.28512732825286918"/>
          <c:w val="0.71511351706036741"/>
          <c:h val="0.6074732783066995"/>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'Freedom score'!$J$81:$J$89</c:f>
              <c:strCache>
                <c:ptCount val="9"/>
                <c:pt idx="0">
                  <c:v>Bangladesh</c:v>
                </c:pt>
                <c:pt idx="1">
                  <c:v>Pakistan </c:v>
                </c:pt>
                <c:pt idx="2">
                  <c:v>Sri Lanka</c:v>
                </c:pt>
                <c:pt idx="3">
                  <c:v>United Kingdom </c:v>
                </c:pt>
                <c:pt idx="4">
                  <c:v>India</c:v>
                </c:pt>
                <c:pt idx="5">
                  <c:v>Senegal</c:v>
                </c:pt>
                <c:pt idx="6">
                  <c:v>Ghana</c:v>
                </c:pt>
                <c:pt idx="7">
                  <c:v>Bhutan</c:v>
                </c:pt>
                <c:pt idx="8">
                  <c:v>Nepal</c:v>
                </c:pt>
              </c:strCache>
            </c:strRef>
          </c:cat>
          <c:val>
            <c:numRef>
              <c:f>'Freedom score'!$K$81:$K$89</c:f>
              <c:numCache>
                <c:formatCode>General</c:formatCode>
                <c:ptCount val="9"/>
                <c:pt idx="0">
                  <c:v>47</c:v>
                </c:pt>
                <c:pt idx="1">
                  <c:v>43</c:v>
                </c:pt>
                <c:pt idx="2">
                  <c:v>56</c:v>
                </c:pt>
                <c:pt idx="3">
                  <c:v>95</c:v>
                </c:pt>
                <c:pt idx="4">
                  <c:v>77</c:v>
                </c:pt>
                <c:pt idx="5">
                  <c:v>78</c:v>
                </c:pt>
                <c:pt idx="6">
                  <c:v>83</c:v>
                </c:pt>
                <c:pt idx="7">
                  <c:v>55</c:v>
                </c:pt>
                <c:pt idx="8">
                  <c:v>52</c:v>
                </c:pt>
              </c:numCache>
            </c:numRef>
          </c:val>
          <c:extLst>
            <c:ext xmlns:c16="http://schemas.microsoft.com/office/drawing/2014/chart" uri="{C3380CC4-5D6E-409C-BE32-E72D297353CC}">
              <c16:uniqueId val="{00000000-A515-4075-B4EA-2B7A3AA724AB}"/>
            </c:ext>
          </c:extLst>
        </c:ser>
        <c:dLbls>
          <c:dLblPos val="inEnd"/>
          <c:showLegendKey val="0"/>
          <c:showVal val="1"/>
          <c:showCatName val="0"/>
          <c:showSerName val="0"/>
          <c:showPercent val="0"/>
          <c:showBubbleSize val="0"/>
        </c:dLbls>
        <c:gapWidth val="65"/>
        <c:axId val="1079248432"/>
        <c:axId val="1079235952"/>
      </c:barChart>
      <c:catAx>
        <c:axId val="10792484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79235952"/>
        <c:crosses val="autoZero"/>
        <c:auto val="1"/>
        <c:lblAlgn val="ctr"/>
        <c:lblOffset val="100"/>
        <c:noMultiLvlLbl val="0"/>
      </c:catAx>
      <c:valAx>
        <c:axId val="10792359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792484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u="none" strike="noStrike" baseline="0">
                <a:solidFill>
                  <a:schemeClr val="tx1"/>
                </a:solidFill>
                <a:effectLst/>
                <a:latin typeface="Times New Roman" panose="02020603050405020304" pitchFamily="18" charset="0"/>
                <a:cs typeface="Times New Roman" panose="02020603050405020304" pitchFamily="18" charset="0"/>
              </a:rPr>
              <a:t>Figure 58: Number and % of countries by growth and country risk level</a:t>
            </a:r>
          </a:p>
          <a:p>
            <a:pPr>
              <a:defRPr/>
            </a:pPr>
            <a:r>
              <a:rPr lang="en-US" sz="1000" b="0" i="0" u="none" strike="noStrike" baseline="0">
                <a:solidFill>
                  <a:schemeClr val="tx1"/>
                </a:solidFill>
                <a:effectLst/>
              </a:rPr>
              <a:t>(Based on 57 countries with data)</a:t>
            </a:r>
            <a:endParaRPr lang="en-US" sz="1000" b="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Sheet2!$H$14</c:f>
              <c:strCache>
                <c:ptCount val="1"/>
                <c:pt idx="0">
                  <c:v>Low risk</c:v>
                </c:pt>
              </c:strCache>
            </c:strRef>
          </c:tx>
          <c:spPr>
            <a:solidFill>
              <a:schemeClr val="accent1"/>
            </a:solidFill>
            <a:ln>
              <a:noFill/>
            </a:ln>
            <a:effectLst/>
          </c:spPr>
          <c:dLbls>
            <c:delete val="1"/>
          </c:dLbls>
          <c:cat>
            <c:strRef>
              <c:f>Sheet2!$G$15:$G$22</c:f>
              <c:strCache>
                <c:ptCount val="8"/>
                <c:pt idx="0">
                  <c:v>Rapid growth (5% and +)</c:v>
                </c:pt>
                <c:pt idx="2">
                  <c:v>Modest growth (3 -&lt; 5%)</c:v>
                </c:pt>
                <c:pt idx="4">
                  <c:v>Slow growth (&lt;3%)</c:v>
                </c:pt>
                <c:pt idx="6">
                  <c:v>Number of countries</c:v>
                </c:pt>
                <c:pt idx="7">
                  <c:v>% of countries</c:v>
                </c:pt>
              </c:strCache>
            </c:strRef>
          </c:cat>
          <c:val>
            <c:numRef>
              <c:f>Sheet2!$H$15:$H$22</c:f>
              <c:numCache>
                <c:formatCode>General</c:formatCode>
                <c:ptCount val="8"/>
              </c:numCache>
            </c:numRef>
          </c:val>
          <c:extLst>
            <c:ext xmlns:c16="http://schemas.microsoft.com/office/drawing/2014/chart" uri="{C3380CC4-5D6E-409C-BE32-E72D297353CC}">
              <c16:uniqueId val="{00000000-1852-4578-A0BE-9470914844E4}"/>
            </c:ext>
          </c:extLst>
        </c:ser>
        <c:ser>
          <c:idx val="1"/>
          <c:order val="1"/>
          <c:tx>
            <c:strRef>
              <c:f>Sheet2!$I$14</c:f>
              <c:strCache>
                <c:ptCount val="1"/>
                <c:pt idx="0">
                  <c:v>Acceptable risk</c:v>
                </c:pt>
              </c:strCache>
            </c:strRef>
          </c:tx>
          <c:spPr>
            <a:solidFill>
              <a:schemeClr val="accent2"/>
            </a:solidFill>
            <a:ln>
              <a:noFill/>
            </a:ln>
            <a:effectLst/>
          </c:spPr>
          <c:dLbls>
            <c:dLbl>
              <c:idx val="0"/>
              <c:layout>
                <c:manualLayout>
                  <c:x val="-1.388888888888891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52-4578-A0BE-9470914844E4}"/>
                </c:ext>
              </c:extLst>
            </c:dLbl>
            <c:dLbl>
              <c:idx val="1"/>
              <c:layout>
                <c:manualLayout>
                  <c:x val="5.8333333333333334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52-4578-A0BE-9470914844E4}"/>
                </c:ext>
              </c:extLst>
            </c:dLbl>
            <c:dLbl>
              <c:idx val="2"/>
              <c:layout>
                <c:manualLayout>
                  <c:x val="-4.166666666666672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52-4578-A0BE-9470914844E4}"/>
                </c:ext>
              </c:extLst>
            </c:dLbl>
            <c:dLbl>
              <c:idx val="3"/>
              <c:layout>
                <c:manualLayout>
                  <c:x val="4.1666666666666664E-2"/>
                  <c:y val="-0.12500000000000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52-4578-A0BE-9470914844E4}"/>
                </c:ext>
              </c:extLst>
            </c:dLbl>
            <c:dLbl>
              <c:idx val="4"/>
              <c:layout>
                <c:manualLayout>
                  <c:x val="-4.44444444444444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52-4578-A0BE-9470914844E4}"/>
                </c:ext>
              </c:extLst>
            </c:dLbl>
            <c:dLbl>
              <c:idx val="5"/>
              <c:layout>
                <c:manualLayout>
                  <c:x val="2.2222222222222119E-2"/>
                  <c:y val="-0.12962962962962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52-4578-A0BE-9470914844E4}"/>
                </c:ext>
              </c:extLst>
            </c:dLbl>
            <c:dLbl>
              <c:idx val="6"/>
              <c:layout>
                <c:manualLayout>
                  <c:x val="-5.2777777777777882E-2"/>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52-4578-A0BE-9470914844E4}"/>
                </c:ext>
              </c:extLst>
            </c:dLbl>
            <c:dLbl>
              <c:idx val="7"/>
              <c:layout>
                <c:manualLayout>
                  <c:x val="3.3333333333333333E-2"/>
                  <c:y val="-0.12962962962962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52-4578-A0BE-9470914844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Sheet2!$G$15:$G$22</c:f>
              <c:strCache>
                <c:ptCount val="8"/>
                <c:pt idx="0">
                  <c:v>Rapid growth (5% and +)</c:v>
                </c:pt>
                <c:pt idx="2">
                  <c:v>Modest growth (3 -&lt; 5%)</c:v>
                </c:pt>
                <c:pt idx="4">
                  <c:v>Slow growth (&lt;3%)</c:v>
                </c:pt>
                <c:pt idx="6">
                  <c:v>Number of countries</c:v>
                </c:pt>
                <c:pt idx="7">
                  <c:v>% of countries</c:v>
                </c:pt>
              </c:strCache>
            </c:strRef>
          </c:cat>
          <c:val>
            <c:numRef>
              <c:f>Sheet2!$I$15:$I$22</c:f>
              <c:numCache>
                <c:formatCode>0%</c:formatCode>
                <c:ptCount val="8"/>
                <c:pt idx="0" formatCode="General">
                  <c:v>17</c:v>
                </c:pt>
                <c:pt idx="1">
                  <c:v>0.53125</c:v>
                </c:pt>
                <c:pt idx="2" formatCode="General">
                  <c:v>7</c:v>
                </c:pt>
                <c:pt idx="3">
                  <c:v>0.4375</c:v>
                </c:pt>
                <c:pt idx="4" formatCode="General">
                  <c:v>4</c:v>
                </c:pt>
                <c:pt idx="5">
                  <c:v>0.44444444444444442</c:v>
                </c:pt>
                <c:pt idx="6" formatCode="General">
                  <c:v>28</c:v>
                </c:pt>
                <c:pt idx="7">
                  <c:v>0.49122807017543857</c:v>
                </c:pt>
              </c:numCache>
            </c:numRef>
          </c:val>
          <c:extLst>
            <c:ext xmlns:c16="http://schemas.microsoft.com/office/drawing/2014/chart" uri="{C3380CC4-5D6E-409C-BE32-E72D297353CC}">
              <c16:uniqueId val="{00000009-1852-4578-A0BE-9470914844E4}"/>
            </c:ext>
          </c:extLst>
        </c:ser>
        <c:dLbls>
          <c:showLegendKey val="0"/>
          <c:showVal val="1"/>
          <c:showCatName val="0"/>
          <c:showSerName val="0"/>
          <c:showPercent val="0"/>
          <c:showBubbleSize val="0"/>
        </c:dLbls>
        <c:axId val="1441805455"/>
        <c:axId val="1441806287"/>
      </c:areaChart>
      <c:barChart>
        <c:barDir val="col"/>
        <c:grouping val="clustered"/>
        <c:varyColors val="0"/>
        <c:ser>
          <c:idx val="2"/>
          <c:order val="2"/>
          <c:tx>
            <c:strRef>
              <c:f>Sheet2!$J$14</c:f>
              <c:strCache>
                <c:ptCount val="1"/>
                <c:pt idx="0">
                  <c:v>High risk</c:v>
                </c:pt>
              </c:strCache>
            </c:strRef>
          </c:tx>
          <c:spPr>
            <a:solidFill>
              <a:schemeClr val="accent3"/>
            </a:solidFill>
            <a:ln>
              <a:noFill/>
            </a:ln>
            <a:effectLst/>
          </c:spPr>
          <c:invertIfNegative val="0"/>
          <c:dLbls>
            <c:dLbl>
              <c:idx val="1"/>
              <c:layout>
                <c:manualLayout>
                  <c:x val="-1.1111111111111136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52-4578-A0BE-9470914844E4}"/>
                </c:ext>
              </c:extLst>
            </c:dLbl>
            <c:dLbl>
              <c:idx val="3"/>
              <c:layout>
                <c:manualLayout>
                  <c:x val="-2.7777777777777779E-3"/>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52-4578-A0BE-9470914844E4}"/>
                </c:ext>
              </c:extLst>
            </c:dLbl>
            <c:dLbl>
              <c:idx val="5"/>
              <c:layout>
                <c:manualLayout>
                  <c:x val="-1.6666666666666767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52-4578-A0BE-9470914844E4}"/>
                </c:ext>
              </c:extLst>
            </c:dLbl>
            <c:dLbl>
              <c:idx val="7"/>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52-4578-A0BE-9470914844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Sheet2!$G$15:$G$22</c:f>
              <c:strCache>
                <c:ptCount val="8"/>
                <c:pt idx="0">
                  <c:v>Rapid growth (5% and +)</c:v>
                </c:pt>
                <c:pt idx="2">
                  <c:v>Modest growth (3 -&lt; 5%)</c:v>
                </c:pt>
                <c:pt idx="4">
                  <c:v>Slow growth (&lt;3%)</c:v>
                </c:pt>
                <c:pt idx="6">
                  <c:v>Number of countries</c:v>
                </c:pt>
                <c:pt idx="7">
                  <c:v>% of countries</c:v>
                </c:pt>
              </c:strCache>
            </c:strRef>
          </c:cat>
          <c:val>
            <c:numRef>
              <c:f>Sheet2!$J$15:$J$22</c:f>
              <c:numCache>
                <c:formatCode>0%</c:formatCode>
                <c:ptCount val="8"/>
                <c:pt idx="0" formatCode="General">
                  <c:v>15</c:v>
                </c:pt>
                <c:pt idx="1">
                  <c:v>0.46875</c:v>
                </c:pt>
                <c:pt idx="2" formatCode="General">
                  <c:v>9</c:v>
                </c:pt>
                <c:pt idx="3">
                  <c:v>0.5625</c:v>
                </c:pt>
                <c:pt idx="4" formatCode="General">
                  <c:v>5</c:v>
                </c:pt>
                <c:pt idx="5">
                  <c:v>0.55555555555555558</c:v>
                </c:pt>
                <c:pt idx="6" formatCode="General">
                  <c:v>29</c:v>
                </c:pt>
                <c:pt idx="7">
                  <c:v>0.50877192982456143</c:v>
                </c:pt>
              </c:numCache>
            </c:numRef>
          </c:val>
          <c:extLst>
            <c:ext xmlns:c16="http://schemas.microsoft.com/office/drawing/2014/chart" uri="{C3380CC4-5D6E-409C-BE32-E72D297353CC}">
              <c16:uniqueId val="{0000000E-1852-4578-A0BE-9470914844E4}"/>
            </c:ext>
          </c:extLst>
        </c:ser>
        <c:ser>
          <c:idx val="3"/>
          <c:order val="3"/>
          <c:tx>
            <c:strRef>
              <c:f>Sheet2!$K$14</c:f>
              <c:strCache>
                <c:ptCount val="1"/>
                <c:pt idx="0">
                  <c:v>Total</c:v>
                </c:pt>
              </c:strCache>
            </c:strRef>
          </c:tx>
          <c:spPr>
            <a:solidFill>
              <a:schemeClr val="accent4"/>
            </a:solidFill>
            <a:ln>
              <a:noFill/>
            </a:ln>
            <a:effectLst/>
          </c:spPr>
          <c:invertIfNegative val="0"/>
          <c:dLbls>
            <c:dLbl>
              <c:idx val="1"/>
              <c:layout>
                <c:manualLayout>
                  <c:x val="1.6666666666666666E-2"/>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852-4578-A0BE-9470914844E4}"/>
                </c:ext>
              </c:extLst>
            </c:dLbl>
            <c:dLbl>
              <c:idx val="3"/>
              <c:layout>
                <c:manualLayout>
                  <c:x val="5.5555555555555046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852-4578-A0BE-9470914844E4}"/>
                </c:ext>
              </c:extLst>
            </c:dLbl>
            <c:dLbl>
              <c:idx val="5"/>
              <c:layout>
                <c:manualLayout>
                  <c:x val="1.1111111111111112E-2"/>
                  <c:y val="7.8703703703703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852-4578-A0BE-9470914844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Sheet2!$G$15:$G$22</c:f>
              <c:strCache>
                <c:ptCount val="8"/>
                <c:pt idx="0">
                  <c:v>Rapid growth (5% and +)</c:v>
                </c:pt>
                <c:pt idx="2">
                  <c:v>Modest growth (3 -&lt; 5%)</c:v>
                </c:pt>
                <c:pt idx="4">
                  <c:v>Slow growth (&lt;3%)</c:v>
                </c:pt>
                <c:pt idx="6">
                  <c:v>Number of countries</c:v>
                </c:pt>
                <c:pt idx="7">
                  <c:v>% of countries</c:v>
                </c:pt>
              </c:strCache>
            </c:strRef>
          </c:cat>
          <c:val>
            <c:numRef>
              <c:f>Sheet2!$K$15:$K$22</c:f>
              <c:numCache>
                <c:formatCode>0%</c:formatCode>
                <c:ptCount val="8"/>
                <c:pt idx="0" formatCode="General">
                  <c:v>32</c:v>
                </c:pt>
                <c:pt idx="1">
                  <c:v>1</c:v>
                </c:pt>
                <c:pt idx="2" formatCode="General">
                  <c:v>16</c:v>
                </c:pt>
                <c:pt idx="3">
                  <c:v>1</c:v>
                </c:pt>
                <c:pt idx="4" formatCode="General">
                  <c:v>9</c:v>
                </c:pt>
                <c:pt idx="5">
                  <c:v>1</c:v>
                </c:pt>
                <c:pt idx="6" formatCode="General">
                  <c:v>57</c:v>
                </c:pt>
                <c:pt idx="7">
                  <c:v>1</c:v>
                </c:pt>
              </c:numCache>
            </c:numRef>
          </c:val>
          <c:extLst>
            <c:ext xmlns:c16="http://schemas.microsoft.com/office/drawing/2014/chart" uri="{C3380CC4-5D6E-409C-BE32-E72D297353CC}">
              <c16:uniqueId val="{00000012-1852-4578-A0BE-9470914844E4}"/>
            </c:ext>
          </c:extLst>
        </c:ser>
        <c:dLbls>
          <c:showLegendKey val="0"/>
          <c:showVal val="1"/>
          <c:showCatName val="0"/>
          <c:showSerName val="0"/>
          <c:showPercent val="0"/>
          <c:showBubbleSize val="0"/>
        </c:dLbls>
        <c:gapWidth val="150"/>
        <c:axId val="1441805455"/>
        <c:axId val="1441806287"/>
      </c:barChart>
      <c:catAx>
        <c:axId val="144180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41806287"/>
        <c:crosses val="autoZero"/>
        <c:auto val="1"/>
        <c:lblAlgn val="ctr"/>
        <c:lblOffset val="100"/>
        <c:noMultiLvlLbl val="0"/>
      </c:catAx>
      <c:valAx>
        <c:axId val="14418062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41805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gradFill flip="none" rotWithShape="1">
      <a:gsLst>
        <a:gs pos="0">
          <a:schemeClr val="accent6">
            <a:lumMod val="40000"/>
            <a:lumOff val="60000"/>
            <a:tint val="66000"/>
            <a:satMod val="160000"/>
          </a:schemeClr>
        </a:gs>
        <a:gs pos="50000">
          <a:schemeClr val="accent6">
            <a:lumMod val="40000"/>
            <a:lumOff val="60000"/>
            <a:tint val="44500"/>
            <a:satMod val="160000"/>
          </a:schemeClr>
        </a:gs>
        <a:gs pos="100000">
          <a:schemeClr val="accent6">
            <a:lumMod val="40000"/>
            <a:lumOff val="60000"/>
            <a:tint val="23500"/>
            <a:satMod val="160000"/>
          </a:schemeClr>
        </a:gs>
      </a:gsLst>
      <a:lin ang="8100000" scaled="1"/>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spc="0" baseline="0">
                <a:solidFill>
                  <a:schemeClr val="tx1"/>
                </a:solidFill>
                <a:latin typeface="Times New Roman" panose="02020603050405020304" pitchFamily="18" charset="0"/>
                <a:cs typeface="Times New Roman" panose="02020603050405020304" pitchFamily="18" charset="0"/>
              </a:rPr>
              <a:t>Figure 59: Country analysis by growth and structural reforms</a:t>
            </a:r>
          </a:p>
          <a:p>
            <a:pPr>
              <a:defRPr/>
            </a:pPr>
            <a:r>
              <a:rPr lang="en-US" sz="900" b="0" spc="0" baseline="0">
                <a:solidFill>
                  <a:schemeClr val="tx1"/>
                </a:solidFill>
                <a:latin typeface="Times New Roman" panose="02020603050405020304" pitchFamily="18" charset="0"/>
                <a:cs typeface="Times New Roman" panose="02020603050405020304" pitchFamily="18" charset="0"/>
              </a:rPr>
              <a:t>(based on 64 countries with data)</a:t>
            </a:r>
          </a:p>
        </c:rich>
      </c:tx>
      <c:layout>
        <c:manualLayout>
          <c:xMode val="edge"/>
          <c:yMode val="edge"/>
          <c:x val="8.6373507057546151E-2"/>
          <c:y val="3.33333333333333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062795489326045E-2"/>
          <c:y val="4.7619047619047616E-2"/>
          <c:w val="0.90507835543358384"/>
          <c:h val="0.62360254968128981"/>
        </c:manualLayout>
      </c:layout>
      <c:barChart>
        <c:barDir val="col"/>
        <c:grouping val="clustered"/>
        <c:varyColors val="0"/>
        <c:ser>
          <c:idx val="0"/>
          <c:order val="0"/>
          <c:tx>
            <c:strRef>
              <c:f>'Country analysis by gr &amp; reform'!$J$10</c:f>
              <c:strCache>
                <c:ptCount val="1"/>
                <c:pt idx="0">
                  <c:v>Strong</c:v>
                </c:pt>
              </c:strCache>
            </c:strRef>
          </c:tx>
          <c:spPr>
            <a:solidFill>
              <a:schemeClr val="accent1"/>
            </a:solidFill>
            <a:ln>
              <a:noFill/>
            </a:ln>
            <a:effectLst/>
          </c:spPr>
          <c:invertIfNegative val="0"/>
          <c:dLbls>
            <c:dLbl>
              <c:idx val="0"/>
              <c:layout>
                <c:manualLayout>
                  <c:x val="-2.7502750275027505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C9-492E-953C-269CC0976238}"/>
                </c:ext>
              </c:extLst>
            </c:dLbl>
            <c:dLbl>
              <c:idx val="1"/>
              <c:layout>
                <c:manualLayout>
                  <c:x val="-1.65016501650165E-2"/>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C9-492E-953C-269CC0976238}"/>
                </c:ext>
              </c:extLst>
            </c:dLbl>
            <c:dLbl>
              <c:idx val="2"/>
              <c:layout>
                <c:manualLayout>
                  <c:x val="-5.5005500550055009E-3"/>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C9-492E-953C-269CC0976238}"/>
                </c:ext>
              </c:extLst>
            </c:dLbl>
            <c:dLbl>
              <c:idx val="3"/>
              <c:layout>
                <c:manualLayout>
                  <c:x val="-8.2508250825081998E-3"/>
                  <c:y val="-7.4074074074073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C9-492E-953C-269CC0976238}"/>
                </c:ext>
              </c:extLst>
            </c:dLbl>
            <c:dLbl>
              <c:idx val="4"/>
              <c:layout>
                <c:manualLayout>
                  <c:x val="-2.7502750275027505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C9-492E-953C-269CC0976238}"/>
                </c:ext>
              </c:extLst>
            </c:dLbl>
            <c:dLbl>
              <c:idx val="5"/>
              <c:layout>
                <c:manualLayout>
                  <c:x val="-6.6006600660066111E-2"/>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C9-492E-953C-269CC0976238}"/>
                </c:ext>
              </c:extLst>
            </c:dLbl>
            <c:dLbl>
              <c:idx val="7"/>
              <c:layout>
                <c:manualLayout>
                  <c:x val="-3.3003300330033104E-2"/>
                  <c:y val="-0.273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C9-492E-953C-269CC09762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'Country analysis by gr &amp; reform'!$I$11:$I$18</c:f>
              <c:strCache>
                <c:ptCount val="8"/>
                <c:pt idx="0">
                  <c:v>Rapid growth (5% and +)</c:v>
                </c:pt>
                <c:pt idx="2">
                  <c:v>Modest growth (3 -&lt; 5%)</c:v>
                </c:pt>
                <c:pt idx="4">
                  <c:v>Slow growth (&lt;3%)</c:v>
                </c:pt>
                <c:pt idx="6">
                  <c:v>Number of countries</c:v>
                </c:pt>
                <c:pt idx="7">
                  <c:v>% of countries</c:v>
                </c:pt>
              </c:strCache>
            </c:strRef>
          </c:cat>
          <c:val>
            <c:numRef>
              <c:f>'Country analysis by gr &amp; reform'!$J$11:$J$18</c:f>
              <c:numCache>
                <c:formatCode>0%</c:formatCode>
                <c:ptCount val="8"/>
                <c:pt idx="0" formatCode="0">
                  <c:v>7</c:v>
                </c:pt>
                <c:pt idx="1">
                  <c:v>0.20588235294117646</c:v>
                </c:pt>
                <c:pt idx="2" formatCode="0">
                  <c:v>2</c:v>
                </c:pt>
                <c:pt idx="3">
                  <c:v>0.1111111111111111</c:v>
                </c:pt>
                <c:pt idx="4" formatCode="0">
                  <c:v>1</c:v>
                </c:pt>
                <c:pt idx="5">
                  <c:v>8.3333333333333329E-2</c:v>
                </c:pt>
                <c:pt idx="6" formatCode="0">
                  <c:v>10</c:v>
                </c:pt>
                <c:pt idx="7">
                  <c:v>0.15625</c:v>
                </c:pt>
              </c:numCache>
            </c:numRef>
          </c:val>
          <c:extLst>
            <c:ext xmlns:c16="http://schemas.microsoft.com/office/drawing/2014/chart" uri="{C3380CC4-5D6E-409C-BE32-E72D297353CC}">
              <c16:uniqueId val="{00000007-ADC9-492E-953C-269CC0976238}"/>
            </c:ext>
          </c:extLst>
        </c:ser>
        <c:ser>
          <c:idx val="1"/>
          <c:order val="1"/>
          <c:tx>
            <c:strRef>
              <c:f>'Country analysis by gr &amp; reform'!$K$10</c:f>
              <c:strCache>
                <c:ptCount val="1"/>
                <c:pt idx="0">
                  <c:v>Moderate</c:v>
                </c:pt>
              </c:strCache>
            </c:strRef>
          </c:tx>
          <c:spPr>
            <a:solidFill>
              <a:schemeClr val="accent2"/>
            </a:solidFill>
            <a:ln>
              <a:noFill/>
            </a:ln>
            <a:effectLst/>
          </c:spPr>
          <c:invertIfNegative val="0"/>
          <c:dLbls>
            <c:dLbl>
              <c:idx val="0"/>
              <c:layout>
                <c:manualLayout>
                  <c:x val="-3.088558855885588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C9-492E-953C-269CC0976238}"/>
                </c:ext>
              </c:extLst>
            </c:dLbl>
            <c:dLbl>
              <c:idx val="1"/>
              <c:layout>
                <c:manualLayout>
                  <c:x val="4.1226622662266225E-2"/>
                  <c:y val="-0.12962962962962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C9-492E-953C-269CC0976238}"/>
                </c:ext>
              </c:extLst>
            </c:dLbl>
            <c:dLbl>
              <c:idx val="2"/>
              <c:layout>
                <c:manualLayout>
                  <c:x val="-2.7502750275027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C9-492E-953C-269CC0976238}"/>
                </c:ext>
              </c:extLst>
            </c:dLbl>
            <c:dLbl>
              <c:idx val="3"/>
              <c:layout>
                <c:manualLayout>
                  <c:x val="2.475247524752475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C9-492E-953C-269CC0976238}"/>
                </c:ext>
              </c:extLst>
            </c:dLbl>
            <c:dLbl>
              <c:idx val="4"/>
              <c:layout>
                <c:manualLayout>
                  <c:x val="-1.9251925192519354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C9-492E-953C-269CC0976238}"/>
                </c:ext>
              </c:extLst>
            </c:dLbl>
            <c:dLbl>
              <c:idx val="5"/>
              <c:layout>
                <c:manualLayout>
                  <c:x val="-1.1001100110011002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C9-492E-953C-269CC0976238}"/>
                </c:ext>
              </c:extLst>
            </c:dLbl>
            <c:dLbl>
              <c:idx val="7"/>
              <c:layout>
                <c:manualLayout>
                  <c:x val="2.4752475247524552E-2"/>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DC9-492E-953C-269CC09762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'Country analysis by gr &amp; reform'!$I$11:$I$18</c:f>
              <c:strCache>
                <c:ptCount val="8"/>
                <c:pt idx="0">
                  <c:v>Rapid growth (5% and +)</c:v>
                </c:pt>
                <c:pt idx="2">
                  <c:v>Modest growth (3 -&lt; 5%)</c:v>
                </c:pt>
                <c:pt idx="4">
                  <c:v>Slow growth (&lt;3%)</c:v>
                </c:pt>
                <c:pt idx="6">
                  <c:v>Number of countries</c:v>
                </c:pt>
                <c:pt idx="7">
                  <c:v>% of countries</c:v>
                </c:pt>
              </c:strCache>
            </c:strRef>
          </c:cat>
          <c:val>
            <c:numRef>
              <c:f>'Country analysis by gr &amp; reform'!$K$11:$K$18</c:f>
              <c:numCache>
                <c:formatCode>0%</c:formatCode>
                <c:ptCount val="8"/>
                <c:pt idx="0" formatCode="0">
                  <c:v>16</c:v>
                </c:pt>
                <c:pt idx="1">
                  <c:v>0.47058823529411764</c:v>
                </c:pt>
                <c:pt idx="2" formatCode="0">
                  <c:v>7</c:v>
                </c:pt>
                <c:pt idx="3">
                  <c:v>0.3888888888888889</c:v>
                </c:pt>
                <c:pt idx="4" formatCode="0">
                  <c:v>5</c:v>
                </c:pt>
                <c:pt idx="5">
                  <c:v>0.41666666666666669</c:v>
                </c:pt>
                <c:pt idx="6" formatCode="0">
                  <c:v>28</c:v>
                </c:pt>
                <c:pt idx="7">
                  <c:v>0.4375</c:v>
                </c:pt>
              </c:numCache>
            </c:numRef>
          </c:val>
          <c:extLst>
            <c:ext xmlns:c16="http://schemas.microsoft.com/office/drawing/2014/chart" uri="{C3380CC4-5D6E-409C-BE32-E72D297353CC}">
              <c16:uniqueId val="{0000000F-ADC9-492E-953C-269CC0976238}"/>
            </c:ext>
          </c:extLst>
        </c:ser>
        <c:dLbls>
          <c:showLegendKey val="0"/>
          <c:showVal val="0"/>
          <c:showCatName val="0"/>
          <c:showSerName val="0"/>
          <c:showPercent val="0"/>
          <c:showBubbleSize val="0"/>
        </c:dLbls>
        <c:gapWidth val="150"/>
        <c:axId val="660503840"/>
        <c:axId val="660492192"/>
      </c:barChart>
      <c:lineChart>
        <c:grouping val="standard"/>
        <c:varyColors val="0"/>
        <c:ser>
          <c:idx val="2"/>
          <c:order val="2"/>
          <c:tx>
            <c:strRef>
              <c:f>'Country analysis by gr &amp; reform'!$L$10</c:f>
              <c:strCache>
                <c:ptCount val="1"/>
                <c:pt idx="0">
                  <c:v>Limited</c:v>
                </c:pt>
              </c:strCache>
            </c:strRef>
          </c:tx>
          <c:spPr>
            <a:ln w="28575" cap="rnd">
              <a:solidFill>
                <a:schemeClr val="accent3"/>
              </a:solidFill>
              <a:round/>
            </a:ln>
            <a:effectLst/>
          </c:spPr>
          <c:marker>
            <c:symbol val="none"/>
          </c:marker>
          <c:dLbls>
            <c:dLbl>
              <c:idx val="0"/>
              <c:layout>
                <c:manualLayout>
                  <c:x val="-8.803630363036303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DC9-492E-953C-269CC0976238}"/>
                </c:ext>
              </c:extLst>
            </c:dLbl>
            <c:dLbl>
              <c:idx val="1"/>
              <c:layout>
                <c:manualLayout>
                  <c:x val="-4.7084708470847059E-2"/>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DC9-492E-953C-269CC0976238}"/>
                </c:ext>
              </c:extLst>
            </c:dLbl>
            <c:dLbl>
              <c:idx val="3"/>
              <c:layout>
                <c:manualLayout>
                  <c:x val="-3.5753575357535754E-2"/>
                  <c:y val="-0.19444444444444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DC9-492E-953C-269CC0976238}"/>
                </c:ext>
              </c:extLst>
            </c:dLbl>
            <c:dLbl>
              <c:idx val="5"/>
              <c:layout>
                <c:manualLayout>
                  <c:x val="-6.8756875687568761E-2"/>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DC9-492E-953C-269CC0976238}"/>
                </c:ext>
              </c:extLst>
            </c:dLbl>
            <c:dLbl>
              <c:idx val="7"/>
              <c:layout>
                <c:manualLayout>
                  <c:x val="-4.1254125412541157E-2"/>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DC9-492E-953C-269CC09762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'Country analysis by gr &amp; reform'!$I$11:$I$18</c:f>
              <c:strCache>
                <c:ptCount val="8"/>
                <c:pt idx="0">
                  <c:v>Rapid growth (5% and +)</c:v>
                </c:pt>
                <c:pt idx="2">
                  <c:v>Modest growth (3 -&lt; 5%)</c:v>
                </c:pt>
                <c:pt idx="4">
                  <c:v>Slow growth (&lt;3%)</c:v>
                </c:pt>
                <c:pt idx="6">
                  <c:v>Number of countries</c:v>
                </c:pt>
                <c:pt idx="7">
                  <c:v>% of countries</c:v>
                </c:pt>
              </c:strCache>
            </c:strRef>
          </c:cat>
          <c:val>
            <c:numRef>
              <c:f>'Country analysis by gr &amp; reform'!$L$11:$L$18</c:f>
              <c:numCache>
                <c:formatCode>0%</c:formatCode>
                <c:ptCount val="8"/>
                <c:pt idx="0" formatCode="0">
                  <c:v>11</c:v>
                </c:pt>
                <c:pt idx="1">
                  <c:v>0.3235294117647059</c:v>
                </c:pt>
                <c:pt idx="2" formatCode="0">
                  <c:v>9</c:v>
                </c:pt>
                <c:pt idx="3">
                  <c:v>0.5</c:v>
                </c:pt>
                <c:pt idx="4" formatCode="0">
                  <c:v>6</c:v>
                </c:pt>
                <c:pt idx="5">
                  <c:v>0.5</c:v>
                </c:pt>
                <c:pt idx="6" formatCode="0">
                  <c:v>26</c:v>
                </c:pt>
                <c:pt idx="7">
                  <c:v>0.40625</c:v>
                </c:pt>
              </c:numCache>
            </c:numRef>
          </c:val>
          <c:smooth val="0"/>
          <c:extLst>
            <c:ext xmlns:c16="http://schemas.microsoft.com/office/drawing/2014/chart" uri="{C3380CC4-5D6E-409C-BE32-E72D297353CC}">
              <c16:uniqueId val="{00000015-ADC9-492E-953C-269CC0976238}"/>
            </c:ext>
          </c:extLst>
        </c:ser>
        <c:ser>
          <c:idx val="3"/>
          <c:order val="3"/>
          <c:tx>
            <c:strRef>
              <c:f>'Country analysis by gr &amp; reform'!$M$10</c:f>
              <c:strCache>
                <c:ptCount val="1"/>
                <c:pt idx="0">
                  <c:v>Total</c:v>
                </c:pt>
              </c:strCache>
            </c:strRef>
          </c:tx>
          <c:spPr>
            <a:ln w="28575" cap="rnd">
              <a:solidFill>
                <a:schemeClr val="accent4"/>
              </a:solidFill>
              <a:round/>
            </a:ln>
            <a:effectLst/>
          </c:spPr>
          <c:marker>
            <c:symbol val="none"/>
          </c:marker>
          <c:dLbls>
            <c:dLbl>
              <c:idx val="0"/>
              <c:layout>
                <c:manualLayout>
                  <c:x val="-2.750275027502752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DC9-492E-953C-269CC0976238}"/>
                </c:ext>
              </c:extLst>
            </c:dLbl>
            <c:dLbl>
              <c:idx val="1"/>
              <c:layout>
                <c:manualLayout>
                  <c:x val="-5.5005500550055007E-2"/>
                  <c:y val="7.4074074074073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DC9-492E-953C-269CC0976238}"/>
                </c:ext>
              </c:extLst>
            </c:dLbl>
            <c:dLbl>
              <c:idx val="2"/>
              <c:layout>
                <c:manualLayout>
                  <c:x val="-2.7502750275027504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DC9-492E-953C-269CC0976238}"/>
                </c:ext>
              </c:extLst>
            </c:dLbl>
            <c:dLbl>
              <c:idx val="3"/>
              <c:layout>
                <c:manualLayout>
                  <c:x val="-5.2255225522552302E-2"/>
                  <c:y val="6.0185185185185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DC9-492E-953C-269CC0976238}"/>
                </c:ext>
              </c:extLst>
            </c:dLbl>
            <c:dLbl>
              <c:idx val="4"/>
              <c:layout>
                <c:manualLayout>
                  <c:x val="-3.575357535753575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DC9-492E-953C-269CC0976238}"/>
                </c:ext>
              </c:extLst>
            </c:dLbl>
            <c:dLbl>
              <c:idx val="5"/>
              <c:layout>
                <c:manualLayout>
                  <c:x val="-4.9504950495049507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DC9-492E-953C-269CC0976238}"/>
                </c:ext>
              </c:extLst>
            </c:dLbl>
            <c:dLbl>
              <c:idx val="6"/>
              <c:layout>
                <c:manualLayout>
                  <c:x val="-2.757444407396958E-2"/>
                  <c:y val="7.1957630296212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DC9-492E-953C-269CC0976238}"/>
                </c:ext>
              </c:extLst>
            </c:dLbl>
            <c:dLbl>
              <c:idx val="7"/>
              <c:layout>
                <c:manualLayout>
                  <c:x val="0"/>
                  <c:y val="3.2407407407407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DC9-492E-953C-269CC09762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'Country analysis by gr &amp; reform'!$I$11:$I$18</c:f>
              <c:strCache>
                <c:ptCount val="8"/>
                <c:pt idx="0">
                  <c:v>Rapid growth (5% and +)</c:v>
                </c:pt>
                <c:pt idx="2">
                  <c:v>Modest growth (3 -&lt; 5%)</c:v>
                </c:pt>
                <c:pt idx="4">
                  <c:v>Slow growth (&lt;3%)</c:v>
                </c:pt>
                <c:pt idx="6">
                  <c:v>Number of countries</c:v>
                </c:pt>
                <c:pt idx="7">
                  <c:v>% of countries</c:v>
                </c:pt>
              </c:strCache>
            </c:strRef>
          </c:cat>
          <c:val>
            <c:numRef>
              <c:f>'Country analysis by gr &amp; reform'!$M$11:$M$18</c:f>
              <c:numCache>
                <c:formatCode>0%</c:formatCode>
                <c:ptCount val="8"/>
                <c:pt idx="0" formatCode="0">
                  <c:v>34</c:v>
                </c:pt>
                <c:pt idx="1">
                  <c:v>1</c:v>
                </c:pt>
                <c:pt idx="2" formatCode="0">
                  <c:v>18</c:v>
                </c:pt>
                <c:pt idx="3">
                  <c:v>1</c:v>
                </c:pt>
                <c:pt idx="4" formatCode="0">
                  <c:v>12</c:v>
                </c:pt>
                <c:pt idx="5">
                  <c:v>1</c:v>
                </c:pt>
                <c:pt idx="6" formatCode="0">
                  <c:v>64</c:v>
                </c:pt>
                <c:pt idx="7">
                  <c:v>1</c:v>
                </c:pt>
              </c:numCache>
            </c:numRef>
          </c:val>
          <c:smooth val="0"/>
          <c:extLst>
            <c:ext xmlns:c16="http://schemas.microsoft.com/office/drawing/2014/chart" uri="{C3380CC4-5D6E-409C-BE32-E72D297353CC}">
              <c16:uniqueId val="{0000001E-ADC9-492E-953C-269CC0976238}"/>
            </c:ext>
          </c:extLst>
        </c:ser>
        <c:dLbls>
          <c:showLegendKey val="0"/>
          <c:showVal val="0"/>
          <c:showCatName val="0"/>
          <c:showSerName val="0"/>
          <c:showPercent val="0"/>
          <c:showBubbleSize val="0"/>
        </c:dLbls>
        <c:marker val="1"/>
        <c:smooth val="0"/>
        <c:axId val="660503840"/>
        <c:axId val="660492192"/>
      </c:lineChart>
      <c:catAx>
        <c:axId val="66050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60492192"/>
        <c:crosses val="autoZero"/>
        <c:auto val="1"/>
        <c:lblAlgn val="ctr"/>
        <c:lblOffset val="100"/>
        <c:noMultiLvlLbl val="0"/>
      </c:catAx>
      <c:valAx>
        <c:axId val="6604921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6050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rgbClr val="99FF99">
        <a:alpha val="90980"/>
      </a:srgbClr>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r>
              <a:rPr lang="en-US" sz="1200" cap="none" spc="0" baseline="0">
                <a:latin typeface="Times New Roman" panose="02020603050405020304" pitchFamily="18" charset="0"/>
                <a:cs typeface="Times New Roman" panose="02020603050405020304" pitchFamily="18" charset="0"/>
              </a:rPr>
              <a:t>Figure 60: Country analysis by growth, reforms and aspiration</a:t>
            </a:r>
          </a:p>
          <a:p>
            <a:pPr>
              <a:defRPr/>
            </a:pPr>
            <a:r>
              <a:rPr lang="en-US" sz="900" b="0" cap="none" spc="0" baseline="0">
                <a:latin typeface="Times New Roman" panose="02020603050405020304" pitchFamily="18" charset="0"/>
                <a:cs typeface="Times New Roman" panose="02020603050405020304" pitchFamily="18" charset="0"/>
              </a:rPr>
              <a:t>(based on 64 countries with data)</a:t>
            </a:r>
          </a:p>
        </c:rich>
      </c:tx>
      <c:layout>
        <c:manualLayout>
          <c:xMode val="edge"/>
          <c:yMode val="edge"/>
          <c:x val="0.15444713981459388"/>
          <c:y val="5.3120849933598939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'Count an by gr, ref, aspiration'!$K$29</c:f>
              <c:strCache>
                <c:ptCount val="1"/>
                <c:pt idx="0">
                  <c:v>Rapid growth (5% and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'Count an by gr, ref, aspiration'!$L$27:$S$28</c:f>
              <c:multiLvlStrCache>
                <c:ptCount val="8"/>
                <c:lvl>
                  <c:pt idx="0">
                    <c:v>Very high </c:v>
                  </c:pt>
                  <c:pt idx="1">
                    <c:v>High</c:v>
                  </c:pt>
                  <c:pt idx="2">
                    <c:v>Very high </c:v>
                  </c:pt>
                  <c:pt idx="3">
                    <c:v>High</c:v>
                  </c:pt>
                  <c:pt idx="4">
                    <c:v>Very high </c:v>
                  </c:pt>
                  <c:pt idx="5">
                    <c:v>High</c:v>
                  </c:pt>
                  <c:pt idx="6">
                    <c:v>Very high </c:v>
                  </c:pt>
                  <c:pt idx="7">
                    <c:v>High</c:v>
                  </c:pt>
                </c:lvl>
                <c:lvl>
                  <c:pt idx="0">
                    <c:v>Strong</c:v>
                  </c:pt>
                  <c:pt idx="2">
                    <c:v>Moderate</c:v>
                  </c:pt>
                  <c:pt idx="4">
                    <c:v>Limited</c:v>
                  </c:pt>
                  <c:pt idx="6">
                    <c:v>Total</c:v>
                  </c:pt>
                </c:lvl>
              </c:multiLvlStrCache>
            </c:multiLvlStrRef>
          </c:cat>
          <c:val>
            <c:numRef>
              <c:f>'Count an by gr, ref, aspiration'!$L$29:$S$29</c:f>
              <c:numCache>
                <c:formatCode>0%</c:formatCode>
                <c:ptCount val="8"/>
                <c:pt idx="0">
                  <c:v>8.8235294117647065E-2</c:v>
                </c:pt>
                <c:pt idx="1">
                  <c:v>0.11764705882352941</c:v>
                </c:pt>
                <c:pt idx="2">
                  <c:v>0.29411764705882354</c:v>
                </c:pt>
                <c:pt idx="3">
                  <c:v>0.17647058823529413</c:v>
                </c:pt>
                <c:pt idx="4">
                  <c:v>0.26470588235294118</c:v>
                </c:pt>
                <c:pt idx="5">
                  <c:v>5.8823529411764705E-2</c:v>
                </c:pt>
                <c:pt idx="6">
                  <c:v>0.6470588235294118</c:v>
                </c:pt>
                <c:pt idx="7">
                  <c:v>0.35294117647058826</c:v>
                </c:pt>
              </c:numCache>
            </c:numRef>
          </c:val>
          <c:extLst>
            <c:ext xmlns:c16="http://schemas.microsoft.com/office/drawing/2014/chart" uri="{C3380CC4-5D6E-409C-BE32-E72D297353CC}">
              <c16:uniqueId val="{00000000-47D6-4A0C-B469-B8C6CC0BD293}"/>
            </c:ext>
          </c:extLst>
        </c:ser>
        <c:ser>
          <c:idx val="1"/>
          <c:order val="1"/>
          <c:tx>
            <c:strRef>
              <c:f>'Count an by gr, ref, aspiration'!$K$30</c:f>
              <c:strCache>
                <c:ptCount val="1"/>
                <c:pt idx="0">
                  <c:v>Modest growth (3 -&lt; 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'Count an by gr, ref, aspiration'!$L$27:$S$28</c:f>
              <c:multiLvlStrCache>
                <c:ptCount val="8"/>
                <c:lvl>
                  <c:pt idx="0">
                    <c:v>Very high </c:v>
                  </c:pt>
                  <c:pt idx="1">
                    <c:v>High</c:v>
                  </c:pt>
                  <c:pt idx="2">
                    <c:v>Very high </c:v>
                  </c:pt>
                  <c:pt idx="3">
                    <c:v>High</c:v>
                  </c:pt>
                  <c:pt idx="4">
                    <c:v>Very high </c:v>
                  </c:pt>
                  <c:pt idx="5">
                    <c:v>High</c:v>
                  </c:pt>
                  <c:pt idx="6">
                    <c:v>Very high </c:v>
                  </c:pt>
                  <c:pt idx="7">
                    <c:v>High</c:v>
                  </c:pt>
                </c:lvl>
                <c:lvl>
                  <c:pt idx="0">
                    <c:v>Strong</c:v>
                  </c:pt>
                  <c:pt idx="2">
                    <c:v>Moderate</c:v>
                  </c:pt>
                  <c:pt idx="4">
                    <c:v>Limited</c:v>
                  </c:pt>
                  <c:pt idx="6">
                    <c:v>Total</c:v>
                  </c:pt>
                </c:lvl>
              </c:multiLvlStrCache>
            </c:multiLvlStrRef>
          </c:cat>
          <c:val>
            <c:numRef>
              <c:f>'Count an by gr, ref, aspiration'!$L$30:$S$30</c:f>
              <c:numCache>
                <c:formatCode>0%</c:formatCode>
                <c:ptCount val="8"/>
                <c:pt idx="0">
                  <c:v>0</c:v>
                </c:pt>
                <c:pt idx="1">
                  <c:v>0.1111111111111111</c:v>
                </c:pt>
                <c:pt idx="2">
                  <c:v>0.1111111111111111</c:v>
                </c:pt>
                <c:pt idx="3">
                  <c:v>0.27777777777777779</c:v>
                </c:pt>
                <c:pt idx="4">
                  <c:v>0.22222222222222221</c:v>
                </c:pt>
                <c:pt idx="5">
                  <c:v>0.27777777777777779</c:v>
                </c:pt>
                <c:pt idx="6">
                  <c:v>0.33333333333333331</c:v>
                </c:pt>
                <c:pt idx="7">
                  <c:v>0.66666666666666663</c:v>
                </c:pt>
              </c:numCache>
            </c:numRef>
          </c:val>
          <c:extLst>
            <c:ext xmlns:c16="http://schemas.microsoft.com/office/drawing/2014/chart" uri="{C3380CC4-5D6E-409C-BE32-E72D297353CC}">
              <c16:uniqueId val="{00000001-47D6-4A0C-B469-B8C6CC0BD293}"/>
            </c:ext>
          </c:extLst>
        </c:ser>
        <c:ser>
          <c:idx val="2"/>
          <c:order val="2"/>
          <c:tx>
            <c:strRef>
              <c:f>'Count an by gr, ref, aspiration'!$K$31</c:f>
              <c:strCache>
                <c:ptCount val="1"/>
                <c:pt idx="0">
                  <c:v>Slow growth (&lt;3%)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'Count an by gr, ref, aspiration'!$L$27:$S$28</c:f>
              <c:multiLvlStrCache>
                <c:ptCount val="8"/>
                <c:lvl>
                  <c:pt idx="0">
                    <c:v>Very high </c:v>
                  </c:pt>
                  <c:pt idx="1">
                    <c:v>High</c:v>
                  </c:pt>
                  <c:pt idx="2">
                    <c:v>Very high </c:v>
                  </c:pt>
                  <c:pt idx="3">
                    <c:v>High</c:v>
                  </c:pt>
                  <c:pt idx="4">
                    <c:v>Very high </c:v>
                  </c:pt>
                  <c:pt idx="5">
                    <c:v>High</c:v>
                  </c:pt>
                  <c:pt idx="6">
                    <c:v>Very high </c:v>
                  </c:pt>
                  <c:pt idx="7">
                    <c:v>High</c:v>
                  </c:pt>
                </c:lvl>
                <c:lvl>
                  <c:pt idx="0">
                    <c:v>Strong</c:v>
                  </c:pt>
                  <c:pt idx="2">
                    <c:v>Moderate</c:v>
                  </c:pt>
                  <c:pt idx="4">
                    <c:v>Limited</c:v>
                  </c:pt>
                  <c:pt idx="6">
                    <c:v>Total</c:v>
                  </c:pt>
                </c:lvl>
              </c:multiLvlStrCache>
            </c:multiLvlStrRef>
          </c:cat>
          <c:val>
            <c:numRef>
              <c:f>'Count an by gr, ref, aspiration'!$L$31:$S$31</c:f>
              <c:numCache>
                <c:formatCode>0%</c:formatCode>
                <c:ptCount val="8"/>
                <c:pt idx="0">
                  <c:v>0</c:v>
                </c:pt>
                <c:pt idx="1">
                  <c:v>8.3333333333333329E-2</c:v>
                </c:pt>
                <c:pt idx="2">
                  <c:v>0</c:v>
                </c:pt>
                <c:pt idx="3">
                  <c:v>0.41666666666666669</c:v>
                </c:pt>
                <c:pt idx="4">
                  <c:v>8.3333333333333329E-2</c:v>
                </c:pt>
                <c:pt idx="5">
                  <c:v>0.41666666666666669</c:v>
                </c:pt>
                <c:pt idx="6">
                  <c:v>8.3333333333333329E-2</c:v>
                </c:pt>
                <c:pt idx="7">
                  <c:v>0.91666666666666663</c:v>
                </c:pt>
              </c:numCache>
            </c:numRef>
          </c:val>
          <c:extLst>
            <c:ext xmlns:c16="http://schemas.microsoft.com/office/drawing/2014/chart" uri="{C3380CC4-5D6E-409C-BE32-E72D297353CC}">
              <c16:uniqueId val="{00000002-47D6-4A0C-B469-B8C6CC0BD293}"/>
            </c:ext>
          </c:extLst>
        </c:ser>
        <c:ser>
          <c:idx val="3"/>
          <c:order val="3"/>
          <c:tx>
            <c:strRef>
              <c:f>'Count an by gr, ref, aspiration'!$K$32</c:f>
              <c:strCache>
                <c:ptCount val="1"/>
                <c:pt idx="0">
                  <c:v>Total</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'Count an by gr, ref, aspiration'!$L$27:$S$28</c:f>
              <c:multiLvlStrCache>
                <c:ptCount val="8"/>
                <c:lvl>
                  <c:pt idx="0">
                    <c:v>Very high </c:v>
                  </c:pt>
                  <c:pt idx="1">
                    <c:v>High</c:v>
                  </c:pt>
                  <c:pt idx="2">
                    <c:v>Very high </c:v>
                  </c:pt>
                  <c:pt idx="3">
                    <c:v>High</c:v>
                  </c:pt>
                  <c:pt idx="4">
                    <c:v>Very high </c:v>
                  </c:pt>
                  <c:pt idx="5">
                    <c:v>High</c:v>
                  </c:pt>
                  <c:pt idx="6">
                    <c:v>Very high </c:v>
                  </c:pt>
                  <c:pt idx="7">
                    <c:v>High</c:v>
                  </c:pt>
                </c:lvl>
                <c:lvl>
                  <c:pt idx="0">
                    <c:v>Strong</c:v>
                  </c:pt>
                  <c:pt idx="2">
                    <c:v>Moderate</c:v>
                  </c:pt>
                  <c:pt idx="4">
                    <c:v>Limited</c:v>
                  </c:pt>
                  <c:pt idx="6">
                    <c:v>Total</c:v>
                  </c:pt>
                </c:lvl>
              </c:multiLvlStrCache>
            </c:multiLvlStrRef>
          </c:cat>
          <c:val>
            <c:numRef>
              <c:f>'Count an by gr, ref, aspiration'!$L$32:$S$32</c:f>
              <c:numCache>
                <c:formatCode>0%</c:formatCode>
                <c:ptCount val="8"/>
                <c:pt idx="0">
                  <c:v>4.6875E-2</c:v>
                </c:pt>
                <c:pt idx="1">
                  <c:v>0.109375</c:v>
                </c:pt>
                <c:pt idx="2">
                  <c:v>0.1875</c:v>
                </c:pt>
                <c:pt idx="3">
                  <c:v>0.25</c:v>
                </c:pt>
                <c:pt idx="4">
                  <c:v>0.21875</c:v>
                </c:pt>
                <c:pt idx="5">
                  <c:v>0.1875</c:v>
                </c:pt>
                <c:pt idx="6">
                  <c:v>0.453125</c:v>
                </c:pt>
                <c:pt idx="7">
                  <c:v>0.546875</c:v>
                </c:pt>
              </c:numCache>
            </c:numRef>
          </c:val>
          <c:extLst>
            <c:ext xmlns:c16="http://schemas.microsoft.com/office/drawing/2014/chart" uri="{C3380CC4-5D6E-409C-BE32-E72D297353CC}">
              <c16:uniqueId val="{00000003-47D6-4A0C-B469-B8C6CC0BD293}"/>
            </c:ext>
          </c:extLst>
        </c:ser>
        <c:dLbls>
          <c:dLblPos val="outEnd"/>
          <c:showLegendKey val="0"/>
          <c:showVal val="1"/>
          <c:showCatName val="0"/>
          <c:showSerName val="0"/>
          <c:showPercent val="0"/>
          <c:showBubbleSize val="0"/>
        </c:dLbls>
        <c:gapWidth val="444"/>
        <c:overlap val="-90"/>
        <c:axId val="156049423"/>
        <c:axId val="156041935"/>
      </c:barChart>
      <c:catAx>
        <c:axId val="15604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6041935"/>
        <c:crosses val="autoZero"/>
        <c:auto val="1"/>
        <c:lblAlgn val="ctr"/>
        <c:lblOffset val="100"/>
        <c:noMultiLvlLbl val="0"/>
      </c:catAx>
      <c:valAx>
        <c:axId val="156041935"/>
        <c:scaling>
          <c:orientation val="minMax"/>
        </c:scaling>
        <c:delete val="1"/>
        <c:axPos val="l"/>
        <c:numFmt formatCode="0%" sourceLinked="1"/>
        <c:majorTickMark val="none"/>
        <c:minorTickMark val="none"/>
        <c:tickLblPos val="nextTo"/>
        <c:crossAx val="15604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rgbClr val="CC99FF">
        <a:alpha val="56000"/>
      </a:srgbClr>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latin typeface="Times New Roman" panose="02020603050405020304" pitchFamily="18" charset="0"/>
                <a:cs typeface="Times New Roman" panose="02020603050405020304" pitchFamily="18" charset="0"/>
              </a:rPr>
              <a:t>Figure 61: Investor environment and growth</a:t>
            </a:r>
          </a:p>
          <a:p>
            <a:pPr>
              <a:defRPr/>
            </a:pPr>
            <a:r>
              <a:rPr lang="en-US" sz="900">
                <a:latin typeface="Times New Roman" panose="02020603050405020304" pitchFamily="18" charset="0"/>
                <a:cs typeface="Times New Roman" panose="02020603050405020304" pitchFamily="18" charset="0"/>
              </a:rPr>
              <a:t>(Based on 64 countries with data)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'Investor environment and growth'!$G$24</c:f>
              <c:strCache>
                <c:ptCount val="1"/>
                <c:pt idx="0">
                  <c:v>Good environemnt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'Investor environment and growth'!$H$23:$J$23</c:f>
              <c:strCache>
                <c:ptCount val="3"/>
                <c:pt idx="0">
                  <c:v>Rapid growth (5% and +)</c:v>
                </c:pt>
                <c:pt idx="1">
                  <c:v>Modest growth (3 -&lt; 5%)</c:v>
                </c:pt>
                <c:pt idx="2">
                  <c:v>Slow growth (&lt;3%)</c:v>
                </c:pt>
              </c:strCache>
            </c:strRef>
          </c:cat>
          <c:val>
            <c:numRef>
              <c:f>'Investor environment and growth'!$H$24:$J$24</c:f>
              <c:numCache>
                <c:formatCode>0%</c:formatCode>
                <c:ptCount val="3"/>
                <c:pt idx="0">
                  <c:v>0</c:v>
                </c:pt>
                <c:pt idx="1">
                  <c:v>5.5555555555555552E-2</c:v>
                </c:pt>
                <c:pt idx="2">
                  <c:v>0.16666666666666666</c:v>
                </c:pt>
              </c:numCache>
            </c:numRef>
          </c:val>
          <c:extLst>
            <c:ext xmlns:c16="http://schemas.microsoft.com/office/drawing/2014/chart" uri="{C3380CC4-5D6E-409C-BE32-E72D297353CC}">
              <c16:uniqueId val="{00000000-E213-44BE-95AB-1C822FAA7858}"/>
            </c:ext>
          </c:extLst>
        </c:ser>
        <c:ser>
          <c:idx val="1"/>
          <c:order val="1"/>
          <c:tx>
            <c:strRef>
              <c:f>'Investor environment and growth'!$G$25</c:f>
              <c:strCache>
                <c:ptCount val="1"/>
                <c:pt idx="0">
                  <c:v>Modest environment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'Investor environment and growth'!$H$23:$J$23</c:f>
              <c:strCache>
                <c:ptCount val="3"/>
                <c:pt idx="0">
                  <c:v>Rapid growth (5% and +)</c:v>
                </c:pt>
                <c:pt idx="1">
                  <c:v>Modest growth (3 -&lt; 5%)</c:v>
                </c:pt>
                <c:pt idx="2">
                  <c:v>Slow growth (&lt;3%)</c:v>
                </c:pt>
              </c:strCache>
            </c:strRef>
          </c:cat>
          <c:val>
            <c:numRef>
              <c:f>'Investor environment and growth'!$H$25:$J$25</c:f>
              <c:numCache>
                <c:formatCode>0%</c:formatCode>
                <c:ptCount val="3"/>
                <c:pt idx="0">
                  <c:v>0.61764705882352944</c:v>
                </c:pt>
                <c:pt idx="1">
                  <c:v>0.5</c:v>
                </c:pt>
                <c:pt idx="2">
                  <c:v>0.41666666666666669</c:v>
                </c:pt>
              </c:numCache>
            </c:numRef>
          </c:val>
          <c:extLst>
            <c:ext xmlns:c16="http://schemas.microsoft.com/office/drawing/2014/chart" uri="{C3380CC4-5D6E-409C-BE32-E72D297353CC}">
              <c16:uniqueId val="{00000001-E213-44BE-95AB-1C822FAA7858}"/>
            </c:ext>
          </c:extLst>
        </c:ser>
        <c:ser>
          <c:idx val="2"/>
          <c:order val="2"/>
          <c:tx>
            <c:strRef>
              <c:f>'Investor environment and growth'!$G$26</c:f>
              <c:strCache>
                <c:ptCount val="1"/>
                <c:pt idx="0">
                  <c:v>Poor environemnt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'Investor environment and growth'!$H$23:$J$23</c:f>
              <c:strCache>
                <c:ptCount val="3"/>
                <c:pt idx="0">
                  <c:v>Rapid growth (5% and +)</c:v>
                </c:pt>
                <c:pt idx="1">
                  <c:v>Modest growth (3 -&lt; 5%)</c:v>
                </c:pt>
                <c:pt idx="2">
                  <c:v>Slow growth (&lt;3%)</c:v>
                </c:pt>
              </c:strCache>
            </c:strRef>
          </c:cat>
          <c:val>
            <c:numRef>
              <c:f>'Investor environment and growth'!$H$26:$J$26</c:f>
              <c:numCache>
                <c:formatCode>0%</c:formatCode>
                <c:ptCount val="3"/>
                <c:pt idx="0">
                  <c:v>0.38235294117647056</c:v>
                </c:pt>
                <c:pt idx="1">
                  <c:v>0.44444444444444442</c:v>
                </c:pt>
                <c:pt idx="2">
                  <c:v>0.41666666666666669</c:v>
                </c:pt>
              </c:numCache>
            </c:numRef>
          </c:val>
          <c:extLst>
            <c:ext xmlns:c16="http://schemas.microsoft.com/office/drawing/2014/chart" uri="{C3380CC4-5D6E-409C-BE32-E72D297353CC}">
              <c16:uniqueId val="{00000002-E213-44BE-95AB-1C822FAA7858}"/>
            </c:ext>
          </c:extLst>
        </c:ser>
        <c:dLbls>
          <c:dLblPos val="outEnd"/>
          <c:showLegendKey val="0"/>
          <c:showVal val="1"/>
          <c:showCatName val="0"/>
          <c:showSerName val="0"/>
          <c:showPercent val="0"/>
          <c:showBubbleSize val="0"/>
        </c:dLbls>
        <c:gapWidth val="182"/>
        <c:axId val="297974368"/>
        <c:axId val="297975200"/>
      </c:barChart>
      <c:catAx>
        <c:axId val="29797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7975200"/>
        <c:crosses val="autoZero"/>
        <c:auto val="1"/>
        <c:lblAlgn val="ctr"/>
        <c:lblOffset val="100"/>
        <c:noMultiLvlLbl val="0"/>
      </c:catAx>
      <c:valAx>
        <c:axId val="2979752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797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accent5">
        <a:lumMod val="20000"/>
        <a:lumOff val="80000"/>
      </a:schemeClr>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latin typeface="Times New Roman" panose="02020603050405020304" pitchFamily="18" charset="0"/>
                <a:cs typeface="Times New Roman" panose="02020603050405020304" pitchFamily="18" charset="0"/>
              </a:rPr>
              <a:t>Figure 62: Property rights index - Bangladesh compared to continent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Sheet2!$G$5:$G$38</c:f>
              <c:strCache>
                <c:ptCount val="34"/>
                <c:pt idx="0">
                  <c:v>Singapore</c:v>
                </c:pt>
                <c:pt idx="1">
                  <c:v>Hing Kong</c:v>
                </c:pt>
                <c:pt idx="2">
                  <c:v>Japan</c:v>
                </c:pt>
                <c:pt idx="3">
                  <c:v>South Korea</c:v>
                </c:pt>
                <c:pt idx="4">
                  <c:v>Taiwan</c:v>
                </c:pt>
                <c:pt idx="5">
                  <c:v>Bhutan</c:v>
                </c:pt>
                <c:pt idx="6">
                  <c:v>Macau</c:v>
                </c:pt>
                <c:pt idx="7">
                  <c:v>Malaysia</c:v>
                </c:pt>
                <c:pt idx="8">
                  <c:v>India</c:v>
                </c:pt>
                <c:pt idx="9">
                  <c:v>Georgia</c:v>
                </c:pt>
                <c:pt idx="10">
                  <c:v>Thailand</c:v>
                </c:pt>
                <c:pt idx="11">
                  <c:v>Sri Lanka</c:v>
                </c:pt>
                <c:pt idx="12">
                  <c:v>Mongolia</c:v>
                </c:pt>
                <c:pt idx="13">
                  <c:v>Philippines</c:v>
                </c:pt>
                <c:pt idx="14">
                  <c:v>Pakistan</c:v>
                </c:pt>
                <c:pt idx="15">
                  <c:v>Nepal</c:v>
                </c:pt>
                <c:pt idx="16">
                  <c:v>Kazakhstan</c:v>
                </c:pt>
                <c:pt idx="17">
                  <c:v>Brunei</c:v>
                </c:pt>
                <c:pt idx="18">
                  <c:v>Indonesia</c:v>
                </c:pt>
                <c:pt idx="19">
                  <c:v>Cambodia</c:v>
                </c:pt>
                <c:pt idx="20">
                  <c:v>Maldives</c:v>
                </c:pt>
                <c:pt idx="21">
                  <c:v>Azerbaijan</c:v>
                </c:pt>
                <c:pt idx="22">
                  <c:v>China</c:v>
                </c:pt>
                <c:pt idx="23">
                  <c:v>Timor-Leste</c:v>
                </c:pt>
                <c:pt idx="24">
                  <c:v>Armenia</c:v>
                </c:pt>
                <c:pt idx="25">
                  <c:v>Bangladesh</c:v>
                </c:pt>
                <c:pt idx="26">
                  <c:v>Tajikistan </c:v>
                </c:pt>
                <c:pt idx="27">
                  <c:v>Kyrgyz Rep </c:v>
                </c:pt>
                <c:pt idx="28">
                  <c:v>Lao PDR</c:v>
                </c:pt>
                <c:pt idx="29">
                  <c:v>Uzbekistan</c:v>
                </c:pt>
                <c:pt idx="30">
                  <c:v>Vietnam</c:v>
                </c:pt>
                <c:pt idx="31">
                  <c:v>Myanmar</c:v>
                </c:pt>
                <c:pt idx="32">
                  <c:v>North Korea</c:v>
                </c:pt>
                <c:pt idx="33">
                  <c:v>Turkmenistan</c:v>
                </c:pt>
              </c:strCache>
            </c:strRef>
          </c:cat>
          <c:val>
            <c:numRef>
              <c:f>Sheet2!$H$5:$H$38</c:f>
              <c:numCache>
                <c:formatCode>General</c:formatCode>
                <c:ptCount val="34"/>
                <c:pt idx="0">
                  <c:v>90</c:v>
                </c:pt>
                <c:pt idx="1">
                  <c:v>90</c:v>
                </c:pt>
                <c:pt idx="2">
                  <c:v>80</c:v>
                </c:pt>
                <c:pt idx="3">
                  <c:v>70</c:v>
                </c:pt>
                <c:pt idx="4">
                  <c:v>70</c:v>
                </c:pt>
                <c:pt idx="5">
                  <c:v>60</c:v>
                </c:pt>
                <c:pt idx="6">
                  <c:v>60</c:v>
                </c:pt>
                <c:pt idx="7">
                  <c:v>55</c:v>
                </c:pt>
                <c:pt idx="8">
                  <c:v>55</c:v>
                </c:pt>
                <c:pt idx="9">
                  <c:v>40</c:v>
                </c:pt>
                <c:pt idx="10">
                  <c:v>40</c:v>
                </c:pt>
                <c:pt idx="11">
                  <c:v>40</c:v>
                </c:pt>
                <c:pt idx="12">
                  <c:v>30</c:v>
                </c:pt>
                <c:pt idx="13">
                  <c:v>30</c:v>
                </c:pt>
                <c:pt idx="14">
                  <c:v>30</c:v>
                </c:pt>
                <c:pt idx="15">
                  <c:v>30</c:v>
                </c:pt>
                <c:pt idx="16">
                  <c:v>30</c:v>
                </c:pt>
                <c:pt idx="17">
                  <c:v>30</c:v>
                </c:pt>
                <c:pt idx="18">
                  <c:v>30</c:v>
                </c:pt>
                <c:pt idx="19">
                  <c:v>25</c:v>
                </c:pt>
                <c:pt idx="20">
                  <c:v>25</c:v>
                </c:pt>
                <c:pt idx="21">
                  <c:v>20</c:v>
                </c:pt>
                <c:pt idx="22">
                  <c:v>20</c:v>
                </c:pt>
                <c:pt idx="23">
                  <c:v>20</c:v>
                </c:pt>
                <c:pt idx="24">
                  <c:v>20</c:v>
                </c:pt>
                <c:pt idx="25">
                  <c:v>20</c:v>
                </c:pt>
                <c:pt idx="26">
                  <c:v>20</c:v>
                </c:pt>
                <c:pt idx="27">
                  <c:v>20</c:v>
                </c:pt>
                <c:pt idx="28">
                  <c:v>15</c:v>
                </c:pt>
                <c:pt idx="29">
                  <c:v>15</c:v>
                </c:pt>
                <c:pt idx="30">
                  <c:v>15</c:v>
                </c:pt>
                <c:pt idx="31">
                  <c:v>10</c:v>
                </c:pt>
                <c:pt idx="32">
                  <c:v>5</c:v>
                </c:pt>
                <c:pt idx="33">
                  <c:v>5</c:v>
                </c:pt>
              </c:numCache>
            </c:numRef>
          </c:val>
          <c:extLst>
            <c:ext xmlns:c16="http://schemas.microsoft.com/office/drawing/2014/chart" uri="{C3380CC4-5D6E-409C-BE32-E72D297353CC}">
              <c16:uniqueId val="{00000000-B851-4C7E-ADEB-6D7F6D6955D9}"/>
            </c:ext>
          </c:extLst>
        </c:ser>
        <c:dLbls>
          <c:dLblPos val="outEnd"/>
          <c:showLegendKey val="0"/>
          <c:showVal val="1"/>
          <c:showCatName val="0"/>
          <c:showSerName val="0"/>
          <c:showPercent val="0"/>
          <c:showBubbleSize val="0"/>
        </c:dLbls>
        <c:gapWidth val="182"/>
        <c:axId val="563073119"/>
        <c:axId val="563076447"/>
      </c:barChart>
      <c:catAx>
        <c:axId val="563073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3076447"/>
        <c:crosses val="autoZero"/>
        <c:auto val="1"/>
        <c:lblAlgn val="ctr"/>
        <c:lblOffset val="100"/>
        <c:noMultiLvlLbl val="0"/>
      </c:catAx>
      <c:valAx>
        <c:axId val="5630764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63073119"/>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CPIA business regulatory environment rating </a:t>
            </a:r>
            <a:r>
              <a:rPr lang="en-US" sz="1000"/>
              <a:t>(1=low to 6=high)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'CPIA scatter'!$D$2</c:f>
              <c:strCache>
                <c:ptCount val="1"/>
                <c:pt idx="0">
                  <c:v>CPIA business regulatory environment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78-490C-A6AC-67E059573BDA}"/>
                </c:ext>
              </c:extLst>
            </c:dLbl>
            <c:dLbl>
              <c:idx val="3"/>
              <c:layout>
                <c:manualLayout>
                  <c:x val="-4.7438330170778004E-2"/>
                  <c:y val="0.2261553588987218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5178-490C-A6AC-67E059573BDA}"/>
                </c:ext>
              </c:extLst>
            </c:dLbl>
            <c:dLbl>
              <c:idx val="5"/>
              <c:layout>
                <c:manualLayout>
                  <c:x val="-6.6413662239089219E-2"/>
                  <c:y val="-5.899705014749267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78-490C-A6AC-67E059573BDA}"/>
                </c:ext>
              </c:extLst>
            </c:dLbl>
            <c:dLbl>
              <c:idx val="17"/>
              <c:layout>
                <c:manualLayout>
                  <c:x val="-4.1113219481340953E-2"/>
                  <c:y val="0.2704031465093412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78-490C-A6AC-67E059573BDA}"/>
                </c:ext>
              </c:extLst>
            </c:dLbl>
            <c:dLbl>
              <c:idx val="21"/>
              <c:layout>
                <c:manualLayout>
                  <c:x val="-1.8975332068311195E-2"/>
                  <c:y val="6.39134709931170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78-490C-A6AC-67E059573BDA}"/>
                </c:ext>
              </c:extLst>
            </c:dLbl>
            <c:dLbl>
              <c:idx val="25"/>
              <c:layout>
                <c:manualLayout>
                  <c:x val="-2.8462998102466792E-2"/>
                  <c:y val="-0.117994100294985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78-490C-A6AC-67E059573BDA}"/>
                </c:ext>
              </c:extLst>
            </c:dLbl>
            <c:dLbl>
              <c:idx val="33"/>
              <c:layout>
                <c:manualLayout>
                  <c:x val="-3.4788108791903798E-2"/>
                  <c:y val="0.191740412979351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78-490C-A6AC-67E059573BDA}"/>
                </c:ext>
              </c:extLst>
            </c:dLbl>
            <c:dLbl>
              <c:idx val="34"/>
              <c:layout>
                <c:manualLayout>
                  <c:x val="2.2137887413029671E-2"/>
                  <c:y val="0.191740412979351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78-490C-A6AC-67E059573BDA}"/>
                </c:ext>
              </c:extLst>
            </c:dLbl>
            <c:dLbl>
              <c:idx val="4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78-490C-A6AC-67E059573BDA}"/>
                </c:ext>
              </c:extLst>
            </c:dLbl>
            <c:dLbl>
              <c:idx val="55"/>
              <c:layout>
                <c:manualLayout>
                  <c:x val="-0.12017710309930424"/>
                  <c:y val="-0.20403146509341208"/>
                </c:manualLayout>
              </c:layout>
              <c:showLegendKey val="0"/>
              <c:showVal val="1"/>
              <c:showCatName val="1"/>
              <c:showSerName val="0"/>
              <c:showPercent val="0"/>
              <c:showBubbleSize val="0"/>
              <c:extLst>
                <c:ext xmlns:c15="http://schemas.microsoft.com/office/drawing/2012/chart" uri="{CE6537A1-D6FC-4f65-9D91-7224C49458BB}">
                  <c15:layout>
                    <c:manualLayout>
                      <c:w val="0.18082844008825272"/>
                      <c:h val="3.5388164974953354E-2"/>
                    </c:manualLayout>
                  </c15:layout>
                </c:ext>
                <c:ext xmlns:c16="http://schemas.microsoft.com/office/drawing/2014/chart" uri="{C3380CC4-5D6E-409C-BE32-E72D297353CC}">
                  <c16:uniqueId val="{00000009-5178-490C-A6AC-67E059573BDA}"/>
                </c:ext>
              </c:extLst>
            </c:dLbl>
            <c:dLbl>
              <c:idx val="57"/>
              <c:layout>
                <c:manualLayout>
                  <c:x val="-8.2226438962681794E-2"/>
                  <c:y val="7.866273352999016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78-490C-A6AC-67E059573BDA}"/>
                </c:ext>
              </c:extLst>
            </c:dLbl>
            <c:dLbl>
              <c:idx val="59"/>
              <c:layout>
                <c:manualLayout>
                  <c:x val="3.7950664136622278E-2"/>
                  <c:y val="-5.899705014749267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78-490C-A6AC-67E059573BDA}"/>
                </c:ext>
              </c:extLst>
            </c:dLbl>
            <c:dLbl>
              <c:idx val="61"/>
              <c:layout>
                <c:manualLayout>
                  <c:x val="1.265022137887413E-2"/>
                  <c:y val="-4.42477876106195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178-490C-A6AC-67E059573BDA}"/>
                </c:ext>
              </c:extLst>
            </c:dLbl>
            <c:dLbl>
              <c:idx val="64"/>
              <c:layout>
                <c:manualLayout>
                  <c:x val="-4.4275774826059454E-2"/>
                  <c:y val="0.2114060963618485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178-490C-A6AC-67E059573BDA}"/>
                </c:ext>
              </c:extLst>
            </c:dLbl>
            <c:dLbl>
              <c:idx val="68"/>
              <c:layout>
                <c:manualLayout>
                  <c:x val="0"/>
                  <c:y val="0.1081612586037363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178-490C-A6AC-67E059573BDA}"/>
                </c:ext>
              </c:extLst>
            </c:dLbl>
            <c:dLbl>
              <c:idx val="71"/>
              <c:layout>
                <c:manualLayout>
                  <c:x val="8.5388994307400379E-2"/>
                  <c:y val="-9.341199606686331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178-490C-A6AC-67E059573BDA}"/>
                </c:ext>
              </c:extLst>
            </c:dLbl>
            <c:dLbl>
              <c:idx val="73"/>
              <c:layout>
                <c:manualLayout>
                  <c:x val="6.0088551549652119E-2"/>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178-490C-A6AC-67E059573BDA}"/>
                </c:ext>
              </c:extLst>
            </c:dLbl>
            <c:dLbl>
              <c:idx val="7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178-490C-A6AC-67E059573BDA}"/>
                </c:ext>
              </c:extLst>
            </c:dLbl>
            <c:dLbl>
              <c:idx val="79"/>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178-490C-A6AC-67E059573BDA}"/>
                </c:ext>
              </c:extLst>
            </c:dLbl>
            <c:dLbl>
              <c:idx val="8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178-490C-A6AC-67E059573BD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scatter'!$D$3:$D$83</c:f>
              <c:numCache>
                <c:formatCode>0.00</c:formatCode>
                <c:ptCount val="81"/>
                <c:pt idx="0">
                  <c:v>2.5</c:v>
                </c:pt>
                <c:pt idx="1">
                  <c:v>2</c:v>
                </c:pt>
                <c:pt idx="2">
                  <c:v>4.5</c:v>
                </c:pt>
                <c:pt idx="3">
                  <c:v>3</c:v>
                </c:pt>
                <c:pt idx="4">
                  <c:v>3.5</c:v>
                </c:pt>
                <c:pt idx="5">
                  <c:v>3.5</c:v>
                </c:pt>
                <c:pt idx="6">
                  <c:v>2.5</c:v>
                </c:pt>
                <c:pt idx="7">
                  <c:v>3.5</c:v>
                </c:pt>
                <c:pt idx="8">
                  <c:v>3.5</c:v>
                </c:pt>
                <c:pt idx="9">
                  <c:v>3</c:v>
                </c:pt>
                <c:pt idx="10">
                  <c:v>3.5</c:v>
                </c:pt>
                <c:pt idx="11">
                  <c:v>3</c:v>
                </c:pt>
                <c:pt idx="12">
                  <c:v>3</c:v>
                </c:pt>
                <c:pt idx="13">
                  <c:v>2</c:v>
                </c:pt>
                <c:pt idx="14">
                  <c:v>2.5</c:v>
                </c:pt>
                <c:pt idx="15">
                  <c:v>3</c:v>
                </c:pt>
                <c:pt idx="16">
                  <c:v>3</c:v>
                </c:pt>
                <c:pt idx="17">
                  <c:v>2.5</c:v>
                </c:pt>
                <c:pt idx="18">
                  <c:v>3</c:v>
                </c:pt>
                <c:pt idx="19">
                  <c:v>2.5</c:v>
                </c:pt>
                <c:pt idx="20">
                  <c:v>4</c:v>
                </c:pt>
                <c:pt idx="21">
                  <c:v>1.5</c:v>
                </c:pt>
                <c:pt idx="22">
                  <c:v>3.5</c:v>
                </c:pt>
                <c:pt idx="23">
                  <c:v>2</c:v>
                </c:pt>
                <c:pt idx="25">
                  <c:v>4</c:v>
                </c:pt>
                <c:pt idx="26">
                  <c:v>3</c:v>
                </c:pt>
                <c:pt idx="27">
                  <c:v>3.5</c:v>
                </c:pt>
                <c:pt idx="28">
                  <c:v>2.5</c:v>
                </c:pt>
                <c:pt idx="29">
                  <c:v>4</c:v>
                </c:pt>
                <c:pt idx="30">
                  <c:v>3</c:v>
                </c:pt>
                <c:pt idx="31">
                  <c:v>3</c:v>
                </c:pt>
                <c:pt idx="32">
                  <c:v>2</c:v>
                </c:pt>
                <c:pt idx="33">
                  <c:v>3</c:v>
                </c:pt>
                <c:pt idx="34">
                  <c:v>3.5</c:v>
                </c:pt>
                <c:pt idx="35">
                  <c:v>4</c:v>
                </c:pt>
                <c:pt idx="36">
                  <c:v>2.5</c:v>
                </c:pt>
                <c:pt idx="37">
                  <c:v>3.5</c:v>
                </c:pt>
                <c:pt idx="38">
                  <c:v>3.5</c:v>
                </c:pt>
                <c:pt idx="39">
                  <c:v>3</c:v>
                </c:pt>
                <c:pt idx="40">
                  <c:v>3</c:v>
                </c:pt>
                <c:pt idx="41">
                  <c:v>4.5</c:v>
                </c:pt>
                <c:pt idx="42">
                  <c:v>4</c:v>
                </c:pt>
                <c:pt idx="43">
                  <c:v>3.5</c:v>
                </c:pt>
                <c:pt idx="44">
                  <c:v>2.5</c:v>
                </c:pt>
                <c:pt idx="45">
                  <c:v>3.5</c:v>
                </c:pt>
                <c:pt idx="46">
                  <c:v>2.5</c:v>
                </c:pt>
                <c:pt idx="47">
                  <c:v>3.5</c:v>
                </c:pt>
                <c:pt idx="48">
                  <c:v>2.5</c:v>
                </c:pt>
                <c:pt idx="49">
                  <c:v>3.5</c:v>
                </c:pt>
                <c:pt idx="50">
                  <c:v>3</c:v>
                </c:pt>
                <c:pt idx="51">
                  <c:v>3</c:v>
                </c:pt>
                <c:pt idx="52">
                  <c:v>3</c:v>
                </c:pt>
                <c:pt idx="53">
                  <c:v>3.5</c:v>
                </c:pt>
                <c:pt idx="54">
                  <c:v>3.5</c:v>
                </c:pt>
                <c:pt idx="55">
                  <c:v>3.5</c:v>
                </c:pt>
                <c:pt idx="56">
                  <c:v>3.5</c:v>
                </c:pt>
                <c:pt idx="57">
                  <c:v>3</c:v>
                </c:pt>
                <c:pt idx="58">
                  <c:v>3</c:v>
                </c:pt>
                <c:pt idx="59">
                  <c:v>4.5</c:v>
                </c:pt>
                <c:pt idx="60">
                  <c:v>3</c:v>
                </c:pt>
                <c:pt idx="61">
                  <c:v>4</c:v>
                </c:pt>
                <c:pt idx="62">
                  <c:v>3</c:v>
                </c:pt>
                <c:pt idx="63">
                  <c:v>3</c:v>
                </c:pt>
                <c:pt idx="64">
                  <c:v>2</c:v>
                </c:pt>
                <c:pt idx="65">
                  <c:v>3</c:v>
                </c:pt>
                <c:pt idx="66">
                  <c:v>3</c:v>
                </c:pt>
                <c:pt idx="67">
                  <c:v>3</c:v>
                </c:pt>
                <c:pt idx="68">
                  <c:v>2</c:v>
                </c:pt>
                <c:pt idx="69">
                  <c:v>3</c:v>
                </c:pt>
                <c:pt idx="70">
                  <c:v>2.5</c:v>
                </c:pt>
                <c:pt idx="71">
                  <c:v>3.5</c:v>
                </c:pt>
                <c:pt idx="72">
                  <c:v>4</c:v>
                </c:pt>
                <c:pt idx="73">
                  <c:v>3</c:v>
                </c:pt>
                <c:pt idx="74">
                  <c:v>4</c:v>
                </c:pt>
                <c:pt idx="75">
                  <c:v>3.5</c:v>
                </c:pt>
                <c:pt idx="76">
                  <c:v>3</c:v>
                </c:pt>
                <c:pt idx="77">
                  <c:v>3.5</c:v>
                </c:pt>
                <c:pt idx="78">
                  <c:v>2.5</c:v>
                </c:pt>
                <c:pt idx="79">
                  <c:v>3.5</c:v>
                </c:pt>
                <c:pt idx="80">
                  <c:v>2</c:v>
                </c:pt>
              </c:numCache>
            </c:numRef>
          </c:yVal>
          <c:smooth val="0"/>
          <c:extLst>
            <c:ext xmlns:c16="http://schemas.microsoft.com/office/drawing/2014/chart" uri="{C3380CC4-5D6E-409C-BE32-E72D297353CC}">
              <c16:uniqueId val="{00000014-5178-490C-A6AC-67E059573BDA}"/>
            </c:ext>
          </c:extLst>
        </c:ser>
        <c:dLbls>
          <c:showLegendKey val="0"/>
          <c:showVal val="0"/>
          <c:showCatName val="0"/>
          <c:showSerName val="0"/>
          <c:showPercent val="0"/>
          <c:showBubbleSize val="0"/>
        </c:dLbls>
        <c:axId val="1549815104"/>
        <c:axId val="1549801792"/>
      </c:scatterChart>
      <c:valAx>
        <c:axId val="1549815104"/>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9801792"/>
        <c:crosses val="autoZero"/>
        <c:crossBetween val="midCat"/>
      </c:valAx>
      <c:valAx>
        <c:axId val="1549801792"/>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9815104"/>
        <c:crosses val="autoZero"/>
        <c:crossBetween val="midCat"/>
      </c:valAx>
      <c:spPr>
        <a:noFill/>
        <a:ln>
          <a:noFill/>
        </a:ln>
        <a:effectLst/>
      </c:spPr>
    </c:plotArea>
    <c:plotVisOnly val="1"/>
    <c:dispBlanksAs val="gap"/>
    <c:showDLblsOverMax val="0"/>
  </c:chart>
  <c:spPr>
    <a:gradFill flip="none" rotWithShape="1">
      <a:gsLst>
        <a:gs pos="0">
          <a:srgbClr val="FF66CC">
            <a:tint val="66000"/>
            <a:satMod val="160000"/>
          </a:srgbClr>
        </a:gs>
        <a:gs pos="50000">
          <a:srgbClr val="FF66CC">
            <a:tint val="44500"/>
            <a:satMod val="160000"/>
          </a:srgbClr>
        </a:gs>
        <a:gs pos="100000">
          <a:srgbClr val="FF66CC">
            <a:tint val="23500"/>
            <a:satMod val="160000"/>
          </a:srgbClr>
        </a:gs>
      </a:gsLst>
      <a:lin ang="27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CPIA efficiency of revenue mobilization rating </a:t>
            </a:r>
            <a:r>
              <a:rPr lang="en-US" sz="1000"/>
              <a:t>(1=low to 6=high)</a:t>
            </a:r>
          </a:p>
        </c:rich>
      </c:tx>
      <c:layout>
        <c:manualLayout>
          <c:xMode val="edge"/>
          <c:yMode val="edge"/>
          <c:x val="0.11538017975025849"/>
          <c:y val="2.92397660818713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952123394442868E-2"/>
          <c:y val="0.25513196480938422"/>
          <c:w val="0.85750596403153589"/>
          <c:h val="0.63826171288706213"/>
        </c:manualLayout>
      </c:layout>
      <c:scatterChart>
        <c:scatterStyle val="lineMarker"/>
        <c:varyColors val="0"/>
        <c:ser>
          <c:idx val="0"/>
          <c:order val="0"/>
          <c:tx>
            <c:strRef>
              <c:f>'CPIA scatter'!$G$2</c:f>
              <c:strCache>
                <c:ptCount val="1"/>
                <c:pt idx="0">
                  <c:v>CPIA efficiency of revenue mobilization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3"/>
              <c:layout>
                <c:manualLayout>
                  <c:x val="-5.4589682113363118E-2"/>
                  <c:y val="0.1710654527559054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0-9012-4024-9563-59BC5BA1B4B8}"/>
                </c:ext>
              </c:extLst>
            </c:dLbl>
            <c:dLbl>
              <c:idx val="5"/>
              <c:layout>
                <c:manualLayout>
                  <c:x val="0.11385199240986717"/>
                  <c:y val="0.1759530791788856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12-4024-9563-59BC5BA1B4B8}"/>
                </c:ext>
              </c:extLst>
            </c:dLbl>
            <c:dLbl>
              <c:idx val="6"/>
              <c:layout>
                <c:manualLayout>
                  <c:x val="-7.5901328273244778E-2"/>
                  <c:y val="-7.82013685239492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12-4024-9563-59BC5BA1B4B8}"/>
                </c:ext>
              </c:extLst>
            </c:dLbl>
            <c:dLbl>
              <c:idx val="9"/>
              <c:layout>
                <c:manualLayout>
                  <c:x val="5.3763440860215082E-2"/>
                  <c:y val="0.215053763440860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12-4024-9563-59BC5BA1B4B8}"/>
                </c:ext>
              </c:extLst>
            </c:dLbl>
            <c:dLbl>
              <c:idx val="21"/>
              <c:layout>
                <c:manualLayout>
                  <c:x val="0.30676786843769766"/>
                  <c:y val="0.3079178885630498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12-4024-9563-59BC5BA1B4B8}"/>
                </c:ext>
              </c:extLst>
            </c:dLbl>
            <c:dLbl>
              <c:idx val="22"/>
              <c:layout>
                <c:manualLayout>
                  <c:x val="-3.1625553447185387E-2"/>
                  <c:y val="-9.286412512218963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12-4024-9563-59BC5BA1B4B8}"/>
                </c:ext>
              </c:extLst>
            </c:dLbl>
            <c:dLbl>
              <c:idx val="26"/>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12-4024-9563-59BC5BA1B4B8}"/>
                </c:ext>
              </c:extLst>
            </c:dLbl>
            <c:dLbl>
              <c:idx val="32"/>
              <c:layout>
                <c:manualLayout>
                  <c:x val="2.8462998102466792E-2"/>
                  <c:y val="7.82013685239491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12-4024-9563-59BC5BA1B4B8}"/>
                </c:ext>
              </c:extLst>
            </c:dLbl>
            <c:dLbl>
              <c:idx val="42"/>
              <c:layout>
                <c:manualLayout>
                  <c:x val="-3.7950664136622389E-2"/>
                  <c:y val="-0.1955034213098729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12-4024-9563-59BC5BA1B4B8}"/>
                </c:ext>
              </c:extLst>
            </c:dLbl>
            <c:dLbl>
              <c:idx val="48"/>
              <c:layout>
                <c:manualLayout>
                  <c:x val="-2.8462998102466851E-2"/>
                  <c:y val="0.127077223851417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555050874807631"/>
                      <c:h val="4.6311604744421614E-2"/>
                    </c:manualLayout>
                  </c15:layout>
                </c:ext>
                <c:ext xmlns:c16="http://schemas.microsoft.com/office/drawing/2014/chart" uri="{C3380CC4-5D6E-409C-BE32-E72D297353CC}">
                  <c16:uniqueId val="{00000009-9012-4024-9563-59BC5BA1B4B8}"/>
                </c:ext>
              </c:extLst>
            </c:dLbl>
            <c:dLbl>
              <c:idx val="50"/>
              <c:layout>
                <c:manualLayout>
                  <c:x val="0.20556597289665168"/>
                  <c:y val="0.3225808375859176"/>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258517732721738"/>
                      <c:h val="3.7189522863894202E-2"/>
                    </c:manualLayout>
                  </c15:layout>
                </c:ext>
                <c:ext xmlns:c16="http://schemas.microsoft.com/office/drawing/2014/chart" uri="{C3380CC4-5D6E-409C-BE32-E72D297353CC}">
                  <c16:uniqueId val="{0000000A-9012-4024-9563-59BC5BA1B4B8}"/>
                </c:ext>
              </c:extLst>
            </c:dLbl>
            <c:dLbl>
              <c:idx val="56"/>
              <c:layout>
                <c:manualLayout>
                  <c:x val="8.222643896268185E-2"/>
                  <c:y val="0.210166177908113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12-4024-9563-59BC5BA1B4B8}"/>
                </c:ext>
              </c:extLst>
            </c:dLbl>
            <c:dLbl>
              <c:idx val="57"/>
              <c:layout>
                <c:manualLayout>
                  <c:x val="0.17077798861480076"/>
                  <c:y val="-0.2688172043010752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12-4024-9563-59BC5BA1B4B8}"/>
                </c:ext>
              </c:extLst>
            </c:dLbl>
            <c:dLbl>
              <c:idx val="61"/>
              <c:layout>
                <c:manualLayout>
                  <c:x val="-5.6925996204933701E-2"/>
                  <c:y val="-5.8651026392961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12-4024-9563-59BC5BA1B4B8}"/>
                </c:ext>
              </c:extLst>
            </c:dLbl>
            <c:dLbl>
              <c:idx val="72"/>
              <c:layout>
                <c:manualLayout>
                  <c:x val="-1.8975207558258253E-2"/>
                  <c:y val="0.1368523949169110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321216014981047"/>
                      <c:h val="4.6311604744421614E-2"/>
                    </c:manualLayout>
                  </c15:layout>
                </c:ext>
                <c:ext xmlns:c16="http://schemas.microsoft.com/office/drawing/2014/chart" uri="{C3380CC4-5D6E-409C-BE32-E72D297353CC}">
                  <c16:uniqueId val="{0000000E-9012-4024-9563-59BC5BA1B4B8}"/>
                </c:ext>
              </c:extLst>
            </c:dLbl>
            <c:dLbl>
              <c:idx val="7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12-4024-9563-59BC5BA1B4B8}"/>
                </c:ext>
              </c:extLst>
            </c:dLbl>
            <c:dLbl>
              <c:idx val="79"/>
              <c:layout>
                <c:manualLayout>
                  <c:x val="0"/>
                  <c:y val="-1.955034213098733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161544323088646"/>
                      <c:h val="5.6086775809915258E-2"/>
                    </c:manualLayout>
                  </c15:layout>
                </c:ext>
                <c:ext xmlns:c16="http://schemas.microsoft.com/office/drawing/2014/chart" uri="{C3380CC4-5D6E-409C-BE32-E72D297353CC}">
                  <c16:uniqueId val="{00000010-9012-4024-9563-59BC5BA1B4B8}"/>
                </c:ext>
              </c:extLst>
            </c:dLbl>
            <c:dLbl>
              <c:idx val="80"/>
              <c:layout>
                <c:manualLayout>
                  <c:x val="1.2650221378874246E-2"/>
                  <c:y val="-4.887585532746827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012-4024-9563-59BC5BA1B4B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scatter'!$G$3:$G$83</c:f>
              <c:numCache>
                <c:formatCode>0.00</c:formatCode>
                <c:ptCount val="81"/>
                <c:pt idx="0">
                  <c:v>3</c:v>
                </c:pt>
                <c:pt idx="1">
                  <c:v>2.5</c:v>
                </c:pt>
                <c:pt idx="2">
                  <c:v>3.5</c:v>
                </c:pt>
                <c:pt idx="3">
                  <c:v>3</c:v>
                </c:pt>
                <c:pt idx="4">
                  <c:v>3.5</c:v>
                </c:pt>
                <c:pt idx="5">
                  <c:v>3.5</c:v>
                </c:pt>
                <c:pt idx="6">
                  <c:v>4</c:v>
                </c:pt>
                <c:pt idx="7">
                  <c:v>4</c:v>
                </c:pt>
                <c:pt idx="8">
                  <c:v>3.5</c:v>
                </c:pt>
                <c:pt idx="9">
                  <c:v>3</c:v>
                </c:pt>
                <c:pt idx="10">
                  <c:v>4</c:v>
                </c:pt>
                <c:pt idx="11">
                  <c:v>3.5</c:v>
                </c:pt>
                <c:pt idx="12">
                  <c:v>3.5</c:v>
                </c:pt>
                <c:pt idx="13">
                  <c:v>2.5</c:v>
                </c:pt>
                <c:pt idx="14">
                  <c:v>3</c:v>
                </c:pt>
                <c:pt idx="15">
                  <c:v>2.5</c:v>
                </c:pt>
                <c:pt idx="16">
                  <c:v>3</c:v>
                </c:pt>
                <c:pt idx="17">
                  <c:v>3</c:v>
                </c:pt>
                <c:pt idx="18">
                  <c:v>3.5</c:v>
                </c:pt>
                <c:pt idx="19">
                  <c:v>3.5</c:v>
                </c:pt>
                <c:pt idx="20">
                  <c:v>4</c:v>
                </c:pt>
                <c:pt idx="21">
                  <c:v>3.5</c:v>
                </c:pt>
                <c:pt idx="22">
                  <c:v>4</c:v>
                </c:pt>
                <c:pt idx="23">
                  <c:v>3</c:v>
                </c:pt>
                <c:pt idx="25">
                  <c:v>4</c:v>
                </c:pt>
                <c:pt idx="26">
                  <c:v>3</c:v>
                </c:pt>
                <c:pt idx="27">
                  <c:v>3.5</c:v>
                </c:pt>
                <c:pt idx="28">
                  <c:v>2.5</c:v>
                </c:pt>
                <c:pt idx="29">
                  <c:v>3.5</c:v>
                </c:pt>
                <c:pt idx="30">
                  <c:v>3.5</c:v>
                </c:pt>
                <c:pt idx="31">
                  <c:v>3.5</c:v>
                </c:pt>
                <c:pt idx="32">
                  <c:v>2.5</c:v>
                </c:pt>
                <c:pt idx="33">
                  <c:v>4</c:v>
                </c:pt>
                <c:pt idx="34">
                  <c:v>4</c:v>
                </c:pt>
                <c:pt idx="35">
                  <c:v>3.5</c:v>
                </c:pt>
                <c:pt idx="36">
                  <c:v>3.5</c:v>
                </c:pt>
                <c:pt idx="37">
                  <c:v>3.5</c:v>
                </c:pt>
                <c:pt idx="38">
                  <c:v>3.5</c:v>
                </c:pt>
                <c:pt idx="39">
                  <c:v>4</c:v>
                </c:pt>
                <c:pt idx="40">
                  <c:v>3.5</c:v>
                </c:pt>
                <c:pt idx="41">
                  <c:v>4</c:v>
                </c:pt>
                <c:pt idx="42">
                  <c:v>3.5</c:v>
                </c:pt>
                <c:pt idx="43">
                  <c:v>3.5</c:v>
                </c:pt>
                <c:pt idx="44">
                  <c:v>3.5</c:v>
                </c:pt>
                <c:pt idx="45">
                  <c:v>4</c:v>
                </c:pt>
                <c:pt idx="46">
                  <c:v>2.5</c:v>
                </c:pt>
                <c:pt idx="47">
                  <c:v>3.5</c:v>
                </c:pt>
                <c:pt idx="48">
                  <c:v>3.5</c:v>
                </c:pt>
                <c:pt idx="49">
                  <c:v>3.5</c:v>
                </c:pt>
                <c:pt idx="50">
                  <c:v>4</c:v>
                </c:pt>
                <c:pt idx="51">
                  <c:v>4</c:v>
                </c:pt>
                <c:pt idx="52">
                  <c:v>4</c:v>
                </c:pt>
                <c:pt idx="53">
                  <c:v>3.5</c:v>
                </c:pt>
                <c:pt idx="54">
                  <c:v>3</c:v>
                </c:pt>
                <c:pt idx="55">
                  <c:v>4</c:v>
                </c:pt>
                <c:pt idx="56">
                  <c:v>3.5</c:v>
                </c:pt>
                <c:pt idx="57">
                  <c:v>3</c:v>
                </c:pt>
                <c:pt idx="58">
                  <c:v>3.5</c:v>
                </c:pt>
                <c:pt idx="59">
                  <c:v>4</c:v>
                </c:pt>
                <c:pt idx="60">
                  <c:v>3</c:v>
                </c:pt>
                <c:pt idx="61">
                  <c:v>4</c:v>
                </c:pt>
                <c:pt idx="62">
                  <c:v>3</c:v>
                </c:pt>
                <c:pt idx="63">
                  <c:v>3</c:v>
                </c:pt>
                <c:pt idx="64">
                  <c:v>2</c:v>
                </c:pt>
                <c:pt idx="65">
                  <c:v>3.5</c:v>
                </c:pt>
                <c:pt idx="66">
                  <c:v>3</c:v>
                </c:pt>
                <c:pt idx="67">
                  <c:v>3</c:v>
                </c:pt>
                <c:pt idx="68">
                  <c:v>3</c:v>
                </c:pt>
                <c:pt idx="69">
                  <c:v>4</c:v>
                </c:pt>
                <c:pt idx="70">
                  <c:v>3</c:v>
                </c:pt>
                <c:pt idx="71">
                  <c:v>4</c:v>
                </c:pt>
                <c:pt idx="72">
                  <c:v>3.5</c:v>
                </c:pt>
                <c:pt idx="73">
                  <c:v>4</c:v>
                </c:pt>
                <c:pt idx="74">
                  <c:v>4</c:v>
                </c:pt>
                <c:pt idx="75">
                  <c:v>4</c:v>
                </c:pt>
                <c:pt idx="76">
                  <c:v>3.5</c:v>
                </c:pt>
                <c:pt idx="77">
                  <c:v>4.5</c:v>
                </c:pt>
                <c:pt idx="78">
                  <c:v>3</c:v>
                </c:pt>
                <c:pt idx="79">
                  <c:v>3.5</c:v>
                </c:pt>
                <c:pt idx="80">
                  <c:v>4</c:v>
                </c:pt>
              </c:numCache>
            </c:numRef>
          </c:yVal>
          <c:smooth val="0"/>
          <c:extLst>
            <c:ext xmlns:c16="http://schemas.microsoft.com/office/drawing/2014/chart" uri="{C3380CC4-5D6E-409C-BE32-E72D297353CC}">
              <c16:uniqueId val="{00000012-9012-4024-9563-59BC5BA1B4B8}"/>
            </c:ext>
          </c:extLst>
        </c:ser>
        <c:dLbls>
          <c:showLegendKey val="0"/>
          <c:showVal val="0"/>
          <c:showCatName val="0"/>
          <c:showSerName val="0"/>
          <c:showPercent val="0"/>
          <c:showBubbleSize val="0"/>
        </c:dLbls>
        <c:axId val="1666876832"/>
        <c:axId val="1666853536"/>
      </c:scatterChart>
      <c:valAx>
        <c:axId val="1666876832"/>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53536"/>
        <c:crosses val="autoZero"/>
        <c:crossBetween val="midCat"/>
      </c:valAx>
      <c:valAx>
        <c:axId val="1666853536"/>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76832"/>
        <c:crosses val="autoZero"/>
        <c:crossBetween val="midCat"/>
      </c:valAx>
      <c:spPr>
        <a:noFill/>
        <a:ln>
          <a:noFill/>
        </a:ln>
        <a:effectLst/>
      </c:spPr>
    </c:plotArea>
    <c:plotVisOnly val="1"/>
    <c:dispBlanksAs val="gap"/>
    <c:showDLblsOverMax val="0"/>
  </c:chart>
  <c:spPr>
    <a:gradFill flip="none" rotWithShape="1">
      <a:gsLst>
        <a:gs pos="0">
          <a:srgbClr val="FF33CC">
            <a:tint val="66000"/>
            <a:satMod val="160000"/>
          </a:srgbClr>
        </a:gs>
        <a:gs pos="50000">
          <a:srgbClr val="FF33CC">
            <a:tint val="44500"/>
            <a:satMod val="160000"/>
          </a:srgbClr>
        </a:gs>
        <a:gs pos="100000">
          <a:srgbClr val="FF33CC">
            <a:tint val="23500"/>
            <a:satMod val="160000"/>
          </a:srgbClr>
        </a:gs>
      </a:gsLst>
      <a:lin ang="27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CPIA quality of budgetary and financial management rating </a:t>
            </a:r>
            <a:r>
              <a:rPr lang="en-US" sz="1000"/>
              <a:t>(1=low to 6=high)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'CPIA scatter'!$Q$2</c:f>
              <c:strCache>
                <c:ptCount val="1"/>
                <c:pt idx="0">
                  <c:v>CPIA quality of budgetary and financial management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2"/>
              <c:layout>
                <c:manualLayout>
                  <c:x val="-6.3251106894370648E-2"/>
                  <c:y val="-4.88758553274682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83-41C3-9188-764455A63B70}"/>
                </c:ext>
              </c:extLst>
            </c:dLbl>
            <c:dLbl>
              <c:idx val="3"/>
              <c:layout>
                <c:manualLayout>
                  <c:x val="-3.478810879190386E-2"/>
                  <c:y val="0.20039100684261965"/>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C983-41C3-9188-764455A63B70}"/>
                </c:ext>
              </c:extLst>
            </c:dLbl>
            <c:dLbl>
              <c:idx val="5"/>
              <c:layout>
                <c:manualLayout>
                  <c:x val="-4.4275774826059468E-2"/>
                  <c:y val="0.16129051500527244"/>
                </c:manualLayout>
              </c:layout>
              <c:showLegendKey val="0"/>
              <c:showVal val="1"/>
              <c:showCatName val="1"/>
              <c:showSerName val="0"/>
              <c:showPercent val="0"/>
              <c:showBubbleSize val="0"/>
              <c:extLst>
                <c:ext xmlns:c15="http://schemas.microsoft.com/office/drawing/2012/chart" uri="{CE6537A1-D6FC-4f65-9D91-7224C49458BB}">
                  <c15:layout>
                    <c:manualLayout>
                      <c:w val="0.14967652288245753"/>
                      <c:h val="5.4730951886146184E-2"/>
                    </c:manualLayout>
                  </c15:layout>
                </c:ext>
                <c:ext xmlns:c16="http://schemas.microsoft.com/office/drawing/2014/chart" uri="{C3380CC4-5D6E-409C-BE32-E72D297353CC}">
                  <c16:uniqueId val="{00000002-C983-41C3-9188-764455A63B70}"/>
                </c:ext>
              </c:extLst>
            </c:dLbl>
            <c:dLbl>
              <c:idx val="8"/>
              <c:layout>
                <c:manualLayout>
                  <c:x val="3.1625553447185324E-2"/>
                  <c:y val="-7.3313782991202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83-41C3-9188-764455A63B70}"/>
                </c:ext>
              </c:extLst>
            </c:dLbl>
            <c:dLbl>
              <c:idx val="21"/>
              <c:layout>
                <c:manualLayout>
                  <c:x val="-9.4876660341555979E-2"/>
                  <c:y val="0.1612903225806452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83-41C3-9188-764455A63B70}"/>
                </c:ext>
              </c:extLst>
            </c:dLbl>
            <c:dLbl>
              <c:idx val="2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83-41C3-9188-764455A63B70}"/>
                </c:ext>
              </c:extLst>
            </c:dLbl>
            <c:dLbl>
              <c:idx val="28"/>
              <c:layout>
                <c:manualLayout>
                  <c:x val="0"/>
                  <c:y val="0.1319648093841642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83-41C3-9188-764455A63B70}"/>
                </c:ext>
              </c:extLst>
            </c:dLbl>
            <c:dLbl>
              <c:idx val="32"/>
              <c:layout>
                <c:manualLayout>
                  <c:x val="9.4876660341555973E-3"/>
                  <c:y val="7.82013685239491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83-41C3-9188-764455A63B70}"/>
                </c:ext>
              </c:extLst>
            </c:dLbl>
            <c:dLbl>
              <c:idx val="37"/>
              <c:layout>
                <c:manualLayout>
                  <c:x val="-3.7950664136622451E-2"/>
                  <c:y val="-0.102639296187683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83-41C3-9188-764455A63B70}"/>
                </c:ext>
              </c:extLst>
            </c:dLbl>
            <c:dLbl>
              <c:idx val="38"/>
              <c:layout>
                <c:manualLayout>
                  <c:x val="0.11385199240986706"/>
                  <c:y val="-0.19061583577712615"/>
                </c:manualLayout>
              </c:layout>
              <c:showLegendKey val="0"/>
              <c:showVal val="1"/>
              <c:showCatName val="1"/>
              <c:showSerName val="0"/>
              <c:showPercent val="0"/>
              <c:showBubbleSize val="0"/>
              <c:extLst>
                <c:ext xmlns:c15="http://schemas.microsoft.com/office/drawing/2012/chart" uri="{CE6537A1-D6FC-4f65-9D91-7224C49458BB}">
                  <c15:layout>
                    <c:manualLayout>
                      <c:w val="0.17166350411132195"/>
                      <c:h val="4.4955780820652554E-2"/>
                    </c:manualLayout>
                  </c15:layout>
                </c:ext>
                <c:ext xmlns:c16="http://schemas.microsoft.com/office/drawing/2014/chart" uri="{C3380CC4-5D6E-409C-BE32-E72D297353CC}">
                  <c16:uniqueId val="{00000009-C983-41C3-9188-764455A63B70}"/>
                </c:ext>
              </c:extLst>
            </c:dLbl>
            <c:dLbl>
              <c:idx val="47"/>
              <c:layout>
                <c:manualLayout>
                  <c:x val="0.31625553447185301"/>
                  <c:y val="0.1319648093841641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83-41C3-9188-764455A63B70}"/>
                </c:ext>
              </c:extLst>
            </c:dLbl>
            <c:dLbl>
              <c:idx val="5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83-41C3-9188-764455A63B70}"/>
                </c:ext>
              </c:extLst>
            </c:dLbl>
            <c:dLbl>
              <c:idx val="58"/>
              <c:layout>
                <c:manualLayout>
                  <c:x val="-9.4876660341556035E-2"/>
                  <c:y val="0.1173020527859237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983-41C3-9188-764455A63B70}"/>
                </c:ext>
              </c:extLst>
            </c:dLbl>
            <c:dLbl>
              <c:idx val="59"/>
              <c:layout>
                <c:manualLayout>
                  <c:x val="-2.2137887413029727E-2"/>
                  <c:y val="-5.8651026392961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83-41C3-9188-764455A63B70}"/>
                </c:ext>
              </c:extLst>
            </c:dLbl>
            <c:dLbl>
              <c:idx val="64"/>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983-41C3-9188-764455A63B70}"/>
                </c:ext>
              </c:extLst>
            </c:dLbl>
            <c:dLbl>
              <c:idx val="73"/>
              <c:layout>
                <c:manualLayout>
                  <c:x val="3.1625553447185324E-3"/>
                  <c:y val="-7.3313782991202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983-41C3-9188-764455A63B70}"/>
                </c:ext>
              </c:extLst>
            </c:dLbl>
            <c:dLbl>
              <c:idx val="77"/>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983-41C3-9188-764455A63B70}"/>
                </c:ext>
              </c:extLst>
            </c:dLbl>
            <c:dLbl>
              <c:idx val="7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983-41C3-9188-764455A63B70}"/>
                </c:ext>
              </c:extLst>
            </c:dLbl>
            <c:dLbl>
              <c:idx val="8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983-41C3-9188-764455A63B7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scatter'!$Q$3:$Q$83</c:f>
              <c:numCache>
                <c:formatCode>0.00</c:formatCode>
                <c:ptCount val="81"/>
                <c:pt idx="0">
                  <c:v>3.5</c:v>
                </c:pt>
                <c:pt idx="1">
                  <c:v>2.5</c:v>
                </c:pt>
                <c:pt idx="2">
                  <c:v>4.5</c:v>
                </c:pt>
                <c:pt idx="3">
                  <c:v>3</c:v>
                </c:pt>
                <c:pt idx="4">
                  <c:v>3.5</c:v>
                </c:pt>
                <c:pt idx="5">
                  <c:v>3.5</c:v>
                </c:pt>
                <c:pt idx="6">
                  <c:v>3</c:v>
                </c:pt>
                <c:pt idx="7">
                  <c:v>3.5</c:v>
                </c:pt>
                <c:pt idx="8">
                  <c:v>4</c:v>
                </c:pt>
                <c:pt idx="9">
                  <c:v>3</c:v>
                </c:pt>
                <c:pt idx="10">
                  <c:v>3.5</c:v>
                </c:pt>
                <c:pt idx="11">
                  <c:v>3</c:v>
                </c:pt>
                <c:pt idx="12">
                  <c:v>3</c:v>
                </c:pt>
                <c:pt idx="13">
                  <c:v>2.5</c:v>
                </c:pt>
                <c:pt idx="14">
                  <c:v>3</c:v>
                </c:pt>
                <c:pt idx="15">
                  <c:v>2.5</c:v>
                </c:pt>
                <c:pt idx="16">
                  <c:v>3</c:v>
                </c:pt>
                <c:pt idx="17">
                  <c:v>2.5</c:v>
                </c:pt>
                <c:pt idx="18">
                  <c:v>3</c:v>
                </c:pt>
                <c:pt idx="19">
                  <c:v>2.5</c:v>
                </c:pt>
                <c:pt idx="20">
                  <c:v>3.5</c:v>
                </c:pt>
                <c:pt idx="21">
                  <c:v>2</c:v>
                </c:pt>
                <c:pt idx="22">
                  <c:v>4</c:v>
                </c:pt>
                <c:pt idx="23">
                  <c:v>2.5</c:v>
                </c:pt>
                <c:pt idx="25">
                  <c:v>3.5</c:v>
                </c:pt>
                <c:pt idx="26">
                  <c:v>3</c:v>
                </c:pt>
                <c:pt idx="27">
                  <c:v>3</c:v>
                </c:pt>
                <c:pt idx="28">
                  <c:v>2</c:v>
                </c:pt>
                <c:pt idx="29">
                  <c:v>3</c:v>
                </c:pt>
                <c:pt idx="30">
                  <c:v>3.5</c:v>
                </c:pt>
                <c:pt idx="31">
                  <c:v>3.5</c:v>
                </c:pt>
                <c:pt idx="32">
                  <c:v>2.5</c:v>
                </c:pt>
                <c:pt idx="33">
                  <c:v>3.5</c:v>
                </c:pt>
                <c:pt idx="34">
                  <c:v>3.5</c:v>
                </c:pt>
                <c:pt idx="35">
                  <c:v>3.5</c:v>
                </c:pt>
                <c:pt idx="36">
                  <c:v>2.5</c:v>
                </c:pt>
                <c:pt idx="37">
                  <c:v>4</c:v>
                </c:pt>
                <c:pt idx="38">
                  <c:v>3.5</c:v>
                </c:pt>
                <c:pt idx="39">
                  <c:v>3</c:v>
                </c:pt>
                <c:pt idx="40">
                  <c:v>3</c:v>
                </c:pt>
                <c:pt idx="41">
                  <c:v>2.5</c:v>
                </c:pt>
                <c:pt idx="42">
                  <c:v>4</c:v>
                </c:pt>
                <c:pt idx="43">
                  <c:v>4</c:v>
                </c:pt>
                <c:pt idx="44">
                  <c:v>2.5</c:v>
                </c:pt>
                <c:pt idx="45">
                  <c:v>2.5</c:v>
                </c:pt>
                <c:pt idx="46">
                  <c:v>2.5</c:v>
                </c:pt>
                <c:pt idx="47">
                  <c:v>3.5</c:v>
                </c:pt>
                <c:pt idx="48">
                  <c:v>3.5</c:v>
                </c:pt>
                <c:pt idx="49">
                  <c:v>3.5</c:v>
                </c:pt>
                <c:pt idx="50">
                  <c:v>4</c:v>
                </c:pt>
                <c:pt idx="51">
                  <c:v>3</c:v>
                </c:pt>
                <c:pt idx="52">
                  <c:v>3</c:v>
                </c:pt>
                <c:pt idx="53">
                  <c:v>3.5</c:v>
                </c:pt>
                <c:pt idx="54">
                  <c:v>3</c:v>
                </c:pt>
                <c:pt idx="55">
                  <c:v>3.5</c:v>
                </c:pt>
                <c:pt idx="56">
                  <c:v>3</c:v>
                </c:pt>
                <c:pt idx="57">
                  <c:v>3.5</c:v>
                </c:pt>
                <c:pt idx="58">
                  <c:v>3</c:v>
                </c:pt>
                <c:pt idx="59">
                  <c:v>4</c:v>
                </c:pt>
                <c:pt idx="60">
                  <c:v>2.5</c:v>
                </c:pt>
                <c:pt idx="61">
                  <c:v>3.5</c:v>
                </c:pt>
                <c:pt idx="62">
                  <c:v>2.5</c:v>
                </c:pt>
                <c:pt idx="63">
                  <c:v>3.5</c:v>
                </c:pt>
                <c:pt idx="64">
                  <c:v>1.5</c:v>
                </c:pt>
                <c:pt idx="65">
                  <c:v>3</c:v>
                </c:pt>
                <c:pt idx="66">
                  <c:v>2.5</c:v>
                </c:pt>
                <c:pt idx="67">
                  <c:v>3.5</c:v>
                </c:pt>
                <c:pt idx="68">
                  <c:v>3</c:v>
                </c:pt>
                <c:pt idx="69">
                  <c:v>3.5</c:v>
                </c:pt>
                <c:pt idx="70">
                  <c:v>3.5</c:v>
                </c:pt>
                <c:pt idx="71">
                  <c:v>3</c:v>
                </c:pt>
                <c:pt idx="72">
                  <c:v>3.5</c:v>
                </c:pt>
                <c:pt idx="73">
                  <c:v>4</c:v>
                </c:pt>
                <c:pt idx="74">
                  <c:v>3</c:v>
                </c:pt>
                <c:pt idx="75">
                  <c:v>3.5</c:v>
                </c:pt>
                <c:pt idx="76">
                  <c:v>3.5</c:v>
                </c:pt>
                <c:pt idx="77">
                  <c:v>4</c:v>
                </c:pt>
                <c:pt idx="78">
                  <c:v>3</c:v>
                </c:pt>
                <c:pt idx="79">
                  <c:v>3.5</c:v>
                </c:pt>
                <c:pt idx="80">
                  <c:v>3.5</c:v>
                </c:pt>
              </c:numCache>
            </c:numRef>
          </c:yVal>
          <c:smooth val="0"/>
          <c:extLst>
            <c:ext xmlns:c16="http://schemas.microsoft.com/office/drawing/2014/chart" uri="{C3380CC4-5D6E-409C-BE32-E72D297353CC}">
              <c16:uniqueId val="{00000013-C983-41C3-9188-764455A63B70}"/>
            </c:ext>
          </c:extLst>
        </c:ser>
        <c:dLbls>
          <c:showLegendKey val="0"/>
          <c:showVal val="0"/>
          <c:showCatName val="0"/>
          <c:showSerName val="0"/>
          <c:showPercent val="0"/>
          <c:showBubbleSize val="0"/>
        </c:dLbls>
        <c:axId val="1666856864"/>
        <c:axId val="1666871008"/>
      </c:scatterChart>
      <c:valAx>
        <c:axId val="1666856864"/>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71008"/>
        <c:crosses val="autoZero"/>
        <c:crossBetween val="midCat"/>
      </c:valAx>
      <c:valAx>
        <c:axId val="1666871008"/>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56864"/>
        <c:crosses val="autoZero"/>
        <c:crossBetween val="midCat"/>
      </c:valAx>
      <c:spPr>
        <a:noFill/>
        <a:ln>
          <a:noFill/>
        </a:ln>
        <a:effectLst/>
      </c:spPr>
    </c:plotArea>
    <c:plotVisOnly val="1"/>
    <c:dispBlanksAs val="gap"/>
    <c:showDLblsOverMax val="0"/>
  </c:chart>
  <c:spPr>
    <a:gradFill flip="none" rotWithShape="1">
      <a:gsLst>
        <a:gs pos="0">
          <a:srgbClr val="FF33CC">
            <a:tint val="66000"/>
            <a:satMod val="160000"/>
          </a:srgbClr>
        </a:gs>
        <a:gs pos="50000">
          <a:srgbClr val="FF33CC">
            <a:tint val="44500"/>
            <a:satMod val="160000"/>
          </a:srgbClr>
        </a:gs>
        <a:gs pos="100000">
          <a:srgbClr val="FF33CC">
            <a:tint val="23500"/>
            <a:satMod val="160000"/>
          </a:srgbClr>
        </a:gs>
      </a:gsLst>
      <a:lin ang="54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CPIA equity of public resource use rating </a:t>
            </a:r>
            <a:r>
              <a:rPr lang="en-US" sz="1000"/>
              <a:t>(1=low to 6=high)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'CPIA scatter'!$H$2</c:f>
              <c:strCache>
                <c:ptCount val="1"/>
                <c:pt idx="0">
                  <c:v>CPIA equity of public resource use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2"/>
              <c:layout>
                <c:manualLayout>
                  <c:x val="-3.7807183364839334E-2"/>
                  <c:y val="-8.854166666666668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04-455B-B46E-01DF066D4D05}"/>
                </c:ext>
              </c:extLst>
            </c:dLbl>
            <c:dLbl>
              <c:idx val="3"/>
              <c:layout>
                <c:manualLayout>
                  <c:x val="-5.0409577819785771E-2"/>
                  <c:y val="0.3125"/>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C704-455B-B46E-01DF066D4D05}"/>
                </c:ext>
              </c:extLst>
            </c:dLbl>
            <c:dLbl>
              <c:idx val="5"/>
              <c:layout>
                <c:manualLayout>
                  <c:x val="-9.4517958412098299E-3"/>
                  <c:y val="1.04166666666666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04-455B-B46E-01DF066D4D05}"/>
                </c:ext>
              </c:extLst>
            </c:dLbl>
            <c:dLbl>
              <c:idx val="12"/>
              <c:layout>
                <c:manualLayout>
                  <c:x val="0.59231253938248263"/>
                  <c:y val="0.1302083333333334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04-455B-B46E-01DF066D4D05}"/>
                </c:ext>
              </c:extLst>
            </c:dLbl>
            <c:dLbl>
              <c:idx val="20"/>
              <c:layout>
                <c:manualLayout>
                  <c:x val="3.1505986137366097E-2"/>
                  <c:y val="0.29687520505249354"/>
                </c:manualLayout>
              </c:layout>
              <c:showLegendKey val="0"/>
              <c:showVal val="1"/>
              <c:showCatName val="1"/>
              <c:showSerName val="0"/>
              <c:showPercent val="0"/>
              <c:showBubbleSize val="0"/>
              <c:extLst>
                <c:ext xmlns:c15="http://schemas.microsoft.com/office/drawing/2012/chart" uri="{CE6537A1-D6FC-4f65-9D91-7224C49458BB}">
                  <c15:layout>
                    <c:manualLayout>
                      <c:w val="0.17672501476067853"/>
                      <c:h val="6.4162155511811009E-2"/>
                    </c:manualLayout>
                  </c15:layout>
                </c:ext>
                <c:ext xmlns:c16="http://schemas.microsoft.com/office/drawing/2014/chart" uri="{C3380CC4-5D6E-409C-BE32-E72D297353CC}">
                  <c16:uniqueId val="{00000004-C704-455B-B46E-01DF066D4D05}"/>
                </c:ext>
              </c:extLst>
            </c:dLbl>
            <c:dLbl>
              <c:idx val="22"/>
              <c:layout>
                <c:manualLayout>
                  <c:x val="-0.12917454316320101"/>
                  <c:y val="0.2968749999999998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04-455B-B46E-01DF066D4D05}"/>
                </c:ext>
              </c:extLst>
            </c:dLbl>
            <c:dLbl>
              <c:idx val="29"/>
              <c:layout>
                <c:manualLayout>
                  <c:x val="-0.14177693761814747"/>
                  <c:y val="-0.1718747949475065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253590938183768"/>
                      <c:h val="4.8537155511811016E-2"/>
                    </c:manualLayout>
                  </c15:layout>
                </c:ext>
                <c:ext xmlns:c16="http://schemas.microsoft.com/office/drawing/2014/chart" uri="{C3380CC4-5D6E-409C-BE32-E72D297353CC}">
                  <c16:uniqueId val="{00000006-C704-455B-B46E-01DF066D4D05}"/>
                </c:ext>
              </c:extLst>
            </c:dLbl>
            <c:dLbl>
              <c:idx val="33"/>
              <c:layout>
                <c:manualLayout>
                  <c:x val="0.4473850031505987"/>
                  <c:y val="0.1718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04-455B-B46E-01DF066D4D05}"/>
                </c:ext>
              </c:extLst>
            </c:dLbl>
            <c:dLbl>
              <c:idx val="35"/>
              <c:layout>
                <c:manualLayout>
                  <c:x val="-1.8903591682419719E-2"/>
                  <c:y val="-0.12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04-455B-B46E-01DF066D4D05}"/>
                </c:ext>
              </c:extLst>
            </c:dLbl>
            <c:dLbl>
              <c:idx val="42"/>
              <c:layout>
                <c:manualLayout>
                  <c:x val="-0.14807813484562071"/>
                  <c:y val="0.1406249999999999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04-455B-B46E-01DF066D4D05}"/>
                </c:ext>
              </c:extLst>
            </c:dLbl>
            <c:dLbl>
              <c:idx val="44"/>
              <c:layout>
                <c:manualLayout>
                  <c:x val="-5.7760307333171986E-17"/>
                  <c:y val="0.2239583333333332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04-455B-B46E-01DF066D4D05}"/>
                </c:ext>
              </c:extLst>
            </c:dLbl>
            <c:dLbl>
              <c:idx val="55"/>
              <c:layout>
                <c:manualLayout>
                  <c:x val="0.14492753623188395"/>
                  <c:y val="0.3645833333333332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04-455B-B46E-01DF066D4D05}"/>
                </c:ext>
              </c:extLst>
            </c:dLbl>
            <c:dLbl>
              <c:idx val="56"/>
              <c:layout>
                <c:manualLayout>
                  <c:x val="0.23944549464398235"/>
                  <c:y val="-3.64583333333333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04-455B-B46E-01DF066D4D05}"/>
                </c:ext>
              </c:extLst>
            </c:dLbl>
            <c:dLbl>
              <c:idx val="59"/>
              <c:layout>
                <c:manualLayout>
                  <c:x val="-3.780718336483932E-2"/>
                  <c:y val="-7.812500000000002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04-455B-B46E-01DF066D4D05}"/>
                </c:ext>
              </c:extLst>
            </c:dLbl>
            <c:dLbl>
              <c:idx val="75"/>
              <c:layout>
                <c:manualLayout>
                  <c:x val="-3.1505986137367256E-3"/>
                  <c:y val="-0.1145833333333333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04-455B-B46E-01DF066D4D05}"/>
                </c:ext>
              </c:extLst>
            </c:dLbl>
            <c:dLbl>
              <c:idx val="77"/>
              <c:layout>
                <c:manualLayout>
                  <c:x val="4.7258979206049032E-2"/>
                  <c:y val="-4.166666666666671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704-455B-B46E-01DF066D4D05}"/>
                </c:ext>
              </c:extLst>
            </c:dLbl>
            <c:dLbl>
              <c:idx val="79"/>
              <c:layout>
                <c:manualLayout>
                  <c:x val="4.0957781978575927E-2"/>
                  <c:y val="3.64583333333333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704-455B-B46E-01DF066D4D0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scatter'!$H$3:$H$83</c:f>
              <c:numCache>
                <c:formatCode>0.00</c:formatCode>
                <c:ptCount val="81"/>
                <c:pt idx="0">
                  <c:v>3</c:v>
                </c:pt>
                <c:pt idx="1">
                  <c:v>2.5</c:v>
                </c:pt>
                <c:pt idx="2">
                  <c:v>4.5</c:v>
                </c:pt>
                <c:pt idx="3">
                  <c:v>3.5</c:v>
                </c:pt>
                <c:pt idx="4">
                  <c:v>3.5</c:v>
                </c:pt>
                <c:pt idx="5">
                  <c:v>4.5</c:v>
                </c:pt>
                <c:pt idx="6">
                  <c:v>4</c:v>
                </c:pt>
                <c:pt idx="7">
                  <c:v>3.5</c:v>
                </c:pt>
                <c:pt idx="8">
                  <c:v>4</c:v>
                </c:pt>
                <c:pt idx="9">
                  <c:v>4</c:v>
                </c:pt>
                <c:pt idx="10">
                  <c:v>3.5</c:v>
                </c:pt>
                <c:pt idx="11">
                  <c:v>3.5</c:v>
                </c:pt>
                <c:pt idx="12">
                  <c:v>3</c:v>
                </c:pt>
                <c:pt idx="13">
                  <c:v>2</c:v>
                </c:pt>
                <c:pt idx="14">
                  <c:v>2.5</c:v>
                </c:pt>
                <c:pt idx="15">
                  <c:v>2.5</c:v>
                </c:pt>
                <c:pt idx="16">
                  <c:v>3.5</c:v>
                </c:pt>
                <c:pt idx="17">
                  <c:v>3</c:v>
                </c:pt>
                <c:pt idx="18">
                  <c:v>3</c:v>
                </c:pt>
                <c:pt idx="19">
                  <c:v>3</c:v>
                </c:pt>
                <c:pt idx="20">
                  <c:v>3</c:v>
                </c:pt>
                <c:pt idx="21">
                  <c:v>2.5</c:v>
                </c:pt>
                <c:pt idx="22">
                  <c:v>4</c:v>
                </c:pt>
                <c:pt idx="23">
                  <c:v>3</c:v>
                </c:pt>
                <c:pt idx="25">
                  <c:v>3.5</c:v>
                </c:pt>
                <c:pt idx="26">
                  <c:v>3</c:v>
                </c:pt>
                <c:pt idx="27">
                  <c:v>3</c:v>
                </c:pt>
                <c:pt idx="28">
                  <c:v>2</c:v>
                </c:pt>
                <c:pt idx="29">
                  <c:v>3.5</c:v>
                </c:pt>
                <c:pt idx="30">
                  <c:v>3</c:v>
                </c:pt>
                <c:pt idx="31">
                  <c:v>4.5</c:v>
                </c:pt>
                <c:pt idx="32">
                  <c:v>3</c:v>
                </c:pt>
                <c:pt idx="33">
                  <c:v>4</c:v>
                </c:pt>
                <c:pt idx="34">
                  <c:v>4</c:v>
                </c:pt>
                <c:pt idx="35">
                  <c:v>4</c:v>
                </c:pt>
                <c:pt idx="36">
                  <c:v>3.5</c:v>
                </c:pt>
                <c:pt idx="37">
                  <c:v>3</c:v>
                </c:pt>
                <c:pt idx="38">
                  <c:v>3.5</c:v>
                </c:pt>
                <c:pt idx="39">
                  <c:v>3</c:v>
                </c:pt>
                <c:pt idx="40">
                  <c:v>3.5</c:v>
                </c:pt>
                <c:pt idx="41">
                  <c:v>4</c:v>
                </c:pt>
                <c:pt idx="42">
                  <c:v>3.5</c:v>
                </c:pt>
                <c:pt idx="43">
                  <c:v>3.5</c:v>
                </c:pt>
                <c:pt idx="44">
                  <c:v>3</c:v>
                </c:pt>
                <c:pt idx="45">
                  <c:v>3</c:v>
                </c:pt>
                <c:pt idx="46">
                  <c:v>2</c:v>
                </c:pt>
                <c:pt idx="47">
                  <c:v>3.5</c:v>
                </c:pt>
                <c:pt idx="48">
                  <c:v>2.5</c:v>
                </c:pt>
                <c:pt idx="49">
                  <c:v>3.5</c:v>
                </c:pt>
                <c:pt idx="50">
                  <c:v>3</c:v>
                </c:pt>
                <c:pt idx="51">
                  <c:v>4</c:v>
                </c:pt>
                <c:pt idx="52">
                  <c:v>3.5</c:v>
                </c:pt>
                <c:pt idx="53">
                  <c:v>4</c:v>
                </c:pt>
                <c:pt idx="54">
                  <c:v>3.5</c:v>
                </c:pt>
                <c:pt idx="55">
                  <c:v>4</c:v>
                </c:pt>
                <c:pt idx="56">
                  <c:v>4</c:v>
                </c:pt>
                <c:pt idx="57">
                  <c:v>3.5</c:v>
                </c:pt>
                <c:pt idx="58">
                  <c:v>3.5</c:v>
                </c:pt>
                <c:pt idx="59">
                  <c:v>4.5</c:v>
                </c:pt>
                <c:pt idx="60">
                  <c:v>2.5</c:v>
                </c:pt>
                <c:pt idx="61">
                  <c:v>3.5</c:v>
                </c:pt>
                <c:pt idx="62">
                  <c:v>2.5</c:v>
                </c:pt>
                <c:pt idx="63">
                  <c:v>3.5</c:v>
                </c:pt>
                <c:pt idx="64">
                  <c:v>2</c:v>
                </c:pt>
                <c:pt idx="65">
                  <c:v>3</c:v>
                </c:pt>
                <c:pt idx="66">
                  <c:v>3.5</c:v>
                </c:pt>
                <c:pt idx="67">
                  <c:v>3.5</c:v>
                </c:pt>
                <c:pt idx="68">
                  <c:v>3.5</c:v>
                </c:pt>
                <c:pt idx="69">
                  <c:v>4</c:v>
                </c:pt>
                <c:pt idx="70">
                  <c:v>3</c:v>
                </c:pt>
                <c:pt idx="71">
                  <c:v>4</c:v>
                </c:pt>
                <c:pt idx="72">
                  <c:v>4</c:v>
                </c:pt>
                <c:pt idx="73">
                  <c:v>3.5</c:v>
                </c:pt>
                <c:pt idx="74">
                  <c:v>3</c:v>
                </c:pt>
                <c:pt idx="75">
                  <c:v>4.5</c:v>
                </c:pt>
                <c:pt idx="76">
                  <c:v>3.5</c:v>
                </c:pt>
                <c:pt idx="77">
                  <c:v>4.5</c:v>
                </c:pt>
                <c:pt idx="78">
                  <c:v>3</c:v>
                </c:pt>
                <c:pt idx="79">
                  <c:v>3.5</c:v>
                </c:pt>
                <c:pt idx="80">
                  <c:v>3</c:v>
                </c:pt>
              </c:numCache>
            </c:numRef>
          </c:yVal>
          <c:smooth val="0"/>
          <c:extLst>
            <c:ext xmlns:c16="http://schemas.microsoft.com/office/drawing/2014/chart" uri="{C3380CC4-5D6E-409C-BE32-E72D297353CC}">
              <c16:uniqueId val="{00000011-C704-455B-B46E-01DF066D4D05}"/>
            </c:ext>
          </c:extLst>
        </c:ser>
        <c:dLbls>
          <c:showLegendKey val="0"/>
          <c:showVal val="0"/>
          <c:showCatName val="0"/>
          <c:showSerName val="0"/>
          <c:showPercent val="0"/>
          <c:showBubbleSize val="0"/>
        </c:dLbls>
        <c:axId val="1666859360"/>
        <c:axId val="1666859776"/>
      </c:scatterChart>
      <c:valAx>
        <c:axId val="1666859360"/>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59776"/>
        <c:crosses val="autoZero"/>
        <c:crossBetween val="midCat"/>
      </c:valAx>
      <c:valAx>
        <c:axId val="1666859776"/>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59360"/>
        <c:crosses val="autoZero"/>
        <c:crossBetween val="midCat"/>
      </c:valAx>
      <c:spPr>
        <a:noFill/>
        <a:ln>
          <a:noFill/>
        </a:ln>
        <a:effectLst/>
      </c:spPr>
    </c:plotArea>
    <c:plotVisOnly val="1"/>
    <c:dispBlanksAs val="gap"/>
    <c:showDLblsOverMax val="0"/>
  </c:chart>
  <c:spPr>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54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CPIA fiscal policy rating</a:t>
            </a:r>
            <a:r>
              <a:rPr lang="en-US" b="1"/>
              <a:t> </a:t>
            </a:r>
          </a:p>
          <a:p>
            <a:pPr>
              <a:defRPr/>
            </a:pPr>
            <a:r>
              <a:rPr lang="en-US" sz="1000"/>
              <a:t>(1=low to 6=high)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'CPIA scatter'!$J$2</c:f>
              <c:strCache>
                <c:ptCount val="1"/>
                <c:pt idx="0">
                  <c:v>CPIA fiscal policy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2"/>
              <c:layout>
                <c:manualLayout>
                  <c:x val="-3.1387319522912741E-3"/>
                  <c:y val="-7.291666666666667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298436565485812"/>
                      <c:h val="5.4559137139107615E-2"/>
                    </c:manualLayout>
                  </c15:layout>
                </c:ext>
                <c:ext xmlns:c16="http://schemas.microsoft.com/office/drawing/2014/chart" uri="{C3380CC4-5D6E-409C-BE32-E72D297353CC}">
                  <c16:uniqueId val="{00000000-1F95-4B8F-BC56-FBB26C79FAA5}"/>
                </c:ext>
              </c:extLst>
            </c:dLbl>
            <c:dLbl>
              <c:idx val="3"/>
              <c:layout>
                <c:manualLayout>
                  <c:x val="-3.1387195950788656E-2"/>
                  <c:y val="0.2968749999999999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339180766246022"/>
                      <c:h val="5.1673638451443571E-2"/>
                    </c:manualLayout>
                  </c15:layout>
                </c:ext>
                <c:ext xmlns:c16="http://schemas.microsoft.com/office/drawing/2014/chart" uri="{C3380CC4-5D6E-409C-BE32-E72D297353CC}">
                  <c16:uniqueId val="{00000001-1F95-4B8F-BC56-FBB26C79FAA5}"/>
                </c:ext>
              </c:extLst>
            </c:dLbl>
            <c:dLbl>
              <c:idx val="5"/>
              <c:layout>
                <c:manualLayout>
                  <c:x val="-9.4161958568738224E-3"/>
                  <c:y val="-0.1119791666666667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560023923563227"/>
                      <c:h val="5.4559137139107615E-2"/>
                    </c:manualLayout>
                  </c15:layout>
                </c:ext>
                <c:ext xmlns:c16="http://schemas.microsoft.com/office/drawing/2014/chart" uri="{C3380CC4-5D6E-409C-BE32-E72D297353CC}">
                  <c16:uniqueId val="{00000002-1F95-4B8F-BC56-FBB26C79FAA5}"/>
                </c:ext>
              </c:extLst>
            </c:dLbl>
            <c:dLbl>
              <c:idx val="12"/>
              <c:layout>
                <c:manualLayout>
                  <c:x val="0.1098556183301946"/>
                  <c:y val="-0.2760416666666666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95-4B8F-BC56-FBB26C79FAA5}"/>
                </c:ext>
              </c:extLst>
            </c:dLbl>
            <c:dLbl>
              <c:idx val="21"/>
              <c:layout>
                <c:manualLayout>
                  <c:x val="1.2554927809165096E-2"/>
                  <c:y val="4.166666666666666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078290354948568"/>
                      <c:h val="3.8934137139107615E-2"/>
                    </c:manualLayout>
                  </c15:layout>
                </c:ext>
                <c:ext xmlns:c16="http://schemas.microsoft.com/office/drawing/2014/chart" uri="{C3380CC4-5D6E-409C-BE32-E72D297353CC}">
                  <c16:uniqueId val="{00000004-1F95-4B8F-BC56-FBB26C79FAA5}"/>
                </c:ext>
              </c:extLst>
            </c:dLbl>
            <c:dLbl>
              <c:idx val="27"/>
              <c:layout>
                <c:manualLayout>
                  <c:x val="0.15693659761456366"/>
                  <c:y val="0.1302083333333333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95-4B8F-BC56-FBB26C79FAA5}"/>
                </c:ext>
              </c:extLst>
            </c:dLbl>
            <c:dLbl>
              <c:idx val="33"/>
              <c:layout>
                <c:manualLayout>
                  <c:x val="-5.6497175141242938E-2"/>
                  <c:y val="0.1614583333333333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179827097883951"/>
                      <c:h val="4.9350803805774286E-2"/>
                    </c:manualLayout>
                  </c15:layout>
                </c:ext>
                <c:ext xmlns:c16="http://schemas.microsoft.com/office/drawing/2014/chart" uri="{C3380CC4-5D6E-409C-BE32-E72D297353CC}">
                  <c16:uniqueId val="{00000006-1F95-4B8F-BC56-FBB26C79FAA5}"/>
                </c:ext>
              </c:extLst>
            </c:dLbl>
            <c:dLbl>
              <c:idx val="34"/>
              <c:layout>
                <c:manualLayout>
                  <c:x val="-1.2554927809165155E-2"/>
                  <c:y val="-7.0312500000000042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764516017418725"/>
                      <c:h val="5.4559137139107615E-2"/>
                    </c:manualLayout>
                  </c15:layout>
                </c:ext>
                <c:ext xmlns:c16="http://schemas.microsoft.com/office/drawing/2014/chart" uri="{C3380CC4-5D6E-409C-BE32-E72D297353CC}">
                  <c16:uniqueId val="{00000007-1F95-4B8F-BC56-FBB26C79FAA5}"/>
                </c:ext>
              </c:extLst>
            </c:dLbl>
            <c:dLbl>
              <c:idx val="38"/>
              <c:layout>
                <c:manualLayout>
                  <c:x val="0.36095417451349654"/>
                  <c:y val="7.812499999999991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017873472030686"/>
                      <c:h val="4.9350803805774286E-2"/>
                    </c:manualLayout>
                  </c15:layout>
                </c:ext>
                <c:ext xmlns:c16="http://schemas.microsoft.com/office/drawing/2014/chart" uri="{C3380CC4-5D6E-409C-BE32-E72D297353CC}">
                  <c16:uniqueId val="{00000008-1F95-4B8F-BC56-FBB26C79FAA5}"/>
                </c:ext>
              </c:extLst>
            </c:dLbl>
            <c:dLbl>
              <c:idx val="42"/>
              <c:layout>
                <c:manualLayout>
                  <c:x val="4.0803515379786506E-2"/>
                  <c:y val="6.510416666666667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48853497832545"/>
                      <c:h val="4.4142470472440944E-2"/>
                    </c:manualLayout>
                  </c15:layout>
                </c:ext>
                <c:ext xmlns:c16="http://schemas.microsoft.com/office/drawing/2014/chart" uri="{C3380CC4-5D6E-409C-BE32-E72D297353CC}">
                  <c16:uniqueId val="{00000009-1F95-4B8F-BC56-FBB26C79FAA5}"/>
                </c:ext>
              </c:extLst>
            </c:dLbl>
            <c:dLbl>
              <c:idx val="50"/>
              <c:layout>
                <c:manualLayout>
                  <c:x val="-2.1971123666039035E-2"/>
                  <c:y val="-0.187500000000000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95-4B8F-BC56-FBB26C79FAA5}"/>
                </c:ext>
              </c:extLst>
            </c:dLbl>
            <c:dLbl>
              <c:idx val="55"/>
              <c:layout>
                <c:manualLayout>
                  <c:x val="0.21343377275580666"/>
                  <c:y val="2.604166666666666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95-4B8F-BC56-FBB26C79FAA5}"/>
                </c:ext>
              </c:extLst>
            </c:dLbl>
            <c:dLbl>
              <c:idx val="56"/>
              <c:layout>
                <c:manualLayout>
                  <c:x val="0.23854362837413684"/>
                  <c:y val="8.333333333333323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95-4B8F-BC56-FBB26C79FAA5}"/>
                </c:ext>
              </c:extLst>
            </c:dLbl>
            <c:dLbl>
              <c:idx val="57"/>
              <c:layout>
                <c:manualLayout>
                  <c:x val="0.21343377275580655"/>
                  <c:y val="0.1770833333333332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F95-4B8F-BC56-FBB26C79FAA5}"/>
                </c:ext>
              </c:extLst>
            </c:dLbl>
            <c:dLbl>
              <c:idx val="60"/>
              <c:layout>
                <c:manualLayout>
                  <c:x val="0.19146264908976773"/>
                  <c:y val="0.1979166666666666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F95-4B8F-BC56-FBB26C79FAA5}"/>
                </c:ext>
              </c:extLst>
            </c:dLbl>
            <c:dLbl>
              <c:idx val="61"/>
              <c:layout>
                <c:manualLayout>
                  <c:x val="-4.7080979284369232E-2"/>
                  <c:y val="-9.375000000000004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F95-4B8F-BC56-FBB26C79FAA5}"/>
                </c:ext>
              </c:extLst>
            </c:dLbl>
            <c:dLbl>
              <c:idx val="71"/>
              <c:layout>
                <c:manualLayout>
                  <c:x val="5.0219711236660386E-2"/>
                  <c:y val="-0.218750000000000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F95-4B8F-BC56-FBB26C79FAA5}"/>
                </c:ext>
              </c:extLst>
            </c:dLbl>
            <c:dLbl>
              <c:idx val="72"/>
              <c:layout>
                <c:manualLayout>
                  <c:x val="5.3358443188951547E-2"/>
                  <c:y val="-5.20833333333333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F95-4B8F-BC56-FBB26C79FAA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scatter'!$J$3:$J$83</c:f>
              <c:numCache>
                <c:formatCode>0.00</c:formatCode>
                <c:ptCount val="81"/>
                <c:pt idx="0">
                  <c:v>2.5</c:v>
                </c:pt>
                <c:pt idx="1">
                  <c:v>3</c:v>
                </c:pt>
                <c:pt idx="2">
                  <c:v>5</c:v>
                </c:pt>
                <c:pt idx="3">
                  <c:v>3.5</c:v>
                </c:pt>
                <c:pt idx="4">
                  <c:v>3.5</c:v>
                </c:pt>
                <c:pt idx="5">
                  <c:v>3.5</c:v>
                </c:pt>
                <c:pt idx="6">
                  <c:v>3.5</c:v>
                </c:pt>
                <c:pt idx="7">
                  <c:v>3.5</c:v>
                </c:pt>
                <c:pt idx="8">
                  <c:v>3.5</c:v>
                </c:pt>
                <c:pt idx="9">
                  <c:v>3</c:v>
                </c:pt>
                <c:pt idx="10">
                  <c:v>3.5</c:v>
                </c:pt>
                <c:pt idx="11">
                  <c:v>3.5</c:v>
                </c:pt>
                <c:pt idx="12">
                  <c:v>3</c:v>
                </c:pt>
                <c:pt idx="13">
                  <c:v>3</c:v>
                </c:pt>
                <c:pt idx="14">
                  <c:v>3</c:v>
                </c:pt>
                <c:pt idx="15">
                  <c:v>2.5</c:v>
                </c:pt>
                <c:pt idx="16">
                  <c:v>3.5</c:v>
                </c:pt>
                <c:pt idx="17">
                  <c:v>3.5</c:v>
                </c:pt>
                <c:pt idx="18">
                  <c:v>3.5</c:v>
                </c:pt>
                <c:pt idx="19">
                  <c:v>3</c:v>
                </c:pt>
                <c:pt idx="20">
                  <c:v>4</c:v>
                </c:pt>
                <c:pt idx="21">
                  <c:v>1.5</c:v>
                </c:pt>
                <c:pt idx="22">
                  <c:v>3</c:v>
                </c:pt>
                <c:pt idx="23">
                  <c:v>2.5</c:v>
                </c:pt>
                <c:pt idx="25">
                  <c:v>3</c:v>
                </c:pt>
                <c:pt idx="26">
                  <c:v>3.5</c:v>
                </c:pt>
                <c:pt idx="27">
                  <c:v>2</c:v>
                </c:pt>
                <c:pt idx="28">
                  <c:v>2.5</c:v>
                </c:pt>
                <c:pt idx="29">
                  <c:v>3</c:v>
                </c:pt>
                <c:pt idx="30">
                  <c:v>3.5</c:v>
                </c:pt>
                <c:pt idx="31">
                  <c:v>3.5</c:v>
                </c:pt>
                <c:pt idx="32">
                  <c:v>3.5</c:v>
                </c:pt>
                <c:pt idx="33">
                  <c:v>3.5</c:v>
                </c:pt>
                <c:pt idx="34">
                  <c:v>4</c:v>
                </c:pt>
                <c:pt idx="35">
                  <c:v>3.5</c:v>
                </c:pt>
                <c:pt idx="36">
                  <c:v>3</c:v>
                </c:pt>
                <c:pt idx="37">
                  <c:v>3</c:v>
                </c:pt>
                <c:pt idx="38">
                  <c:v>3.5</c:v>
                </c:pt>
                <c:pt idx="39">
                  <c:v>2.5</c:v>
                </c:pt>
                <c:pt idx="40">
                  <c:v>3.5</c:v>
                </c:pt>
                <c:pt idx="41">
                  <c:v>3</c:v>
                </c:pt>
                <c:pt idx="42">
                  <c:v>2.5</c:v>
                </c:pt>
                <c:pt idx="43">
                  <c:v>3.5</c:v>
                </c:pt>
                <c:pt idx="44">
                  <c:v>3</c:v>
                </c:pt>
                <c:pt idx="45">
                  <c:v>1.5</c:v>
                </c:pt>
                <c:pt idx="46">
                  <c:v>2</c:v>
                </c:pt>
                <c:pt idx="47">
                  <c:v>3.5</c:v>
                </c:pt>
                <c:pt idx="48">
                  <c:v>3.5</c:v>
                </c:pt>
                <c:pt idx="49">
                  <c:v>2.5</c:v>
                </c:pt>
                <c:pt idx="50">
                  <c:v>4</c:v>
                </c:pt>
                <c:pt idx="51">
                  <c:v>3.5</c:v>
                </c:pt>
                <c:pt idx="52">
                  <c:v>2.5</c:v>
                </c:pt>
                <c:pt idx="53">
                  <c:v>3.5</c:v>
                </c:pt>
                <c:pt idx="54">
                  <c:v>3.5</c:v>
                </c:pt>
                <c:pt idx="55">
                  <c:v>4</c:v>
                </c:pt>
                <c:pt idx="56">
                  <c:v>3</c:v>
                </c:pt>
                <c:pt idx="57">
                  <c:v>3</c:v>
                </c:pt>
                <c:pt idx="58">
                  <c:v>2.5</c:v>
                </c:pt>
                <c:pt idx="59">
                  <c:v>4</c:v>
                </c:pt>
                <c:pt idx="60">
                  <c:v>2.5</c:v>
                </c:pt>
                <c:pt idx="61">
                  <c:v>4</c:v>
                </c:pt>
                <c:pt idx="62">
                  <c:v>3</c:v>
                </c:pt>
                <c:pt idx="63">
                  <c:v>3</c:v>
                </c:pt>
                <c:pt idx="64">
                  <c:v>1.5</c:v>
                </c:pt>
                <c:pt idx="65">
                  <c:v>3</c:v>
                </c:pt>
                <c:pt idx="66">
                  <c:v>2.5</c:v>
                </c:pt>
                <c:pt idx="67">
                  <c:v>3.5</c:v>
                </c:pt>
                <c:pt idx="68">
                  <c:v>3</c:v>
                </c:pt>
                <c:pt idx="69">
                  <c:v>3.5</c:v>
                </c:pt>
                <c:pt idx="70">
                  <c:v>2.5</c:v>
                </c:pt>
                <c:pt idx="71">
                  <c:v>3.5</c:v>
                </c:pt>
                <c:pt idx="72">
                  <c:v>4</c:v>
                </c:pt>
                <c:pt idx="73">
                  <c:v>4</c:v>
                </c:pt>
                <c:pt idx="74">
                  <c:v>3</c:v>
                </c:pt>
                <c:pt idx="75">
                  <c:v>3.5</c:v>
                </c:pt>
                <c:pt idx="76">
                  <c:v>3</c:v>
                </c:pt>
                <c:pt idx="77">
                  <c:v>4.5</c:v>
                </c:pt>
                <c:pt idx="78">
                  <c:v>2.5</c:v>
                </c:pt>
                <c:pt idx="79">
                  <c:v>2.5</c:v>
                </c:pt>
                <c:pt idx="80">
                  <c:v>3</c:v>
                </c:pt>
              </c:numCache>
            </c:numRef>
          </c:yVal>
          <c:smooth val="0"/>
          <c:extLst>
            <c:ext xmlns:c16="http://schemas.microsoft.com/office/drawing/2014/chart" uri="{C3380CC4-5D6E-409C-BE32-E72D297353CC}">
              <c16:uniqueId val="{00000012-1F95-4B8F-BC56-FBB26C79FAA5}"/>
            </c:ext>
          </c:extLst>
        </c:ser>
        <c:dLbls>
          <c:showLegendKey val="0"/>
          <c:showVal val="0"/>
          <c:showCatName val="0"/>
          <c:showSerName val="0"/>
          <c:showPercent val="0"/>
          <c:showBubbleSize val="0"/>
        </c:dLbls>
        <c:axId val="1666885984"/>
        <c:axId val="1666877664"/>
      </c:scatterChart>
      <c:valAx>
        <c:axId val="1666885984"/>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77664"/>
        <c:crosses val="autoZero"/>
        <c:crossBetween val="midCat"/>
      </c:valAx>
      <c:valAx>
        <c:axId val="1666877664"/>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6885984"/>
        <c:crosses val="autoZero"/>
        <c:crossBetween val="midCat"/>
      </c:valAx>
      <c:spPr>
        <a:noFill/>
        <a:ln>
          <a:noFill/>
        </a:ln>
        <a:effectLst/>
      </c:spPr>
    </c:plotArea>
    <c:plotVisOnly val="1"/>
    <c:dispBlanksAs val="gap"/>
    <c:showDLblsOverMax val="0"/>
  </c:chart>
  <c:spPr>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54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t>CPIA trade rating </a:t>
            </a:r>
          </a:p>
          <a:p>
            <a:pPr>
              <a:defRPr/>
            </a:pPr>
            <a:r>
              <a:rPr lang="en-US" sz="900"/>
              <a:t>(1=low to 6=high)</a:t>
            </a:r>
          </a:p>
        </c:rich>
      </c:tx>
      <c:layout>
        <c:manualLayout>
          <c:xMode val="edge"/>
          <c:yMode val="edge"/>
          <c:x val="0.24390704699648394"/>
          <c:y val="1.43678160919540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5849518810148726E-2"/>
          <c:y val="0.19596047723951404"/>
          <c:w val="0.87387270341207346"/>
          <c:h val="0.68487214721428524"/>
        </c:manualLayout>
      </c:layout>
      <c:scatterChart>
        <c:scatterStyle val="lineMarker"/>
        <c:varyColors val="0"/>
        <c:ser>
          <c:idx val="0"/>
          <c:order val="0"/>
          <c:tx>
            <c:strRef>
              <c:f>'CPIA scatter'!$U$2</c:f>
              <c:strCache>
                <c:ptCount val="1"/>
                <c:pt idx="0">
                  <c:v>CPIA trade rating (1=low to 6=high)</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0"/>
              <c:layout>
                <c:manualLayout>
                  <c:x val="-0.10277777777777777"/>
                  <c:y val="-0.2446906740535549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700262467191604"/>
                      <c:h val="3.4512254527740822E-2"/>
                    </c:manualLayout>
                  </c15:layout>
                </c:ext>
                <c:ext xmlns:c16="http://schemas.microsoft.com/office/drawing/2014/chart" uri="{C3380CC4-5D6E-409C-BE32-E72D297353CC}">
                  <c16:uniqueId val="{00000000-0C98-4001-A76F-0FB1EF84054D}"/>
                </c:ext>
              </c:extLst>
            </c:dLbl>
            <c:dLbl>
              <c:idx val="2"/>
              <c:layout>
                <c:manualLayout>
                  <c:x val="0.22222222222222221"/>
                  <c:y val="0.56325023084025838"/>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00"/>
                      <a:t>Armenia,</a:t>
                    </a:r>
                    <a:r>
                      <a:rPr lang="en-US" sz="800" baseline="0"/>
                      <a:t> </a:t>
                    </a:r>
                    <a:fld id="{1CD94AA0-DFA3-4839-A910-7F4AFA752C40}" type="YVALUE">
                      <a:rPr lang="en-US" sz="800"/>
                      <a:pPr>
                        <a:defRPr sz="800"/>
                      </a:pPr>
                      <a:t>[Y VALUE]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C98-4001-A76F-0FB1EF84054D}"/>
                </c:ext>
              </c:extLst>
            </c:dLbl>
            <c:dLbl>
              <c:idx val="3"/>
              <c:layout>
                <c:manualLayout>
                  <c:x val="-6.8055555555555564E-2"/>
                  <c:y val="0.44090489381348108"/>
                </c:manualLayout>
              </c:layout>
              <c:tx>
                <c:rich>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0997B0F4-66A5-45F5-9AC0-13136721F9CE}" type="XVALUE">
                      <a:rPr lang="en-US" sz="800" b="1"/>
                      <a:pPr>
                        <a:defRPr sz="800"/>
                      </a:pPr>
                      <a:t>[X VALUE]</a:t>
                    </a:fld>
                    <a:r>
                      <a:rPr lang="en-US" sz="800" b="1" baseline="0"/>
                      <a:t>, </a:t>
                    </a:r>
                    <a:fld id="{206D91F9-1F7F-43FB-962D-DA64595774E5}" type="YVALUE">
                      <a:rPr lang="en-US" sz="800" b="1" baseline="0"/>
                      <a:pPr>
                        <a:defRPr sz="800"/>
                      </a:pPr>
                      <a:t>[Y VALUE]</a:t>
                    </a:fld>
                    <a:endParaRPr lang="en-US" sz="800" b="1" baseline="0"/>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307327209098863"/>
                      <c:h val="3.9129059698562611E-2"/>
                    </c:manualLayout>
                  </c15:layout>
                  <c15:dlblFieldTable/>
                  <c15:showDataLabelsRange val="0"/>
                </c:ext>
                <c:ext xmlns:c16="http://schemas.microsoft.com/office/drawing/2014/chart" uri="{C3380CC4-5D6E-409C-BE32-E72D297353CC}">
                  <c16:uniqueId val="{00000002-0C98-4001-A76F-0FB1EF84054D}"/>
                </c:ext>
              </c:extLst>
            </c:dLbl>
            <c:dLbl>
              <c:idx val="5"/>
              <c:layout>
                <c:manualLayout>
                  <c:x val="-1.3888888888888888E-2"/>
                  <c:y val="0.2954755309325946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98-4001-A76F-0FB1EF84054D}"/>
                </c:ext>
              </c:extLst>
            </c:dLbl>
            <c:dLbl>
              <c:idx val="7"/>
              <c:layout>
                <c:manualLayout>
                  <c:x val="0.44166666666666654"/>
                  <c:y val="0.503231945383558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6320691163604552"/>
                      <c:h val="4.7864273198537151E-2"/>
                    </c:manualLayout>
                  </c15:layout>
                </c:ext>
                <c:ext xmlns:c16="http://schemas.microsoft.com/office/drawing/2014/chart" uri="{C3380CC4-5D6E-409C-BE32-E72D297353CC}">
                  <c16:uniqueId val="{00000004-0C98-4001-A76F-0FB1EF84054D}"/>
                </c:ext>
              </c:extLst>
            </c:dLbl>
            <c:dLbl>
              <c:idx val="11"/>
              <c:layout>
                <c:manualLayout>
                  <c:x val="-5.0925337632079971E-17"/>
                  <c:y val="-4.15512465373961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98-4001-A76F-0FB1EF84054D}"/>
                </c:ext>
              </c:extLst>
            </c:dLbl>
            <c:dLbl>
              <c:idx val="12"/>
              <c:layout>
                <c:manualLayout>
                  <c:x val="-0.10277788713910764"/>
                  <c:y val="0.2331486611265003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878455818022745"/>
                      <c:h val="2.9895449356919027E-2"/>
                    </c:manualLayout>
                  </c15:layout>
                </c:ext>
                <c:ext xmlns:c16="http://schemas.microsoft.com/office/drawing/2014/chart" uri="{C3380CC4-5D6E-409C-BE32-E72D297353CC}">
                  <c16:uniqueId val="{00000006-0C98-4001-A76F-0FB1EF84054D}"/>
                </c:ext>
              </c:extLst>
            </c:dLbl>
            <c:dLbl>
              <c:idx val="17"/>
              <c:layout>
                <c:manualLayout>
                  <c:x val="-2.500000000000005E-2"/>
                  <c:y val="0.1892890120036934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096062992125985"/>
                      <c:h val="4.3745864869384407E-2"/>
                    </c:manualLayout>
                  </c15:layout>
                </c:ext>
                <c:ext xmlns:c16="http://schemas.microsoft.com/office/drawing/2014/chart" uri="{C3380CC4-5D6E-409C-BE32-E72D297353CC}">
                  <c16:uniqueId val="{00000007-0C98-4001-A76F-0FB1EF84054D}"/>
                </c:ext>
              </c:extLst>
            </c:dLbl>
            <c:dLbl>
              <c:idx val="18"/>
              <c:layout>
                <c:manualLayout>
                  <c:x val="0.17222222222222222"/>
                  <c:y val="0.44783010156971376"/>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678630796150481"/>
                      <c:h val="4.5804887269977682E-2"/>
                    </c:manualLayout>
                  </c15:layout>
                </c:ext>
                <c:ext xmlns:c16="http://schemas.microsoft.com/office/drawing/2014/chart" uri="{C3380CC4-5D6E-409C-BE32-E72D297353CC}">
                  <c16:uniqueId val="{00000008-0C98-4001-A76F-0FB1EF84054D}"/>
                </c:ext>
              </c:extLst>
            </c:dLbl>
            <c:dLbl>
              <c:idx val="2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98-4001-A76F-0FB1EF84054D}"/>
                </c:ext>
              </c:extLst>
            </c:dLbl>
            <c:dLbl>
              <c:idx val="25"/>
              <c:layout>
                <c:manualLayout>
                  <c:x val="6.1111111111111109E-2"/>
                  <c:y val="0.22391505078485688"/>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951596675415573"/>
                      <c:h val="3.9129059698562611E-2"/>
                    </c:manualLayout>
                  </c15:layout>
                </c:ext>
                <c:ext xmlns:c16="http://schemas.microsoft.com/office/drawing/2014/chart" uri="{C3380CC4-5D6E-409C-BE32-E72D297353CC}">
                  <c16:uniqueId val="{0000000A-0C98-4001-A76F-0FB1EF84054D}"/>
                </c:ext>
              </c:extLst>
            </c:dLbl>
            <c:dLbl>
              <c:idx val="26"/>
              <c:layout>
                <c:manualLayout>
                  <c:x val="-6.3888888888888939E-2"/>
                  <c:y val="9.00277008310248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652821522309711"/>
                      <c:h val="3.9129059698562611E-2"/>
                    </c:manualLayout>
                  </c15:layout>
                </c:ext>
                <c:ext xmlns:c16="http://schemas.microsoft.com/office/drawing/2014/chart" uri="{C3380CC4-5D6E-409C-BE32-E72D297353CC}">
                  <c16:uniqueId val="{0000000B-0C98-4001-A76F-0FB1EF84054D}"/>
                </c:ext>
              </c:extLst>
            </c:dLbl>
            <c:dLbl>
              <c:idx val="31"/>
              <c:layout>
                <c:manualLayout>
                  <c:x val="-2.7777777777778286E-3"/>
                  <c:y val="-6.46352723915050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98-4001-A76F-0FB1EF84054D}"/>
                </c:ext>
              </c:extLst>
            </c:dLbl>
            <c:dLbl>
              <c:idx val="42"/>
              <c:layout>
                <c:manualLayout>
                  <c:x val="8.3333333333333329E-2"/>
                  <c:y val="0.2908587257617728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98-4001-A76F-0FB1EF84054D}"/>
                </c:ext>
              </c:extLst>
            </c:dLbl>
            <c:dLbl>
              <c:idx val="43"/>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C98-4001-A76F-0FB1EF84054D}"/>
                </c:ext>
              </c:extLst>
            </c:dLbl>
            <c:dLbl>
              <c:idx val="44"/>
              <c:layout>
                <c:manualLayout>
                  <c:x val="0.26666666666666666"/>
                  <c:y val="-0.19852262234533705"/>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555796150481186"/>
                      <c:h val="5.2979475211027985E-2"/>
                    </c:manualLayout>
                  </c15:layout>
                </c:ext>
                <c:ext xmlns:c16="http://schemas.microsoft.com/office/drawing/2014/chart" uri="{C3380CC4-5D6E-409C-BE32-E72D297353CC}">
                  <c16:uniqueId val="{0000000F-0C98-4001-A76F-0FB1EF84054D}"/>
                </c:ext>
              </c:extLst>
            </c:dLbl>
            <c:dLbl>
              <c:idx val="60"/>
              <c:layout>
                <c:manualLayout>
                  <c:x val="-0.15277777777777787"/>
                  <c:y val="7.38688827331486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C98-4001-A76F-0FB1EF84054D}"/>
                </c:ext>
              </c:extLst>
            </c:dLbl>
            <c:dLbl>
              <c:idx val="63"/>
              <c:layout>
                <c:manualLayout>
                  <c:x val="-0.25555566491688542"/>
                  <c:y val="0.1015697137580794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057502187226592"/>
                      <c:h val="3.6571276928334097E-2"/>
                    </c:manualLayout>
                  </c15:layout>
                </c:ext>
                <c:ext xmlns:c16="http://schemas.microsoft.com/office/drawing/2014/chart" uri="{C3380CC4-5D6E-409C-BE32-E72D297353CC}">
                  <c16:uniqueId val="{00000011-0C98-4001-A76F-0FB1EF84054D}"/>
                </c:ext>
              </c:extLst>
            </c:dLbl>
            <c:dLbl>
              <c:idx val="67"/>
              <c:layout>
                <c:manualLayout>
                  <c:x val="-0.15277777777777779"/>
                  <c:y val="-0.166204986149584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C98-4001-A76F-0FB1EF84054D}"/>
                </c:ext>
              </c:extLst>
            </c:dLbl>
            <c:dLbl>
              <c:idx val="72"/>
              <c:layout>
                <c:manualLayout>
                  <c:x val="2.7777777777775741E-3"/>
                  <c:y val="-6.0018467220683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C98-4001-A76F-0FB1EF84054D}"/>
                </c:ext>
              </c:extLst>
            </c:dLbl>
            <c:dLbl>
              <c:idx val="73"/>
              <c:layout>
                <c:manualLayout>
                  <c:x val="-2.777777777777788E-2"/>
                  <c:y val="0.1154201292705447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C98-4001-A76F-0FB1EF84054D}"/>
                </c:ext>
              </c:extLst>
            </c:dLbl>
            <c:dLbl>
              <c:idx val="75"/>
              <c:layout>
                <c:manualLayout>
                  <c:x val="-0.15000000000000011"/>
                  <c:y val="0.1615881809787627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055271216097988"/>
                      <c:h val="4.3745864869384407E-2"/>
                    </c:manualLayout>
                  </c15:layout>
                </c:ext>
                <c:ext xmlns:c16="http://schemas.microsoft.com/office/drawing/2014/chart" uri="{C3380CC4-5D6E-409C-BE32-E72D297353CC}">
                  <c16:uniqueId val="{00000015-0C98-4001-A76F-0FB1EF84054D}"/>
                </c:ext>
              </c:extLst>
            </c:dLbl>
            <c:dLbl>
              <c:idx val="77"/>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C98-4001-A76F-0FB1EF84054D}"/>
                </c:ext>
              </c:extLst>
            </c:dLbl>
            <c:dLbl>
              <c:idx val="78"/>
              <c:layout>
                <c:manualLayout>
                  <c:x val="0"/>
                  <c:y val="-6.46352723915050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C98-4001-A76F-0FB1EF84054D}"/>
                </c:ext>
              </c:extLst>
            </c:dLbl>
            <c:dLbl>
              <c:idx val="79"/>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C98-4001-A76F-0FB1EF84054D}"/>
                </c:ext>
              </c:extLst>
            </c:dLbl>
            <c:dLbl>
              <c:idx val="80"/>
              <c:layout>
                <c:manualLayout>
                  <c:x val="0"/>
                  <c:y val="9.69529085872576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C98-4001-A76F-0FB1EF8405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xVal>
            <c:strRef>
              <c:f>'CPIA scatter'!$B$3:$B$83</c:f>
              <c:strCache>
                <c:ptCount val="81"/>
                <c:pt idx="0">
                  <c:v>Afghanistan</c:v>
                </c:pt>
                <c:pt idx="1">
                  <c:v>Angola</c:v>
                </c:pt>
                <c:pt idx="2">
                  <c:v>Armenia</c:v>
                </c:pt>
                <c:pt idx="3">
                  <c:v>Bangladesh</c:v>
                </c:pt>
                <c:pt idx="4">
                  <c:v>Benin</c:v>
                </c:pt>
                <c:pt idx="5">
                  <c:v>Bhutan</c:v>
                </c:pt>
                <c:pt idx="6">
                  <c:v>Bolivia</c:v>
                </c:pt>
                <c:pt idx="7">
                  <c:v>Bosnia and Herzegovina</c:v>
                </c:pt>
                <c:pt idx="8">
                  <c:v>Burkina Faso</c:v>
                </c:pt>
                <c:pt idx="9">
                  <c:v>Burundi</c:v>
                </c:pt>
                <c:pt idx="10">
                  <c:v>Cabo Verde</c:v>
                </c:pt>
                <c:pt idx="11">
                  <c:v>Cambodia</c:v>
                </c:pt>
                <c:pt idx="12">
                  <c:v>Cameroon</c:v>
                </c:pt>
                <c:pt idx="13">
                  <c:v>Central African Republic</c:v>
                </c:pt>
                <c:pt idx="14">
                  <c:v>Chad</c:v>
                </c:pt>
                <c:pt idx="15">
                  <c:v>Comoros</c:v>
                </c:pt>
                <c:pt idx="16">
                  <c:v>Dem. Rep. Congo</c:v>
                </c:pt>
                <c:pt idx="17">
                  <c:v>Congo</c:v>
                </c:pt>
                <c:pt idx="18">
                  <c:v>Côte d'Ivoire</c:v>
                </c:pt>
                <c:pt idx="19">
                  <c:v>Djibouti</c:v>
                </c:pt>
                <c:pt idx="20">
                  <c:v>Dominica</c:v>
                </c:pt>
                <c:pt idx="21">
                  <c:v>Eritrea</c:v>
                </c:pt>
                <c:pt idx="22">
                  <c:v>Ethiopia</c:v>
                </c:pt>
                <c:pt idx="23">
                  <c:v>Micronesia</c:v>
                </c:pt>
                <c:pt idx="24">
                  <c:v>Georgia</c:v>
                </c:pt>
                <c:pt idx="25">
                  <c:v>Ghana</c:v>
                </c:pt>
                <c:pt idx="26">
                  <c:v>Guinea</c:v>
                </c:pt>
                <c:pt idx="27">
                  <c:v>The Gambia</c:v>
                </c:pt>
                <c:pt idx="28">
                  <c:v>Guinea-Bissau</c:v>
                </c:pt>
                <c:pt idx="29">
                  <c:v>Grenada</c:v>
                </c:pt>
                <c:pt idx="30">
                  <c:v>Guyana</c:v>
                </c:pt>
                <c:pt idx="31">
                  <c:v>Honduras</c:v>
                </c:pt>
                <c:pt idx="32">
                  <c:v>Haiti</c:v>
                </c:pt>
                <c:pt idx="33">
                  <c:v>India</c:v>
                </c:pt>
                <c:pt idx="34">
                  <c:v>Kenya</c:v>
                </c:pt>
                <c:pt idx="35">
                  <c:v>Kyrgyz Republic</c:v>
                </c:pt>
                <c:pt idx="36">
                  <c:v>Kiribati</c:v>
                </c:pt>
                <c:pt idx="37">
                  <c:v>Kosovo</c:v>
                </c:pt>
                <c:pt idx="38">
                  <c:v>Lao PDR</c:v>
                </c:pt>
                <c:pt idx="39">
                  <c:v>Lesotho</c:v>
                </c:pt>
                <c:pt idx="40">
                  <c:v>Liberia</c:v>
                </c:pt>
                <c:pt idx="41">
                  <c:v>St. Lucia</c:v>
                </c:pt>
                <c:pt idx="42">
                  <c:v>Sri Lanka</c:v>
                </c:pt>
                <c:pt idx="43">
                  <c:v>Moldova</c:v>
                </c:pt>
                <c:pt idx="44">
                  <c:v>Madagascar</c:v>
                </c:pt>
                <c:pt idx="45">
                  <c:v>Maldives</c:v>
                </c:pt>
                <c:pt idx="46">
                  <c:v>Marshall Islands</c:v>
                </c:pt>
                <c:pt idx="47">
                  <c:v>Mali</c:v>
                </c:pt>
                <c:pt idx="48">
                  <c:v>Myanmar</c:v>
                </c:pt>
                <c:pt idx="49">
                  <c:v>Mongolia</c:v>
                </c:pt>
                <c:pt idx="50">
                  <c:v>Mozambique</c:v>
                </c:pt>
                <c:pt idx="51">
                  <c:v>Mauritania</c:v>
                </c:pt>
                <c:pt idx="52">
                  <c:v>Malawi</c:v>
                </c:pt>
                <c:pt idx="53">
                  <c:v>Niger</c:v>
                </c:pt>
                <c:pt idx="54">
                  <c:v>Nigeria</c:v>
                </c:pt>
                <c:pt idx="55">
                  <c:v>Nicaragua</c:v>
                </c:pt>
                <c:pt idx="56">
                  <c:v>Nepal</c:v>
                </c:pt>
                <c:pt idx="57">
                  <c:v>Pakistan</c:v>
                </c:pt>
                <c:pt idx="58">
                  <c:v>Papua New Guinea</c:v>
                </c:pt>
                <c:pt idx="59">
                  <c:v>Rwanda</c:v>
                </c:pt>
                <c:pt idx="60">
                  <c:v>Sudan</c:v>
                </c:pt>
                <c:pt idx="61">
                  <c:v>Senegal</c:v>
                </c:pt>
                <c:pt idx="62">
                  <c:v>Solomon Islands</c:v>
                </c:pt>
                <c:pt idx="63">
                  <c:v>Sierra Leone</c:v>
                </c:pt>
                <c:pt idx="64">
                  <c:v>South Sudan</c:v>
                </c:pt>
                <c:pt idx="65">
                  <c:v>São Tomé and Principe</c:v>
                </c:pt>
                <c:pt idx="66">
                  <c:v>Togo</c:v>
                </c:pt>
                <c:pt idx="67">
                  <c:v>Tajikistan</c:v>
                </c:pt>
                <c:pt idx="68">
                  <c:v>Timor-Leste</c:v>
                </c:pt>
                <c:pt idx="69">
                  <c:v>Tonga</c:v>
                </c:pt>
                <c:pt idx="70">
                  <c:v>Tuvalu</c:v>
                </c:pt>
                <c:pt idx="71">
                  <c:v>Tanzania</c:v>
                </c:pt>
                <c:pt idx="72">
                  <c:v>Uganda</c:v>
                </c:pt>
                <c:pt idx="73">
                  <c:v>Uzbekistan</c:v>
                </c:pt>
                <c:pt idx="74">
                  <c:v>St. Vincent and the Grenadines</c:v>
                </c:pt>
                <c:pt idx="75">
                  <c:v>Vietnam</c:v>
                </c:pt>
                <c:pt idx="76">
                  <c:v>Vanuatu</c:v>
                </c:pt>
                <c:pt idx="77">
                  <c:v>Samoa</c:v>
                </c:pt>
                <c:pt idx="78">
                  <c:v>Yemen</c:v>
                </c:pt>
                <c:pt idx="79">
                  <c:v>Zambia</c:v>
                </c:pt>
                <c:pt idx="80">
                  <c:v>Zimbabwe</c:v>
                </c:pt>
              </c:strCache>
            </c:strRef>
          </c:xVal>
          <c:yVal>
            <c:numRef>
              <c:f>'CPIA scatter'!$U$3:$U$83</c:f>
              <c:numCache>
                <c:formatCode>0.00</c:formatCode>
                <c:ptCount val="81"/>
                <c:pt idx="0">
                  <c:v>3.5</c:v>
                </c:pt>
                <c:pt idx="1">
                  <c:v>3.5</c:v>
                </c:pt>
                <c:pt idx="2">
                  <c:v>4.5</c:v>
                </c:pt>
                <c:pt idx="3">
                  <c:v>3.5</c:v>
                </c:pt>
                <c:pt idx="4">
                  <c:v>4</c:v>
                </c:pt>
                <c:pt idx="5">
                  <c:v>3</c:v>
                </c:pt>
                <c:pt idx="6">
                  <c:v>4.5</c:v>
                </c:pt>
                <c:pt idx="7">
                  <c:v>4</c:v>
                </c:pt>
                <c:pt idx="8">
                  <c:v>4</c:v>
                </c:pt>
                <c:pt idx="9">
                  <c:v>4</c:v>
                </c:pt>
                <c:pt idx="10">
                  <c:v>4.5</c:v>
                </c:pt>
                <c:pt idx="11">
                  <c:v>4.5</c:v>
                </c:pt>
                <c:pt idx="12">
                  <c:v>3.5</c:v>
                </c:pt>
                <c:pt idx="13">
                  <c:v>2.5</c:v>
                </c:pt>
                <c:pt idx="14">
                  <c:v>3</c:v>
                </c:pt>
                <c:pt idx="15">
                  <c:v>3.5</c:v>
                </c:pt>
                <c:pt idx="16">
                  <c:v>3.5</c:v>
                </c:pt>
                <c:pt idx="17">
                  <c:v>3.5</c:v>
                </c:pt>
                <c:pt idx="18">
                  <c:v>4</c:v>
                </c:pt>
                <c:pt idx="19">
                  <c:v>4</c:v>
                </c:pt>
                <c:pt idx="20">
                  <c:v>4</c:v>
                </c:pt>
                <c:pt idx="21">
                  <c:v>1.5</c:v>
                </c:pt>
                <c:pt idx="22">
                  <c:v>3</c:v>
                </c:pt>
                <c:pt idx="23">
                  <c:v>4</c:v>
                </c:pt>
                <c:pt idx="25">
                  <c:v>4</c:v>
                </c:pt>
                <c:pt idx="26">
                  <c:v>3.5</c:v>
                </c:pt>
                <c:pt idx="27">
                  <c:v>4</c:v>
                </c:pt>
                <c:pt idx="28">
                  <c:v>4</c:v>
                </c:pt>
                <c:pt idx="29">
                  <c:v>4</c:v>
                </c:pt>
                <c:pt idx="30">
                  <c:v>3.5</c:v>
                </c:pt>
                <c:pt idx="31">
                  <c:v>4.5</c:v>
                </c:pt>
                <c:pt idx="32">
                  <c:v>4</c:v>
                </c:pt>
                <c:pt idx="33">
                  <c:v>4</c:v>
                </c:pt>
                <c:pt idx="34">
                  <c:v>4</c:v>
                </c:pt>
                <c:pt idx="35">
                  <c:v>4.5</c:v>
                </c:pt>
                <c:pt idx="36">
                  <c:v>3.5</c:v>
                </c:pt>
                <c:pt idx="37">
                  <c:v>4.5</c:v>
                </c:pt>
                <c:pt idx="38">
                  <c:v>4.5</c:v>
                </c:pt>
                <c:pt idx="39">
                  <c:v>4</c:v>
                </c:pt>
                <c:pt idx="40">
                  <c:v>3.5</c:v>
                </c:pt>
                <c:pt idx="41">
                  <c:v>4</c:v>
                </c:pt>
                <c:pt idx="42">
                  <c:v>3.5</c:v>
                </c:pt>
                <c:pt idx="43">
                  <c:v>4.5</c:v>
                </c:pt>
                <c:pt idx="44">
                  <c:v>4</c:v>
                </c:pt>
                <c:pt idx="45">
                  <c:v>4</c:v>
                </c:pt>
                <c:pt idx="46">
                  <c:v>3.5</c:v>
                </c:pt>
                <c:pt idx="47">
                  <c:v>4</c:v>
                </c:pt>
                <c:pt idx="48">
                  <c:v>3.5</c:v>
                </c:pt>
                <c:pt idx="49">
                  <c:v>3.5</c:v>
                </c:pt>
                <c:pt idx="50">
                  <c:v>4</c:v>
                </c:pt>
                <c:pt idx="51">
                  <c:v>4</c:v>
                </c:pt>
                <c:pt idx="52">
                  <c:v>3.5</c:v>
                </c:pt>
                <c:pt idx="53">
                  <c:v>4</c:v>
                </c:pt>
                <c:pt idx="54">
                  <c:v>3.5</c:v>
                </c:pt>
                <c:pt idx="55">
                  <c:v>4.5</c:v>
                </c:pt>
                <c:pt idx="56">
                  <c:v>3.5</c:v>
                </c:pt>
                <c:pt idx="57">
                  <c:v>3.5</c:v>
                </c:pt>
                <c:pt idx="58">
                  <c:v>4</c:v>
                </c:pt>
                <c:pt idx="59">
                  <c:v>4.5</c:v>
                </c:pt>
                <c:pt idx="60">
                  <c:v>2.5</c:v>
                </c:pt>
                <c:pt idx="61">
                  <c:v>4.5</c:v>
                </c:pt>
                <c:pt idx="62">
                  <c:v>3.5</c:v>
                </c:pt>
                <c:pt idx="63">
                  <c:v>3.5</c:v>
                </c:pt>
                <c:pt idx="64">
                  <c:v>2</c:v>
                </c:pt>
                <c:pt idx="65">
                  <c:v>4</c:v>
                </c:pt>
                <c:pt idx="66">
                  <c:v>4</c:v>
                </c:pt>
                <c:pt idx="67">
                  <c:v>4</c:v>
                </c:pt>
                <c:pt idx="68">
                  <c:v>4.5</c:v>
                </c:pt>
                <c:pt idx="69">
                  <c:v>4.5</c:v>
                </c:pt>
                <c:pt idx="70">
                  <c:v>3.5</c:v>
                </c:pt>
                <c:pt idx="71">
                  <c:v>4</c:v>
                </c:pt>
                <c:pt idx="72">
                  <c:v>4.5</c:v>
                </c:pt>
                <c:pt idx="73">
                  <c:v>2.5</c:v>
                </c:pt>
                <c:pt idx="74">
                  <c:v>4</c:v>
                </c:pt>
                <c:pt idx="75">
                  <c:v>4</c:v>
                </c:pt>
                <c:pt idx="76">
                  <c:v>4</c:v>
                </c:pt>
                <c:pt idx="77">
                  <c:v>4.5</c:v>
                </c:pt>
                <c:pt idx="78">
                  <c:v>3</c:v>
                </c:pt>
                <c:pt idx="79">
                  <c:v>4</c:v>
                </c:pt>
                <c:pt idx="80">
                  <c:v>3</c:v>
                </c:pt>
              </c:numCache>
            </c:numRef>
          </c:yVal>
          <c:smooth val="0"/>
          <c:extLst>
            <c:ext xmlns:c16="http://schemas.microsoft.com/office/drawing/2014/chart" uri="{C3380CC4-5D6E-409C-BE32-E72D297353CC}">
              <c16:uniqueId val="{0000001A-0C98-4001-A76F-0FB1EF84054D}"/>
            </c:ext>
          </c:extLst>
        </c:ser>
        <c:dLbls>
          <c:showLegendKey val="0"/>
          <c:showVal val="0"/>
          <c:showCatName val="0"/>
          <c:showSerName val="0"/>
          <c:showPercent val="0"/>
          <c:showBubbleSize val="0"/>
        </c:dLbls>
        <c:axId val="1549812192"/>
        <c:axId val="1549814688"/>
      </c:scatterChart>
      <c:valAx>
        <c:axId val="1549812192"/>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9814688"/>
        <c:crosses val="autoZero"/>
        <c:crossBetween val="midCat"/>
      </c:valAx>
      <c:valAx>
        <c:axId val="1549814688"/>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9812192"/>
        <c:crosses val="autoZero"/>
        <c:crossBetween val="midCat"/>
      </c:valAx>
      <c:spPr>
        <a:noFill/>
        <a:ln>
          <a:noFill/>
        </a:ln>
        <a:effectLst/>
      </c:spPr>
    </c:plotArea>
    <c:plotVisOnly val="1"/>
    <c:dispBlanksAs val="gap"/>
    <c:showDLblsOverMax val="0"/>
  </c:chart>
  <c:spPr>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5400000" scaled="1"/>
      <a:tileRect/>
    </a:gra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370CF-6268-473F-9A9A-19185E03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215</Pages>
  <Words>60210</Words>
  <Characters>343200</Characters>
  <Application>Microsoft Office Word</Application>
  <DocSecurity>0</DocSecurity>
  <Lines>2860</Lines>
  <Paragraphs>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Mohiuddin Alamgir</dc:creator>
  <cp:lastModifiedBy>DELL</cp:lastModifiedBy>
  <cp:revision>2</cp:revision>
  <dcterms:created xsi:type="dcterms:W3CDTF">2018-07-30T03:45:00Z</dcterms:created>
  <dcterms:modified xsi:type="dcterms:W3CDTF">2018-07-30T03:45:00Z</dcterms:modified>
</cp:coreProperties>
</file>